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60" w:rsidRPr="004457C7" w:rsidRDefault="00154383" w:rsidP="004457C7">
      <w:pPr>
        <w:pStyle w:val="Nadpis1"/>
        <w:spacing w:line="276" w:lineRule="auto"/>
      </w:pPr>
      <w:r w:rsidRPr="004457C7">
        <w:t>Dôvodová správa</w:t>
      </w:r>
    </w:p>
    <w:p w:rsidR="00081F60" w:rsidRPr="004457C7" w:rsidRDefault="00081F60" w:rsidP="004457C7">
      <w:pPr>
        <w:spacing w:line="276" w:lineRule="auto"/>
      </w:pPr>
    </w:p>
    <w:p w:rsidR="00081F60" w:rsidRDefault="00154383" w:rsidP="004457C7">
      <w:pPr>
        <w:pStyle w:val="Nadpis1"/>
        <w:numPr>
          <w:ilvl w:val="0"/>
          <w:numId w:val="12"/>
        </w:numPr>
        <w:spacing w:line="276" w:lineRule="auto"/>
        <w:jc w:val="both"/>
      </w:pPr>
      <w:r w:rsidRPr="004457C7">
        <w:t>Všeobecná časť</w:t>
      </w:r>
    </w:p>
    <w:p w:rsidR="00A80244" w:rsidRPr="004457C7" w:rsidRDefault="001E4AB6" w:rsidP="004457C7">
      <w:pPr>
        <w:spacing w:line="276" w:lineRule="auto"/>
        <w:ind w:firstLine="708"/>
      </w:pPr>
      <w:r w:rsidRPr="004457C7">
        <w:t xml:space="preserve">Návrh zákona, ktorým sa mení a dopĺňa zákon č. 355/2007 Z. z. o ochrane, podpore a rozvoji verejného zdravia a o zmene a doplnení niektorých zákonov v znení neskorších predpisov (ďalej len „návrh zákona“) </w:t>
      </w:r>
      <w:r w:rsidR="009E4F15" w:rsidRPr="004457C7">
        <w:t xml:space="preserve">sa predkladá ako iniciatívny materiál a </w:t>
      </w:r>
      <w:r w:rsidRPr="004457C7">
        <w:t xml:space="preserve">súvisí s transpozíciou </w:t>
      </w:r>
      <w:r w:rsidRPr="004457C7">
        <w:rPr>
          <w:rFonts w:eastAsia="Times New Roman"/>
        </w:rPr>
        <w:t xml:space="preserve">smernice Európskeho parlamentu a Rady (EÚ) 2022/431 z 9. marca 2022, ktorou sa mení smernica 2004/37/ES o ochrane pracovníkov pred rizikami súvisiacimi s expozíciou karcinogénom alebo </w:t>
      </w:r>
      <w:proofErr w:type="spellStart"/>
      <w:r w:rsidRPr="004457C7">
        <w:rPr>
          <w:rFonts w:eastAsia="Times New Roman"/>
        </w:rPr>
        <w:t>mutagénom</w:t>
      </w:r>
      <w:proofErr w:type="spellEnd"/>
      <w:r w:rsidRPr="004457C7">
        <w:rPr>
          <w:rFonts w:eastAsia="Times New Roman"/>
        </w:rPr>
        <w:t xml:space="preserve"> pri práci</w:t>
      </w:r>
      <w:r w:rsidR="002C369C" w:rsidRPr="004457C7">
        <w:rPr>
          <w:rFonts w:eastAsia="Times New Roman"/>
        </w:rPr>
        <w:t xml:space="preserve"> (Ú. v. EÚ L 88,16.3.2022)</w:t>
      </w:r>
      <w:r w:rsidRPr="004457C7">
        <w:rPr>
          <w:rFonts w:eastAsia="Times New Roman"/>
        </w:rPr>
        <w:t xml:space="preserve"> (ďalej len „smernica (EÚ) 2022/431“)</w:t>
      </w:r>
      <w:r w:rsidR="00A80244" w:rsidRPr="004457C7">
        <w:rPr>
          <w:rFonts w:eastAsia="Times New Roman"/>
        </w:rPr>
        <w:t xml:space="preserve">. </w:t>
      </w:r>
      <w:r w:rsidR="00A80244" w:rsidRPr="004457C7">
        <w:t>Smernica (EÚ) 2022/431 sa do právneho poriadku Slovenskej republiky v súčasnosti preberá návrhom nariadenia vlády Slovenskej republiky o ochrane zdravia zamestnancov pred rizikami súvisiacimi s expozíciou karcinogénnym faktorom, mutagénnym faktorom alebo reprodukčne toxickým faktorom pri práci.</w:t>
      </w:r>
    </w:p>
    <w:p w:rsidR="00D527D4" w:rsidRPr="004457C7" w:rsidRDefault="00D527D4" w:rsidP="004457C7">
      <w:pPr>
        <w:spacing w:line="276" w:lineRule="auto"/>
        <w:ind w:firstLine="708"/>
      </w:pPr>
    </w:p>
    <w:p w:rsidR="00661E6A" w:rsidRPr="004457C7" w:rsidRDefault="001E4AB6" w:rsidP="004457C7">
      <w:pPr>
        <w:spacing w:line="276" w:lineRule="auto"/>
        <w:ind w:firstLine="708"/>
      </w:pPr>
      <w:r w:rsidRPr="004457C7">
        <w:t xml:space="preserve">Zákon č. 355/2007 Z. z. o ochrane, podpore a rozvoji verejného zdravia a o zmene a doplnení niektorých zákonov v znení neskorších predpisov v súčasnosti </w:t>
      </w:r>
      <w:r w:rsidR="00661E6A" w:rsidRPr="004457C7">
        <w:t xml:space="preserve">neupravuje opatrenia týkajúce sa ochrany zdravia pri expozícii zamestnancov reprodukčne toxickým faktorom pri práci. Z toho dôvodu </w:t>
      </w:r>
      <w:r w:rsidR="00442BE7" w:rsidRPr="004457C7">
        <w:t>bol pripravený</w:t>
      </w:r>
      <w:r w:rsidR="00661E6A" w:rsidRPr="004457C7">
        <w:t xml:space="preserve"> návrh </w:t>
      </w:r>
      <w:r w:rsidRPr="004457C7">
        <w:t>zákona</w:t>
      </w:r>
      <w:r w:rsidR="00661E6A" w:rsidRPr="004457C7">
        <w:t>, ktor</w:t>
      </w:r>
      <w:r w:rsidRPr="004457C7">
        <w:t>ý</w:t>
      </w:r>
      <w:r w:rsidR="00661E6A" w:rsidRPr="004457C7">
        <w:t xml:space="preserve"> okrem </w:t>
      </w:r>
      <w:r w:rsidR="00693FFA" w:rsidRPr="004457C7">
        <w:t>ochrany zdravia pri práci s </w:t>
      </w:r>
      <w:r w:rsidR="00661E6A" w:rsidRPr="004457C7">
        <w:t>karcinogénny</w:t>
      </w:r>
      <w:r w:rsidR="00693FFA" w:rsidRPr="004457C7">
        <w:t xml:space="preserve">mi </w:t>
      </w:r>
      <w:r w:rsidR="00FD4736" w:rsidRPr="004457C7">
        <w:t>faktor</w:t>
      </w:r>
      <w:r w:rsidR="00693FFA" w:rsidRPr="004457C7">
        <w:t>mi</w:t>
      </w:r>
      <w:r w:rsidR="00FD4736" w:rsidRPr="004457C7">
        <w:t xml:space="preserve"> </w:t>
      </w:r>
      <w:r w:rsidR="00661E6A" w:rsidRPr="004457C7">
        <w:t>a mutagénny</w:t>
      </w:r>
      <w:r w:rsidR="00693FFA" w:rsidRPr="004457C7">
        <w:t>mi</w:t>
      </w:r>
      <w:r w:rsidR="00661E6A" w:rsidRPr="004457C7">
        <w:t xml:space="preserve"> faktor</w:t>
      </w:r>
      <w:r w:rsidR="00693FFA" w:rsidRPr="004457C7">
        <w:t>mi</w:t>
      </w:r>
      <w:r w:rsidR="0074387C" w:rsidRPr="004457C7">
        <w:t xml:space="preserve"> </w:t>
      </w:r>
      <w:r w:rsidR="00661E6A" w:rsidRPr="004457C7">
        <w:t xml:space="preserve">upraví aj </w:t>
      </w:r>
      <w:r w:rsidR="00693FFA" w:rsidRPr="004457C7">
        <w:t xml:space="preserve">ochranu zdravia pri práci </w:t>
      </w:r>
      <w:r w:rsidR="008C4E69" w:rsidRPr="004457C7">
        <w:br/>
      </w:r>
      <w:r w:rsidR="00693FFA" w:rsidRPr="004457C7">
        <w:t xml:space="preserve">s </w:t>
      </w:r>
      <w:r w:rsidR="00661E6A" w:rsidRPr="004457C7">
        <w:t>reprodukčne toxickým</w:t>
      </w:r>
      <w:r w:rsidR="00693FFA" w:rsidRPr="004457C7">
        <w:t xml:space="preserve">i </w:t>
      </w:r>
      <w:r w:rsidR="00661E6A" w:rsidRPr="004457C7">
        <w:t>faktorm</w:t>
      </w:r>
      <w:r w:rsidR="00693FFA" w:rsidRPr="004457C7">
        <w:t>i</w:t>
      </w:r>
      <w:r w:rsidR="0074387C" w:rsidRPr="004457C7">
        <w:t xml:space="preserve"> </w:t>
      </w:r>
      <w:r w:rsidR="00661E6A" w:rsidRPr="004457C7">
        <w:t xml:space="preserve"> pri práci. </w:t>
      </w:r>
    </w:p>
    <w:p w:rsidR="001300F1" w:rsidRPr="004457C7" w:rsidRDefault="001300F1" w:rsidP="004457C7">
      <w:pPr>
        <w:pStyle w:val="Normlnywebov"/>
        <w:spacing w:before="0" w:beforeAutospacing="0" w:after="0" w:afterAutospacing="0" w:line="276" w:lineRule="auto"/>
        <w:ind w:firstLine="708"/>
        <w:jc w:val="both"/>
      </w:pPr>
    </w:p>
    <w:p w:rsidR="00661E6A" w:rsidRPr="004457C7" w:rsidRDefault="001300F1" w:rsidP="004457C7">
      <w:pPr>
        <w:pStyle w:val="Normlnywebov"/>
        <w:spacing w:before="0" w:beforeAutospacing="0" w:after="0" w:afterAutospacing="0" w:line="276" w:lineRule="auto"/>
        <w:ind w:firstLine="708"/>
        <w:jc w:val="both"/>
      </w:pPr>
      <w:r w:rsidRPr="004457C7">
        <w:t>Reprodukčne toxické</w:t>
      </w:r>
      <w:r w:rsidR="00661E6A" w:rsidRPr="004457C7">
        <w:t xml:space="preserve"> </w:t>
      </w:r>
      <w:r w:rsidR="00D224E2" w:rsidRPr="004457C7">
        <w:t xml:space="preserve">faktory </w:t>
      </w:r>
      <w:r w:rsidR="0074387C" w:rsidRPr="004457C7">
        <w:t xml:space="preserve">podobne ako </w:t>
      </w:r>
      <w:r w:rsidR="00D224E2" w:rsidRPr="004457C7">
        <w:t>karcinogénne faktory a mutagénne faktory</w:t>
      </w:r>
      <w:r w:rsidR="00661E6A" w:rsidRPr="004457C7">
        <w:t xml:space="preserve"> patria medzi látky vzbudzujúce veľmi veľké obavy z dôvodu, že môžu mať vážne a nezvratné účinky na zdravie zamestnancov</w:t>
      </w:r>
      <w:r w:rsidR="00CB18F6" w:rsidRPr="004457C7">
        <w:t>, najmä na pohlavné funkcie a plodnosť dospelých mužov a žien, na laktáciu žien a na vývoj ich potomstva</w:t>
      </w:r>
      <w:r w:rsidR="00661E6A" w:rsidRPr="004457C7">
        <w:t>.</w:t>
      </w:r>
    </w:p>
    <w:p w:rsidR="002D5CA5" w:rsidRPr="004457C7" w:rsidRDefault="002D5CA5" w:rsidP="004457C7">
      <w:pPr>
        <w:pStyle w:val="Nadpis1"/>
        <w:spacing w:line="276" w:lineRule="auto"/>
        <w:jc w:val="both"/>
        <w:rPr>
          <w:b w:val="0"/>
          <w:bCs w:val="0"/>
        </w:rPr>
      </w:pPr>
    </w:p>
    <w:p w:rsidR="00540906" w:rsidRPr="004457C7" w:rsidRDefault="00540906" w:rsidP="004457C7">
      <w:pPr>
        <w:spacing w:line="276" w:lineRule="auto"/>
        <w:ind w:firstLine="720"/>
        <w:rPr>
          <w:rFonts w:eastAsia="Times New Roman"/>
        </w:rPr>
      </w:pPr>
      <w:r w:rsidRPr="004457C7">
        <w:rPr>
          <w:rFonts w:eastAsia="Times New Roman"/>
        </w:rPr>
        <w:t xml:space="preserve">Návrh </w:t>
      </w:r>
      <w:r w:rsidR="00CB18F6" w:rsidRPr="004457C7">
        <w:rPr>
          <w:rFonts w:eastAsia="Times New Roman"/>
        </w:rPr>
        <w:t>zákona</w:t>
      </w:r>
      <w:r w:rsidRPr="004457C7">
        <w:rPr>
          <w:rFonts w:eastAsia="Times New Roman"/>
        </w:rPr>
        <w:t xml:space="preserve"> je v súlade s Ústavou Slovenskej republiky, </w:t>
      </w:r>
      <w:r w:rsidR="00661E6A" w:rsidRPr="004457C7">
        <w:rPr>
          <w:rFonts w:eastAsia="Times New Roman"/>
        </w:rPr>
        <w:t xml:space="preserve">s ústavnými </w:t>
      </w:r>
      <w:r w:rsidRPr="004457C7">
        <w:rPr>
          <w:rFonts w:eastAsia="Times New Roman"/>
        </w:rPr>
        <w:t xml:space="preserve">zákonmi </w:t>
      </w:r>
      <w:r w:rsidR="00E05DD5" w:rsidRPr="004457C7">
        <w:rPr>
          <w:rFonts w:eastAsia="Times New Roman"/>
        </w:rPr>
        <w:t>a nálezmi Ú</w:t>
      </w:r>
      <w:r w:rsidR="00661E6A" w:rsidRPr="004457C7">
        <w:rPr>
          <w:rFonts w:eastAsia="Times New Roman"/>
        </w:rPr>
        <w:t>stavného súdu</w:t>
      </w:r>
      <w:r w:rsidR="00E05DD5" w:rsidRPr="004457C7">
        <w:rPr>
          <w:rFonts w:eastAsia="Times New Roman"/>
        </w:rPr>
        <w:t xml:space="preserve"> Slovenskej republiky</w:t>
      </w:r>
      <w:r w:rsidR="00661E6A" w:rsidRPr="004457C7">
        <w:rPr>
          <w:rFonts w:eastAsia="Times New Roman"/>
        </w:rPr>
        <w:t>, s inými zákonmi,</w:t>
      </w:r>
      <w:r w:rsidRPr="004457C7">
        <w:rPr>
          <w:rFonts w:eastAsia="Times New Roman"/>
        </w:rPr>
        <w:t xml:space="preserve"> medzinárodnými zmluvami a</w:t>
      </w:r>
      <w:r w:rsidR="00661E6A" w:rsidRPr="004457C7">
        <w:rPr>
          <w:rFonts w:eastAsia="Times New Roman"/>
        </w:rPr>
        <w:t xml:space="preserve"> inými </w:t>
      </w:r>
      <w:r w:rsidRPr="004457C7">
        <w:rPr>
          <w:rFonts w:eastAsia="Times New Roman"/>
        </w:rPr>
        <w:t>medzinárodnými dokumentmi, ktorými je Slovenská republika viazaná a s právom Európskej únie.</w:t>
      </w:r>
    </w:p>
    <w:p w:rsidR="005E5F96" w:rsidRPr="004457C7" w:rsidRDefault="005E5F96" w:rsidP="004457C7">
      <w:pPr>
        <w:spacing w:line="276" w:lineRule="auto"/>
        <w:ind w:firstLine="720"/>
        <w:rPr>
          <w:rFonts w:eastAsia="Times New Roman"/>
        </w:rPr>
      </w:pPr>
    </w:p>
    <w:p w:rsidR="00047E3C" w:rsidRPr="004457C7" w:rsidRDefault="00540906" w:rsidP="004457C7">
      <w:pPr>
        <w:spacing w:line="276" w:lineRule="auto"/>
        <w:ind w:firstLine="720"/>
        <w:rPr>
          <w:rFonts w:eastAsia="Times New Roman"/>
        </w:rPr>
      </w:pPr>
      <w:r w:rsidRPr="004457C7">
        <w:rPr>
          <w:rFonts w:eastAsia="Times New Roman"/>
        </w:rPr>
        <w:t xml:space="preserve">Predložený návrh </w:t>
      </w:r>
      <w:r w:rsidR="00CB18F6" w:rsidRPr="004457C7">
        <w:rPr>
          <w:rFonts w:eastAsia="Times New Roman"/>
        </w:rPr>
        <w:t>zákona</w:t>
      </w:r>
      <w:r w:rsidRPr="004457C7">
        <w:rPr>
          <w:rFonts w:eastAsia="Times New Roman"/>
        </w:rPr>
        <w:t xml:space="preserve"> nemá vplyv na rozpočet verejnej správy, </w:t>
      </w:r>
      <w:r w:rsidR="00935855" w:rsidRPr="004457C7">
        <w:rPr>
          <w:rFonts w:eastAsia="Times New Roman"/>
        </w:rPr>
        <w:t xml:space="preserve">vplyv na podnikateľské prostredie, sociálne vplyvy, </w:t>
      </w:r>
      <w:r w:rsidRPr="004457C7">
        <w:rPr>
          <w:rFonts w:eastAsia="Times New Roman"/>
        </w:rPr>
        <w:t>vplyv na životné prostredie, vplyv na informatizáciu spoločnosti, vplyv na slu</w:t>
      </w:r>
      <w:r w:rsidR="00935855" w:rsidRPr="004457C7">
        <w:rPr>
          <w:rFonts w:eastAsia="Times New Roman"/>
        </w:rPr>
        <w:t xml:space="preserve">žby verejnej správy pre občana, ani </w:t>
      </w:r>
      <w:r w:rsidRPr="004457C7">
        <w:rPr>
          <w:rFonts w:eastAsia="Times New Roman"/>
        </w:rPr>
        <w:t>vplyv na manželstvo, rodičovstvo a rodinu.</w:t>
      </w:r>
    </w:p>
    <w:p w:rsidR="001300F1" w:rsidRPr="004457C7" w:rsidRDefault="001300F1" w:rsidP="004457C7">
      <w:pPr>
        <w:spacing w:line="276" w:lineRule="auto"/>
        <w:ind w:firstLine="708"/>
      </w:pPr>
    </w:p>
    <w:p w:rsidR="00D276C1" w:rsidRPr="004457C7" w:rsidRDefault="00D276C1" w:rsidP="004457C7">
      <w:pPr>
        <w:spacing w:line="276" w:lineRule="auto"/>
        <w:ind w:firstLine="708"/>
        <w:rPr>
          <w:rFonts w:eastAsia="Times New Roman"/>
          <w:iCs/>
        </w:rPr>
      </w:pPr>
      <w:r w:rsidRPr="004457C7">
        <w:t xml:space="preserve">Náklady spojené s návrhom zákona </w:t>
      </w:r>
      <w:r w:rsidRPr="004457C7">
        <w:rPr>
          <w:rFonts w:eastAsia="Times New Roman"/>
          <w:iCs/>
        </w:rPr>
        <w:t xml:space="preserve">súvisia s návrhom nariadenia vlády Slovenskej republiky o ochrane zdravia zamestnancov pred rizikami súvisiacimi s expozíciou karcinogénnym </w:t>
      </w:r>
      <w:r w:rsidRPr="004457C7">
        <w:rPr>
          <w:rFonts w:eastAsia="Times New Roman"/>
          <w:bCs/>
          <w:iCs/>
        </w:rPr>
        <w:t>faktorom</w:t>
      </w:r>
      <w:r w:rsidRPr="004457C7">
        <w:rPr>
          <w:rFonts w:eastAsia="Times New Roman"/>
          <w:iCs/>
        </w:rPr>
        <w:t xml:space="preserve">, mutagénnym </w:t>
      </w:r>
      <w:r w:rsidRPr="004457C7">
        <w:rPr>
          <w:rFonts w:eastAsia="Times New Roman"/>
          <w:bCs/>
          <w:iCs/>
        </w:rPr>
        <w:t>faktorom</w:t>
      </w:r>
      <w:r w:rsidRPr="004457C7">
        <w:rPr>
          <w:rFonts w:eastAsia="Times New Roman"/>
          <w:iCs/>
        </w:rPr>
        <w:t xml:space="preserve"> alebo reprodukčne toxickým faktorom pri práci. Bližší popis predmetnej regulácie je uvedený v analýze nákladov na podnikateľské prostredie v návrhu nariadenia vlády Slovenskej republiky o ochrane zdravia zamestnancov pred rizikami súvisiacimi s expozíciou karcinogénnym </w:t>
      </w:r>
      <w:r w:rsidRPr="004457C7">
        <w:rPr>
          <w:rFonts w:eastAsia="Times New Roman"/>
          <w:bCs/>
          <w:iCs/>
        </w:rPr>
        <w:t>faktorom</w:t>
      </w:r>
      <w:r w:rsidRPr="004457C7">
        <w:rPr>
          <w:rFonts w:eastAsia="Times New Roman"/>
          <w:iCs/>
        </w:rPr>
        <w:t xml:space="preserve">, mutagénnym </w:t>
      </w:r>
      <w:r w:rsidRPr="004457C7">
        <w:rPr>
          <w:rFonts w:eastAsia="Times New Roman"/>
          <w:bCs/>
          <w:iCs/>
        </w:rPr>
        <w:t>faktorom</w:t>
      </w:r>
      <w:r w:rsidRPr="004457C7">
        <w:rPr>
          <w:rFonts w:eastAsia="Times New Roman"/>
          <w:iCs/>
        </w:rPr>
        <w:t xml:space="preserve"> alebo reprodukčne toxickým faktorom pri práci. Z dôvodu duplicity nákladov sa vplyv návrhu zákona neuvádza. </w:t>
      </w:r>
    </w:p>
    <w:p w:rsidR="000B29AF" w:rsidRPr="009B3A1C" w:rsidRDefault="000B29AF" w:rsidP="004457C7">
      <w:pPr>
        <w:spacing w:line="276" w:lineRule="auto"/>
        <w:jc w:val="center"/>
        <w:rPr>
          <w:rFonts w:eastAsia="Times New Roman"/>
          <w:b/>
        </w:rPr>
      </w:pPr>
      <w:r w:rsidRPr="009B3A1C">
        <w:rPr>
          <w:rFonts w:eastAsia="Times New Roman"/>
          <w:b/>
        </w:rPr>
        <w:lastRenderedPageBreak/>
        <w:t>Doložka vybraných vplyvov</w:t>
      </w:r>
    </w:p>
    <w:p w:rsidR="000B29AF" w:rsidRPr="004457C7" w:rsidRDefault="000B29AF" w:rsidP="004457C7">
      <w:pPr>
        <w:spacing w:line="276" w:lineRule="auto"/>
        <w:ind w:left="426"/>
        <w:contextualSpacing/>
        <w:rPr>
          <w:rFonts w:eastAsia="Calibri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0B29AF" w:rsidRPr="009B3A1C" w:rsidTr="000B29AF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26"/>
              <w:contextualSpacing/>
              <w:jc w:val="left"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Základné údaje</w:t>
            </w: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ind w:left="142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Názov materiálu</w:t>
            </w: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Návrh zákona, ktorým sa mení a dopĺňa zákon č. 355/2007 Z. z. o ochrane, podpore a rozvoji verejného zdravia a o zmene a doplnení niektorých zákonov v znení neskorších predpisov (ďalej len „návrh zákona“).</w:t>
            </w: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ind w:left="142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Predkladateľ (a spolupredkladateľ)</w:t>
            </w: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Ministerstvo zdravotníctva Slovenskej republiky </w:t>
            </w:r>
          </w:p>
        </w:tc>
      </w:tr>
      <w:tr w:rsidR="000B29AF" w:rsidRPr="009B3A1C" w:rsidTr="000B29A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0B29AF" w:rsidRPr="009B3A1C" w:rsidRDefault="000B29AF" w:rsidP="004457C7">
            <w:pPr>
              <w:spacing w:line="276" w:lineRule="auto"/>
              <w:ind w:left="142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Charakter predkladaného materiálu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901099221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0B29AF" w:rsidRPr="009B3A1C" w:rsidTr="000B29A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/>
              <w:sz w:val="20"/>
              <w:szCs w:val="20"/>
            </w:rPr>
            <w:id w:val="1281381661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ind w:left="175" w:hanging="175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0B29AF" w:rsidRPr="009B3A1C" w:rsidTr="000B29A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/>
              <w:sz w:val="20"/>
              <w:szCs w:val="20"/>
            </w:rPr>
            <w:id w:val="-1821804044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0B29AF" w:rsidRPr="009B3A1C" w:rsidRDefault="000B29AF" w:rsidP="004457C7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278" w:hanging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Smernica Európskeho parlamentu a Rady (EÚ) 2022/431 z 9. marca 2022, ktorou sa mení smernica 2004/37/ES o ochrane pracovníkov pred rizikami súvisiacimi s expozíciou karcinogénom alebo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mutagénom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pri práci (Ú. v. EÚ L 88/1, 16.03.2022).</w:t>
            </w:r>
          </w:p>
        </w:tc>
      </w:tr>
      <w:tr w:rsidR="000B29AF" w:rsidRPr="009B3A1C" w:rsidTr="000B29AF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ind w:left="142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/>
                <w:strike/>
                <w:sz w:val="20"/>
                <w:szCs w:val="20"/>
                <w:lang w:eastAsia="sk-SK"/>
              </w:rPr>
            </w:pPr>
          </w:p>
        </w:tc>
      </w:tr>
      <w:tr w:rsidR="000B29AF" w:rsidRPr="009B3A1C" w:rsidTr="000B29AF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ind w:left="142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i/>
                <w:sz w:val="20"/>
                <w:szCs w:val="20"/>
                <w:lang w:eastAsia="sk-SK"/>
              </w:rPr>
              <w:t>08/2023</w:t>
            </w:r>
          </w:p>
        </w:tc>
      </w:tr>
      <w:tr w:rsidR="000B29AF" w:rsidRPr="009B3A1C" w:rsidTr="000B29AF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ind w:left="142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 xml:space="preserve">Predpokladaný termín začiatku a ukončenia ZP**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/>
                <w:sz w:val="20"/>
                <w:szCs w:val="20"/>
                <w:lang w:eastAsia="sk-SK"/>
              </w:rPr>
            </w:pPr>
          </w:p>
        </w:tc>
      </w:tr>
      <w:tr w:rsidR="000B29AF" w:rsidRPr="009B3A1C" w:rsidTr="000B29AF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ind w:left="142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i/>
                <w:sz w:val="20"/>
                <w:szCs w:val="20"/>
                <w:lang w:eastAsia="sk-SK"/>
              </w:rPr>
              <w:t>11/2023</w:t>
            </w: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26"/>
              <w:contextualSpacing/>
              <w:jc w:val="left"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Definovanie problému</w:t>
            </w:r>
          </w:p>
        </w:tc>
      </w:tr>
      <w:tr w:rsidR="000B29AF" w:rsidRPr="009B3A1C" w:rsidTr="000B29AF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AF" w:rsidRPr="009B3A1C" w:rsidRDefault="000B29AF" w:rsidP="004457C7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278" w:hanging="27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B3A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do právneho poriadku Slovenskej republiky sa preberá smernica Európskeho parlamentu a Rady (EÚ) 2022/431 z 9. marca 2022, ktorou sa mení smernica 2004/37/ES o ochrane pracovníkov pred rizikami súvisiacimi s expozíciou karcinogénom alebo </w:t>
            </w:r>
            <w:proofErr w:type="spellStart"/>
            <w:r w:rsidRPr="009B3A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mutagénom</w:t>
            </w:r>
            <w:proofErr w:type="spellEnd"/>
            <w:r w:rsidRPr="009B3A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pri práci </w:t>
            </w:r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(Ú. v. EÚ L 88/1, 16.03.2022) </w:t>
            </w:r>
            <w:r w:rsidRPr="009B3A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len „smernica (EÚ) 2022/431“),</w:t>
            </w:r>
          </w:p>
          <w:p w:rsidR="000B29AF" w:rsidRPr="009B3A1C" w:rsidRDefault="000B29AF" w:rsidP="004457C7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B3A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reprodukčne toxické </w:t>
            </w:r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faktory</w:t>
            </w:r>
            <w:r w:rsidRPr="009B3A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môžu byť príčinou nepriaznivých účinkov na pohlavné funkcie a plodnosť dospelých mužov a žien, ako aj na vývoj potomstva;</w:t>
            </w:r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podobne ako karcinogénne faktory a mutagénne faktory patria medzi látky vzbudzujúce veľmi veľké obavy,</w:t>
            </w:r>
          </w:p>
          <w:p w:rsidR="000B29AF" w:rsidRPr="009B3A1C" w:rsidRDefault="000B29AF" w:rsidP="004457C7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zákon č. 355/2007 Z. z. o ochrane, podpore a rozvoji verejného zdravia a o zmene a doplnení niektorých zákonov v znení neskorších predpisov (ďalej len „zákon č. 355/2007 Z. z.“) v súčasnosti neupravuje opatrenia týkajúce sa ochrany zdravia pri expozícii zamestnancov reprodukčne toxickým faktorom pri práci,</w:t>
            </w:r>
          </w:p>
          <w:p w:rsidR="000B29AF" w:rsidRPr="009B3A1C" w:rsidRDefault="000B29AF" w:rsidP="004457C7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z toho dôvodu Ministerstvo zdravotníctva Slovenskej republiky pripravilo návrh zákona, ktorý okrem ochrany zdravia pri práci s karcinogénnymi faktormi a mutagénnymi faktormi upraví aj ochranu zdravia pri práci s reprodukčne toxickými faktormi  pri práci. 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26"/>
              <w:contextualSpacing/>
              <w:jc w:val="left"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Ciele a výsledný stav</w:t>
            </w:r>
          </w:p>
        </w:tc>
      </w:tr>
      <w:tr w:rsidR="000B29AF" w:rsidRPr="009B3A1C" w:rsidTr="000B29AF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AF" w:rsidRPr="009B3A1C" w:rsidRDefault="000B29AF" w:rsidP="004457C7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ind w:left="356" w:hanging="3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B3A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zákona je zlepšiť ochranu zdravia zamestnancov pri práci tým, že sa v súlade so smernicou (EÚ) 2022/431 dopĺňajú ustanovenia súvisiace s ochranou zdravia zamestnancov exponovaných pri práci reprodukčne toxickým faktorom, ktoré môžu mať vážne a nezvratné účinky na zdravie zamestnancov.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26"/>
              <w:contextualSpacing/>
              <w:jc w:val="left"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Dotknuté subjekty</w:t>
            </w: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Cs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 xml:space="preserve">Fyzické osoby – podnikatelia a právnické osoby 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Cs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 xml:space="preserve">Subjekty, ktorých sa zmeny predkladaného materiálu dotknú priamo sú: </w:t>
            </w:r>
          </w:p>
          <w:p w:rsidR="000B29AF" w:rsidRPr="009B3A1C" w:rsidRDefault="000B29AF" w:rsidP="004457C7">
            <w:pPr>
              <w:pStyle w:val="Odsekzoznamu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  <w:r w:rsidRPr="009B3A1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t>Zamestnávatelia, ktorí zamestnávajú zamestnancov exponovaných karcinogénnym faktorom, mutagénnym faktorom alebo reprodukčne toxickým faktorom pri práci</w:t>
            </w:r>
          </w:p>
          <w:p w:rsidR="000B29AF" w:rsidRPr="009B3A1C" w:rsidRDefault="000B29AF" w:rsidP="004457C7">
            <w:pPr>
              <w:pStyle w:val="Odsekzoznamu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  <w:r w:rsidRPr="009B3A1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t>Zamestnanci, ktorí sú exponovaní karcinogénnym faktorom, mutagénnym faktorom alebo reprodukčne toxickým faktorom pri práci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Cs/>
                <w:iCs/>
                <w:sz w:val="20"/>
                <w:szCs w:val="20"/>
                <w:lang w:eastAsia="sk-SK"/>
              </w:rPr>
            </w:pP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Cs/>
                <w:iCs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Cs/>
                <w:iCs/>
                <w:sz w:val="20"/>
                <w:szCs w:val="20"/>
                <w:lang w:eastAsia="sk-SK"/>
              </w:rPr>
              <w:t>Subjekty, ktorých sa zmeny predkladaného materiálu dotknú nepriamo sú:</w:t>
            </w:r>
          </w:p>
          <w:p w:rsidR="000B29AF" w:rsidRPr="009B3A1C" w:rsidRDefault="000B29AF" w:rsidP="004457C7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  <w:r w:rsidRPr="009B3A1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t>Pracovné zdravotné služby</w:t>
            </w:r>
          </w:p>
          <w:p w:rsidR="000B29AF" w:rsidRPr="009B3A1C" w:rsidRDefault="000B29AF" w:rsidP="004457C7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  <w:r w:rsidRPr="009B3A1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t>Orgány štátnej správy na úseku verejného zdravotníctva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/>
                <w:sz w:val="20"/>
                <w:szCs w:val="20"/>
                <w:lang w:eastAsia="sk-SK"/>
              </w:rPr>
            </w:pP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26"/>
              <w:contextualSpacing/>
              <w:jc w:val="left"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lastRenderedPageBreak/>
              <w:t>Alternatívne riešenia</w:t>
            </w:r>
          </w:p>
        </w:tc>
      </w:tr>
      <w:tr w:rsidR="000B29AF" w:rsidRPr="009B3A1C" w:rsidTr="000B29AF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bCs/>
                <w:iCs/>
                <w:sz w:val="20"/>
                <w:szCs w:val="20"/>
                <w:lang w:eastAsia="sk-SK"/>
              </w:rPr>
              <w:t>Alternatíva 0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Cs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bCs/>
                <w:iCs/>
                <w:sz w:val="20"/>
                <w:szCs w:val="20"/>
                <w:lang w:eastAsia="sk-SK"/>
              </w:rPr>
              <w:t>Zachovanie doterajšej právnej úpravy: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 xml:space="preserve"> 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Cs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 xml:space="preserve">Nezosúladenie vnútroštátneho právneho poriadku a netransponovanie smernice do právneho poriadku Slovenskej republiky by mohlo byť Európskou komisiou považované za nesplnenie povinností vyplývajúcich Slovenskej republike z primárneho práva Európskej únie (Zmluva o Európskej únii a Zmluva o fungovaní Európskej únie) a následne by Európska únia na základe článku 258 Zmluvy o fungovaní Európskej únie mohla predložiť toto svoje zistenie Súdnemu dvoru Európskej únie v rámci tzv. </w:t>
            </w:r>
            <w:proofErr w:type="spellStart"/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>infringement</w:t>
            </w:r>
            <w:proofErr w:type="spellEnd"/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>proceedings</w:t>
            </w:r>
            <w:proofErr w:type="spellEnd"/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>.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Cs/>
                <w:sz w:val="20"/>
                <w:szCs w:val="20"/>
                <w:lang w:eastAsia="sk-SK"/>
              </w:rPr>
            </w:pP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bCs/>
                <w:iCs/>
                <w:sz w:val="20"/>
                <w:szCs w:val="20"/>
                <w:lang w:eastAsia="sk-SK"/>
              </w:rPr>
              <w:t>Alternatíva 1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>Znamená prebratie smernice (EÚ) 2022/431 do právneho poriadku Slovenskej republiky a splnenie medzinárodných záväzkov.</w:t>
            </w: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26"/>
              <w:contextualSpacing/>
              <w:jc w:val="left"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Vykonávacie predpisy</w:t>
            </w:r>
          </w:p>
        </w:tc>
      </w:tr>
      <w:tr w:rsidR="000B29AF" w:rsidRPr="009B3A1C" w:rsidTr="000B29AF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0B29AF" w:rsidRPr="009B3A1C" w:rsidRDefault="00577CBC" w:rsidP="004457C7">
            <w:pPr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eastAsia="Times New Roman"/>
                  <w:b/>
                  <w:sz w:val="20"/>
                  <w:szCs w:val="20"/>
                </w:rPr>
                <w:id w:val="1929613764"/>
              </w:sdtPr>
              <w:sdtEndPr/>
              <w:sdtContent>
                <w:r w:rsidR="000B29AF"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0B29AF"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B29AF" w:rsidRPr="009B3A1C" w:rsidRDefault="00577CBC" w:rsidP="004457C7">
            <w:pPr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eastAsia="Times New Roman"/>
                  <w:b/>
                  <w:sz w:val="20"/>
                  <w:szCs w:val="20"/>
                </w:rPr>
                <w:id w:val="-1594626508"/>
              </w:sdtPr>
              <w:sdtEndPr/>
              <w:sdtContent>
                <w:r w:rsidR="000B29AF"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0B29AF"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sz w:val="20"/>
                <w:szCs w:val="20"/>
              </w:rPr>
            </w:pP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sz w:val="20"/>
                <w:szCs w:val="20"/>
              </w:rPr>
              <w:t>Návrh vyhlášky Ministerstva zdravotníctva Slovenskej republiky, ktorou sa mení vyhláška Ministerstva zdravotníctva Slovenskej republiky č. 448/2007 Z. z. o podrobnostiach o faktoroch práce a pracovného prostredia vo vzťahu ku kategorizácii prác z hľadiska zdravotných rizík a o náležitostiach návrhu na zaradenie prác do kategórií v znení neskorších predpisov.</w:t>
            </w: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26"/>
              <w:contextualSpacing/>
              <w:jc w:val="left"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0B29AF" w:rsidRPr="009B3A1C" w:rsidTr="000B29AF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27"/>
            </w:tblGrid>
            <w:tr w:rsidR="000B29AF" w:rsidRPr="009B3A1C" w:rsidTr="004457C7">
              <w:trPr>
                <w:trHeight w:val="63"/>
              </w:trPr>
              <w:tc>
                <w:tcPr>
                  <w:tcW w:w="8627" w:type="dxa"/>
                </w:tcPr>
                <w:p w:rsidR="000B29AF" w:rsidRPr="009B3A1C" w:rsidRDefault="000B29AF" w:rsidP="004457C7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9B3A1C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9B3A1C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9B3A1C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zhody. </w:t>
                  </w:r>
                </w:p>
              </w:tc>
            </w:tr>
            <w:tr w:rsidR="000B29AF" w:rsidRPr="009B3A1C" w:rsidTr="004457C7">
              <w:trPr>
                <w:trHeight w:val="208"/>
              </w:trPr>
              <w:tc>
                <w:tcPr>
                  <w:tcW w:w="8627" w:type="dxa"/>
                </w:tcPr>
                <w:p w:rsidR="000B29AF" w:rsidRPr="009B3A1C" w:rsidRDefault="000B29AF" w:rsidP="004457C7">
                  <w:pPr>
                    <w:pStyle w:val="Default"/>
                    <w:spacing w:line="276" w:lineRule="auto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9B3A1C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</w:sdtPr>
                    <w:sdtEndPr/>
                    <w:sdtContent>
                      <w:r w:rsidRPr="009B3A1C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9B3A1C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</w:sdtPr>
                    <w:sdtEndPr/>
                    <w:sdtContent>
                      <w:r w:rsidRPr="009B3A1C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9B3A1C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</w:tc>
            </w:tr>
            <w:tr w:rsidR="000B29AF" w:rsidRPr="009B3A1C" w:rsidTr="004457C7">
              <w:trPr>
                <w:trHeight w:val="208"/>
              </w:trPr>
              <w:tc>
                <w:tcPr>
                  <w:tcW w:w="8627" w:type="dxa"/>
                </w:tcPr>
                <w:p w:rsidR="000B29AF" w:rsidRPr="009B3A1C" w:rsidRDefault="000B29AF" w:rsidP="004457C7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/>
                <w:sz w:val="20"/>
                <w:szCs w:val="20"/>
                <w:lang w:eastAsia="sk-SK"/>
              </w:rPr>
            </w:pPr>
          </w:p>
        </w:tc>
      </w:tr>
      <w:tr w:rsidR="000B29AF" w:rsidRPr="009B3A1C" w:rsidTr="000B29AF">
        <w:trPr>
          <w:trHeight w:val="81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26"/>
              <w:contextualSpacing/>
              <w:jc w:val="left"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Preskúmanie účelnosti</w:t>
            </w: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 xml:space="preserve">Je potrebné uviesť, že doplnenie ustanovení, ktoré sa týkajú ochrany zdravia zamestnancov pri práci s karcinogénnymi faktormi a mutagénnymi faktormi o ustanovenia týkajúce sa ochrany zdravia zamestnancov pri práci s reprodukčne toxickými faktormi sa prejaví až v dlhodobom horizonte, preto nebude možné reálne preskúmať účelnosť prijatia 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smernice (EÚ) 2022/431 v najbližších rokoch. 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 xml:space="preserve">Preskúmanie účelnosti návrhu zákona vzhľadom na vyššie uvedené bude vykonané 10 rokov po nadobudnutí jeho účinnosti, pričom sa bude preskúmavať naplnenie cieľov návrhu zákona v aplikačnej praxi a bude náplňou ex post hodnotenia. </w:t>
            </w:r>
          </w:p>
        </w:tc>
      </w:tr>
      <w:tr w:rsidR="000B29AF" w:rsidRPr="009B3A1C" w:rsidTr="000B29AF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  <w:p w:rsidR="000B29AF" w:rsidRPr="009B3A1C" w:rsidRDefault="000B29AF" w:rsidP="004457C7">
            <w:pPr>
              <w:spacing w:line="276" w:lineRule="auto"/>
              <w:ind w:left="142" w:hanging="142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</w:tr>
      <w:tr w:rsidR="000B29AF" w:rsidRPr="009B3A1C" w:rsidTr="000B29AF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26"/>
              <w:contextualSpacing/>
              <w:jc w:val="left"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Vybrané vplyvy  materiálu</w:t>
            </w:r>
          </w:p>
        </w:tc>
      </w:tr>
      <w:tr w:rsidR="000B29AF" w:rsidRPr="009B3A1C" w:rsidTr="000B29A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066412587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481296198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755052973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ind w:left="-107" w:right="-108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B29AF" w:rsidRPr="009B3A1C" w:rsidRDefault="000B29AF" w:rsidP="004457C7">
            <w:pPr>
              <w:spacing w:line="276" w:lineRule="auto"/>
              <w:ind w:left="3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B29AF" w:rsidRPr="009B3A1C" w:rsidTr="000B29A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1143340457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405798427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1346477702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ind w:left="-107" w:right="-108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ind w:left="34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0B29AF" w:rsidRPr="009B3A1C" w:rsidTr="000B29A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577430931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035963967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094750243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ind w:left="-107" w:right="-108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B29AF" w:rsidRPr="009B3A1C" w:rsidRDefault="000B29AF" w:rsidP="004457C7">
            <w:pPr>
              <w:spacing w:line="276" w:lineRule="auto"/>
              <w:ind w:left="3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B29AF" w:rsidRPr="009B3A1C" w:rsidTr="000B29A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ind w:left="171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0B29AF" w:rsidRPr="009B3A1C" w:rsidRDefault="000B29AF" w:rsidP="004457C7">
            <w:pPr>
              <w:spacing w:line="276" w:lineRule="auto"/>
              <w:ind w:left="171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64164179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638265537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302770412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ind w:left="-107" w:right="-108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ind w:left="34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0B29AF" w:rsidRPr="009B3A1C" w:rsidTr="000B29A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ind w:left="171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lastRenderedPageBreak/>
              <w:t>Vplyv na dlhodobú udržateľnosť verejných financií v prípade vybraných opatrení ***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1319963142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/>
              <w:sz w:val="20"/>
              <w:szCs w:val="20"/>
            </w:rPr>
            <w:id w:val="217795167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ind w:left="-107" w:right="-108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ind w:left="34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Nie</w:t>
            </w:r>
          </w:p>
        </w:tc>
      </w:tr>
      <w:tr w:rsidR="000B29AF" w:rsidRPr="009B3A1C" w:rsidTr="000B29A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470941242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2038465019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558398718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B29AF" w:rsidRPr="009B3A1C" w:rsidTr="000B29AF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/>
              <w:sz w:val="20"/>
              <w:szCs w:val="20"/>
            </w:rPr>
            <w:id w:val="862408102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ind w:right="-108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994611021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386717170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ind w:left="54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0B29AF" w:rsidRPr="009B3A1C" w:rsidTr="000B29A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817577505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365677636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AF" w:rsidRPr="009B3A1C" w:rsidRDefault="000B29AF" w:rsidP="004457C7">
            <w:pPr>
              <w:spacing w:line="276" w:lineRule="auto"/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>Nie</w:t>
            </w:r>
          </w:p>
        </w:tc>
      </w:tr>
      <w:tr w:rsidR="000B29AF" w:rsidRPr="009B3A1C" w:rsidTr="000B29A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958945844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9AF" w:rsidRPr="009B3A1C" w:rsidRDefault="000B29AF" w:rsidP="004457C7">
            <w:pPr>
              <w:spacing w:line="276" w:lineRule="auto"/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872293991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692835279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9AF" w:rsidRPr="009B3A1C" w:rsidRDefault="000B29AF" w:rsidP="004457C7">
            <w:pPr>
              <w:spacing w:line="276" w:lineRule="auto"/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B29AF" w:rsidRPr="009B3A1C" w:rsidTr="000B29A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474483314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9AF" w:rsidRPr="009B3A1C" w:rsidRDefault="000B29AF" w:rsidP="004457C7">
            <w:pPr>
              <w:spacing w:line="276" w:lineRule="auto"/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2060162118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285088255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9AF" w:rsidRPr="009B3A1C" w:rsidRDefault="000B29AF" w:rsidP="004457C7">
            <w:pPr>
              <w:spacing w:line="276" w:lineRule="auto"/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B29AF" w:rsidRPr="009B3A1C" w:rsidTr="000B29A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573421395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9AF" w:rsidRPr="009B3A1C" w:rsidRDefault="000B29AF" w:rsidP="004457C7">
            <w:pPr>
              <w:spacing w:line="276" w:lineRule="auto"/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69603435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69528927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B29AF" w:rsidRPr="009B3A1C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9B3A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9AF" w:rsidRPr="009B3A1C" w:rsidRDefault="000B29AF" w:rsidP="004457C7">
            <w:pPr>
              <w:spacing w:line="276" w:lineRule="auto"/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B29AF" w:rsidRPr="004457C7" w:rsidTr="00B62E0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B29AF" w:rsidRPr="004457C7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  <w:r w:rsidRPr="004457C7">
              <w:rPr>
                <w:rFonts w:eastAsia="Calibri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29AF" w:rsidRPr="004457C7" w:rsidRDefault="000B29AF" w:rsidP="004457C7">
            <w:pPr>
              <w:spacing w:line="276" w:lineRule="auto"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29AF" w:rsidRPr="004457C7" w:rsidRDefault="000B29AF" w:rsidP="004457C7">
            <w:pPr>
              <w:spacing w:line="276" w:lineRule="auto"/>
              <w:ind w:right="-108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29AF" w:rsidRPr="004457C7" w:rsidRDefault="000B29AF" w:rsidP="004457C7">
            <w:pPr>
              <w:spacing w:line="276" w:lineRule="auto"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29AF" w:rsidRPr="004457C7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29AF" w:rsidRPr="004457C7" w:rsidRDefault="000B29AF" w:rsidP="004457C7">
            <w:pPr>
              <w:spacing w:line="276" w:lineRule="auto"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29AF" w:rsidRPr="004457C7" w:rsidRDefault="000B29AF" w:rsidP="004457C7">
            <w:pPr>
              <w:spacing w:line="276" w:lineRule="auto"/>
              <w:ind w:left="54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B29AF" w:rsidRPr="004457C7" w:rsidTr="00B62E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B29AF" w:rsidRPr="004457C7" w:rsidRDefault="000B29AF" w:rsidP="004457C7">
            <w:pPr>
              <w:spacing w:line="276" w:lineRule="auto"/>
              <w:ind w:left="196" w:hanging="196"/>
              <w:rPr>
                <w:rFonts w:eastAsia="Calibri"/>
                <w:b/>
                <w:sz w:val="20"/>
                <w:szCs w:val="20"/>
              </w:rPr>
            </w:pPr>
            <w:r w:rsidRPr="004457C7">
              <w:rPr>
                <w:rFonts w:eastAsia="Calibri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2031215792"/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B29AF" w:rsidRPr="004457C7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445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B29AF" w:rsidRPr="004457C7" w:rsidRDefault="000B29AF" w:rsidP="004457C7">
            <w:pPr>
              <w:spacing w:line="276" w:lineRule="auto"/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4457C7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752193863"/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B29AF" w:rsidRPr="004457C7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445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B29AF" w:rsidRPr="004457C7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  <w:r w:rsidRPr="004457C7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282867047"/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B29AF" w:rsidRPr="004457C7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445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B29AF" w:rsidRPr="004457C7" w:rsidRDefault="000B29AF" w:rsidP="004457C7">
            <w:pPr>
              <w:spacing w:line="276" w:lineRule="auto"/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4457C7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0B29AF" w:rsidRPr="004457C7" w:rsidTr="00B62E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B29AF" w:rsidRPr="004457C7" w:rsidRDefault="000B29AF" w:rsidP="004457C7">
            <w:pPr>
              <w:spacing w:line="276" w:lineRule="auto"/>
              <w:ind w:left="168" w:hanging="168"/>
              <w:rPr>
                <w:rFonts w:eastAsia="Calibri"/>
                <w:b/>
                <w:sz w:val="20"/>
                <w:szCs w:val="20"/>
              </w:rPr>
            </w:pPr>
            <w:r w:rsidRPr="004457C7">
              <w:rPr>
                <w:rFonts w:eastAsia="Calibri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017204256"/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B29AF" w:rsidRPr="004457C7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445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29AF" w:rsidRPr="004457C7" w:rsidRDefault="000B29AF" w:rsidP="004457C7">
            <w:pPr>
              <w:spacing w:line="276" w:lineRule="auto"/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4457C7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993677602"/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B29AF" w:rsidRPr="004457C7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445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B29AF" w:rsidRPr="004457C7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  <w:r w:rsidRPr="004457C7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578477896"/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B29AF" w:rsidRPr="004457C7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445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AF" w:rsidRPr="004457C7" w:rsidRDefault="000B29AF" w:rsidP="004457C7">
            <w:pPr>
              <w:spacing w:line="276" w:lineRule="auto"/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4457C7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B29AF" w:rsidRPr="004457C7" w:rsidTr="00B62E0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B29AF" w:rsidRPr="004457C7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4457C7">
              <w:rPr>
                <w:rFonts w:eastAsia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977256156"/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B29AF" w:rsidRPr="004457C7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445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29AF" w:rsidRPr="004457C7" w:rsidRDefault="000B29AF" w:rsidP="004457C7">
            <w:pPr>
              <w:spacing w:line="276" w:lineRule="auto"/>
              <w:ind w:right="-108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4457C7">
              <w:rPr>
                <w:rFonts w:eastAsia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025549405"/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B29AF" w:rsidRPr="004457C7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445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29AF" w:rsidRPr="004457C7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4457C7">
              <w:rPr>
                <w:rFonts w:eastAsia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710956538"/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B29AF" w:rsidRPr="004457C7" w:rsidRDefault="000B29AF" w:rsidP="004457C7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  <w:lang w:eastAsia="sk-SK"/>
                  </w:rPr>
                </w:pPr>
                <w:r w:rsidRPr="00445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AF" w:rsidRPr="004457C7" w:rsidRDefault="000B29AF" w:rsidP="004457C7">
            <w:pPr>
              <w:spacing w:line="276" w:lineRule="auto"/>
              <w:ind w:left="54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4457C7">
              <w:rPr>
                <w:rFonts w:eastAsia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B29AF" w:rsidRPr="004457C7" w:rsidTr="00DC6936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26"/>
              <w:contextualSpacing/>
              <w:jc w:val="left"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Poznámky</w:t>
            </w:r>
          </w:p>
        </w:tc>
      </w:tr>
      <w:tr w:rsidR="000B29AF" w:rsidRPr="004457C7" w:rsidTr="00DC6936">
        <w:trPr>
          <w:trHeight w:val="713"/>
        </w:trPr>
        <w:tc>
          <w:tcPr>
            <w:tcW w:w="9180" w:type="dxa"/>
            <w:gridSpan w:val="7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0B29AF" w:rsidRPr="009B3A1C" w:rsidRDefault="000B29AF" w:rsidP="004457C7">
            <w:pPr>
              <w:spacing w:line="276" w:lineRule="auto"/>
              <w:rPr>
                <w:strike/>
                <w:sz w:val="20"/>
                <w:szCs w:val="20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Predložený návrh zákona nemá vplyv </w:t>
            </w:r>
            <w:r w:rsidRPr="009B3A1C">
              <w:rPr>
                <w:rFonts w:eastAsia="Times New Roman"/>
                <w:bCs/>
                <w:sz w:val="20"/>
                <w:szCs w:val="20"/>
                <w:lang w:eastAsia="sk-SK"/>
              </w:rPr>
              <w:t xml:space="preserve">na rozpočet verejnej správy, na podnikateľské prostredie, 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na životné prostredie, na informatizáciu spoločnosti, na služby verejnej správy pre občana, sociálne vplyvy ani vplyv na manželstvo, rodičovstvo a rodinu. 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Podľa údajov 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>z centrálneho registra rizikových prác Úradu verejného zdravotníctva Slovenskej republiky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rizikovú prácu s chemickou látkou s reprodukčne toxickým účinkom </w:t>
            </w:r>
            <w:r w:rsidRPr="009B3A1C">
              <w:rPr>
                <w:rFonts w:eastAsia="Times New Roman"/>
                <w:i/>
                <w:iCs/>
                <w:sz w:val="20"/>
                <w:szCs w:val="20"/>
                <w:lang w:eastAsia="sk-SK"/>
              </w:rPr>
              <w:t>anorganické olovo a jeho zlúčeniny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vykonávalo 267 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>zamestnancov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, s chemickou látkou </w:t>
            </w:r>
            <w:r w:rsidRPr="009B3A1C">
              <w:rPr>
                <w:rFonts w:eastAsia="Times New Roman"/>
                <w:i/>
                <w:iCs/>
                <w:sz w:val="20"/>
                <w:szCs w:val="20"/>
                <w:lang w:eastAsia="sk-SK"/>
              </w:rPr>
              <w:t xml:space="preserve">ortuť a dvojmocné anorganické zlúčeniny, 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u ktorého sa sprísňuje NPEL vykonával 1 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>zamestnanec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a s chemickou látkou </w:t>
            </w:r>
            <w:r w:rsidRPr="009B3A1C">
              <w:rPr>
                <w:rFonts w:eastAsia="Times New Roman"/>
                <w:i/>
                <w:iCs/>
                <w:sz w:val="20"/>
                <w:szCs w:val="20"/>
                <w:lang w:eastAsia="sk-SK"/>
              </w:rPr>
              <w:t>oxid uhoľnatý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vykonávalo 174 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>zamestnancov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.  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S karcinogénnymi </w:t>
            </w:r>
            <w:r w:rsidRPr="009B3A1C">
              <w:rPr>
                <w:rFonts w:eastAsia="Times New Roman"/>
                <w:bCs/>
                <w:iCs/>
                <w:sz w:val="20"/>
                <w:szCs w:val="20"/>
                <w:lang w:eastAsia="sk-SK"/>
              </w:rPr>
              <w:t xml:space="preserve">faktormi 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a mutagénnymi faktormi, u ktorých sa sprísňujú najvyššie prípustné expozičné limity (NPEL) podľa údajov 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 xml:space="preserve">z centrálneho registra rizikových prác Úradu verejného zdravotníctva Slovenskej republiky 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vykonáva rizikovú prácu s chemickou látkou </w:t>
            </w:r>
            <w:r w:rsidRPr="009B3A1C">
              <w:rPr>
                <w:rFonts w:eastAsia="Times New Roman"/>
                <w:i/>
                <w:iCs/>
                <w:sz w:val="20"/>
                <w:szCs w:val="20"/>
                <w:lang w:eastAsia="sk-SK"/>
              </w:rPr>
              <w:t>benzén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314 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>zamestnancov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, so </w:t>
            </w:r>
            <w:r w:rsidRPr="009B3A1C">
              <w:rPr>
                <w:rFonts w:eastAsia="Times New Roman"/>
                <w:i/>
                <w:iCs/>
                <w:sz w:val="20"/>
                <w:szCs w:val="20"/>
                <w:lang w:eastAsia="sk-SK"/>
              </w:rPr>
              <w:t>zlúčeninami niklu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9 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>zamestnancov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a s chemickou látkou </w:t>
            </w:r>
            <w:proofErr w:type="spellStart"/>
            <w:r w:rsidRPr="009B3A1C">
              <w:rPr>
                <w:rFonts w:eastAsia="Times New Roman"/>
                <w:i/>
                <w:iCs/>
                <w:sz w:val="20"/>
                <w:szCs w:val="20"/>
                <w:lang w:eastAsia="sk-SK"/>
              </w:rPr>
              <w:t>akrylonitril</w:t>
            </w:r>
            <w:proofErr w:type="spellEnd"/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 žiadny 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>zamestnanec</w:t>
            </w:r>
            <w:r w:rsidRPr="009B3A1C">
              <w:rPr>
                <w:rFonts w:eastAsia="Times New Roman"/>
                <w:sz w:val="20"/>
                <w:szCs w:val="20"/>
                <w:lang w:eastAsia="sk-SK"/>
              </w:rPr>
              <w:t xml:space="preserve">. </w:t>
            </w:r>
          </w:p>
          <w:p w:rsidR="000B29AF" w:rsidRPr="009B3A1C" w:rsidRDefault="000B29AF" w:rsidP="004457C7">
            <w:pPr>
              <w:spacing w:line="276" w:lineRule="auto"/>
              <w:rPr>
                <w:sz w:val="20"/>
                <w:szCs w:val="20"/>
              </w:rPr>
            </w:pPr>
            <w:r w:rsidRPr="009B3A1C">
              <w:rPr>
                <w:sz w:val="20"/>
                <w:szCs w:val="20"/>
              </w:rPr>
              <w:t xml:space="preserve">Reprodukčne toxické faktory môžu byť príčinou nepriaznivých účinkov na pohlavné funkcie a plodnosť dospelých mužov a žien, na laktáciu žien, ako aj na vývoj potomstva; podobne ako karcinogénne </w:t>
            </w:r>
            <w:r w:rsidRPr="009B3A1C">
              <w:rPr>
                <w:rFonts w:eastAsia="Times New Roman"/>
                <w:bCs/>
                <w:iCs/>
                <w:sz w:val="20"/>
                <w:szCs w:val="20"/>
                <w:lang w:eastAsia="sk-SK"/>
              </w:rPr>
              <w:t>faktory</w:t>
            </w:r>
            <w:r w:rsidRPr="009B3A1C">
              <w:rPr>
                <w:sz w:val="20"/>
                <w:szCs w:val="20"/>
              </w:rPr>
              <w:t xml:space="preserve"> a mutagénne faktory patria medzi látky vzbudzujúce veľmi veľké obavy z dôvodu, že môžu mať vážne a nezvratné účinky na zdravie zamestnancov. </w:t>
            </w:r>
          </w:p>
          <w:p w:rsidR="000B29AF" w:rsidRPr="009B3A1C" w:rsidRDefault="000B29AF" w:rsidP="004457C7">
            <w:pPr>
              <w:spacing w:line="276" w:lineRule="auto"/>
              <w:rPr>
                <w:sz w:val="20"/>
                <w:szCs w:val="20"/>
              </w:rPr>
            </w:pPr>
          </w:p>
          <w:p w:rsidR="000B29AF" w:rsidRPr="009B3A1C" w:rsidRDefault="000B29AF" w:rsidP="004457C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9B3A1C">
              <w:rPr>
                <w:sz w:val="20"/>
                <w:szCs w:val="20"/>
              </w:rPr>
              <w:t xml:space="preserve">Náklady spojené s návrhom zákona 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 xml:space="preserve">súvisia s návrhom nariadenia vlády Slovenskej republiky o ochrane zdravia zamestnancov pred rizikami súvisiacimi s expozíciou karcinogénnym </w:t>
            </w:r>
            <w:r w:rsidRPr="009B3A1C">
              <w:rPr>
                <w:rFonts w:eastAsia="Times New Roman"/>
                <w:bCs/>
                <w:iCs/>
                <w:sz w:val="20"/>
                <w:szCs w:val="20"/>
                <w:lang w:eastAsia="sk-SK"/>
              </w:rPr>
              <w:t>faktorom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 xml:space="preserve">, mutagénnym </w:t>
            </w:r>
            <w:r w:rsidRPr="009B3A1C">
              <w:rPr>
                <w:rFonts w:eastAsia="Times New Roman"/>
                <w:bCs/>
                <w:iCs/>
                <w:sz w:val="20"/>
                <w:szCs w:val="20"/>
                <w:lang w:eastAsia="sk-SK"/>
              </w:rPr>
              <w:t>faktorom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 xml:space="preserve"> alebo reprodukčne toxickým faktorom pri práci. Bližší popis predmetnej regulácie je uvedený v analýze nákladov na podnikateľské prostredie v návrhu nariadenia vlády Slovenskej republiky o ochrane zdravia zamestnancov pred rizikami súvisiacimi s expozíciou karcinogénnym </w:t>
            </w:r>
            <w:r w:rsidRPr="009B3A1C">
              <w:rPr>
                <w:rFonts w:eastAsia="Times New Roman"/>
                <w:bCs/>
                <w:iCs/>
                <w:sz w:val="20"/>
                <w:szCs w:val="20"/>
                <w:lang w:eastAsia="sk-SK"/>
              </w:rPr>
              <w:t>faktorom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 xml:space="preserve">, mutagénnym </w:t>
            </w:r>
            <w:r w:rsidRPr="009B3A1C">
              <w:rPr>
                <w:rFonts w:eastAsia="Times New Roman"/>
                <w:bCs/>
                <w:iCs/>
                <w:sz w:val="20"/>
                <w:szCs w:val="20"/>
                <w:lang w:eastAsia="sk-SK"/>
              </w:rPr>
              <w:t>faktorom</w:t>
            </w:r>
            <w:r w:rsidRPr="009B3A1C">
              <w:rPr>
                <w:rFonts w:eastAsia="Times New Roman"/>
                <w:iCs/>
                <w:sz w:val="20"/>
                <w:szCs w:val="20"/>
                <w:lang w:eastAsia="sk-SK"/>
              </w:rPr>
              <w:t xml:space="preserve"> alebo reprodukčne toxickým faktorom pri práci (LP/2023/450). Z dôvodu duplicity nákladov sa vplyv návrhu zákona neuvádza. </w:t>
            </w:r>
          </w:p>
        </w:tc>
      </w:tr>
      <w:tr w:rsidR="000B29AF" w:rsidRPr="004457C7" w:rsidTr="00DC6936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26"/>
              <w:contextualSpacing/>
              <w:jc w:val="left"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Kontakt na spracovateľa</w:t>
            </w:r>
          </w:p>
        </w:tc>
      </w:tr>
      <w:tr w:rsidR="000B29AF" w:rsidRPr="004457C7" w:rsidTr="00DC6936">
        <w:trPr>
          <w:trHeight w:val="586"/>
        </w:trPr>
        <w:tc>
          <w:tcPr>
            <w:tcW w:w="9180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sz w:val="20"/>
                <w:szCs w:val="20"/>
              </w:rPr>
            </w:pPr>
            <w:r w:rsidRPr="009B3A1C">
              <w:rPr>
                <w:sz w:val="20"/>
                <w:szCs w:val="20"/>
              </w:rPr>
              <w:t>Mgr. Miroslava Hrčková</w:t>
            </w:r>
          </w:p>
          <w:p w:rsidR="000B29AF" w:rsidRPr="009B3A1C" w:rsidRDefault="000B29AF" w:rsidP="004457C7">
            <w:pPr>
              <w:spacing w:line="276" w:lineRule="auto"/>
              <w:rPr>
                <w:sz w:val="20"/>
                <w:szCs w:val="20"/>
              </w:rPr>
            </w:pPr>
            <w:r w:rsidRPr="009B3A1C">
              <w:rPr>
                <w:sz w:val="20"/>
                <w:szCs w:val="20"/>
              </w:rPr>
              <w:t>Úrad verejného zdravotníctva Slovenskej republiky</w:t>
            </w:r>
          </w:p>
          <w:p w:rsidR="000B29AF" w:rsidRPr="009B3A1C" w:rsidRDefault="000B29AF" w:rsidP="004457C7">
            <w:pPr>
              <w:spacing w:line="276" w:lineRule="auto"/>
              <w:rPr>
                <w:sz w:val="20"/>
                <w:szCs w:val="20"/>
              </w:rPr>
            </w:pPr>
            <w:r w:rsidRPr="009B3A1C">
              <w:rPr>
                <w:sz w:val="20"/>
                <w:szCs w:val="20"/>
              </w:rPr>
              <w:t>tel.: + 421 2 49 284 248 </w:t>
            </w:r>
          </w:p>
          <w:p w:rsidR="000B29AF" w:rsidRPr="009B3A1C" w:rsidRDefault="00577CBC" w:rsidP="004457C7">
            <w:pPr>
              <w:spacing w:line="276" w:lineRule="auto"/>
              <w:rPr>
                <w:rStyle w:val="Hypertextovprepojenie"/>
                <w:sz w:val="20"/>
                <w:szCs w:val="20"/>
              </w:rPr>
            </w:pPr>
            <w:hyperlink r:id="rId8" w:history="1">
              <w:r w:rsidR="000B29AF" w:rsidRPr="009B3A1C">
                <w:rPr>
                  <w:rStyle w:val="Hypertextovprepojenie"/>
                  <w:sz w:val="20"/>
                  <w:szCs w:val="20"/>
                </w:rPr>
                <w:t>ppl@uvzsr.sk</w:t>
              </w:r>
            </w:hyperlink>
            <w:r w:rsidR="000B29AF" w:rsidRPr="009B3A1C">
              <w:rPr>
                <w:rStyle w:val="Hypertextovprepojenie"/>
                <w:sz w:val="20"/>
                <w:szCs w:val="20"/>
              </w:rPr>
              <w:t xml:space="preserve">.  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i/>
                <w:sz w:val="20"/>
                <w:szCs w:val="20"/>
                <w:lang w:eastAsia="sk-SK"/>
              </w:rPr>
            </w:pPr>
          </w:p>
        </w:tc>
      </w:tr>
      <w:tr w:rsidR="000B29AF" w:rsidRPr="004457C7" w:rsidTr="00DC6936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26"/>
              <w:contextualSpacing/>
              <w:jc w:val="left"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Zdroje</w:t>
            </w:r>
          </w:p>
        </w:tc>
      </w:tr>
      <w:tr w:rsidR="000B29AF" w:rsidRPr="004457C7" w:rsidTr="00DC6936">
        <w:trPr>
          <w:trHeight w:val="401"/>
        </w:trPr>
        <w:tc>
          <w:tcPr>
            <w:tcW w:w="9180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AF" w:rsidRPr="009B3A1C" w:rsidRDefault="000B29AF" w:rsidP="004457C7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306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A1C">
              <w:rPr>
                <w:rFonts w:ascii="Times New Roman" w:eastAsia="Calibri" w:hAnsi="Times New Roman" w:cs="Times New Roman"/>
                <w:sz w:val="20"/>
                <w:szCs w:val="20"/>
              </w:rPr>
              <w:t>Právne predpisy SR, Slov-Lex</w:t>
            </w:r>
          </w:p>
          <w:p w:rsidR="000B29AF" w:rsidRPr="009B3A1C" w:rsidRDefault="000B29AF" w:rsidP="004457C7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306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B3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Smernica Európskeho parlamentu a Rady (EÚ) 2022/431 z 9. marca 2022, ktorou sa mení smernica 2004/37/ES o ochrane pracovníkov pred rizikami súvisiacimi s expozíciou karcinogénom alebo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mutagénom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pri práci (Ú. v. EÚ L 88/1, 16.03.2022)</w:t>
            </w:r>
          </w:p>
          <w:p w:rsidR="000B29AF" w:rsidRPr="009B3A1C" w:rsidRDefault="000B29AF" w:rsidP="004457C7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306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Study to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collect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recent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modernising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EU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Occupational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chemicals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legislation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analyse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socio-economic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enviromental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inpacts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possible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impacts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possible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amendments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Directive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 2004/37/EC and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Directive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98/24/EC,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repost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assesment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proofErr w:type="spellEnd"/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</w:p>
          <w:p w:rsidR="000B29AF" w:rsidRPr="009B3A1C" w:rsidRDefault="000B29AF" w:rsidP="004457C7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306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B3A1C">
              <w:rPr>
                <w:rFonts w:ascii="Times New Roman" w:hAnsi="Times New Roman" w:cs="Times New Roman"/>
                <w:sz w:val="20"/>
                <w:szCs w:val="20"/>
              </w:rPr>
              <w:t xml:space="preserve">centrálny register rizikových prác </w:t>
            </w:r>
            <w:r w:rsidRPr="009B3A1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Úradu verejného zdravotníctva Slovenskej republiky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</w:tr>
      <w:tr w:rsidR="000B29AF" w:rsidRPr="004457C7" w:rsidTr="00DC6936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47" w:hanging="425"/>
              <w:contextualSpacing/>
              <w:jc w:val="left"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lastRenderedPageBreak/>
              <w:t>Stanovisko Komisie na posudzovanie vybraných vplyvov z PPK č. ..........</w:t>
            </w:r>
            <w:r w:rsidRPr="009B3A1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0B29AF" w:rsidRPr="009B3A1C" w:rsidRDefault="000B29AF" w:rsidP="004457C7">
            <w:pPr>
              <w:spacing w:line="276" w:lineRule="auto"/>
              <w:ind w:left="502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Calibri"/>
                <w:sz w:val="20"/>
                <w:szCs w:val="20"/>
              </w:rPr>
              <w:t>(v prípade, ak sa uskutočnilo v zmysle bodu 8.1 Jednotnej metodiky)</w:t>
            </w:r>
          </w:p>
        </w:tc>
      </w:tr>
      <w:tr w:rsidR="000B29AF" w:rsidRPr="004457C7" w:rsidTr="00DC6936">
        <w:trPr>
          <w:trHeight w:val="70"/>
        </w:trPr>
        <w:tc>
          <w:tcPr>
            <w:tcW w:w="9180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0B29AF" w:rsidRPr="009B3A1C" w:rsidTr="00B62E02">
              <w:trPr>
                <w:trHeight w:val="396"/>
              </w:trPr>
              <w:tc>
                <w:tcPr>
                  <w:tcW w:w="2552" w:type="dxa"/>
                </w:tcPr>
                <w:p w:rsidR="000B29AF" w:rsidRPr="009B3A1C" w:rsidRDefault="00577CBC" w:rsidP="004457C7">
                  <w:pPr>
                    <w:spacing w:line="276" w:lineRule="auto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-1874910888"/>
                    </w:sdtPr>
                    <w:sdtEndPr/>
                    <w:sdtContent>
                      <w:r w:rsidR="000B29AF" w:rsidRPr="009B3A1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B29AF" w:rsidRPr="009B3A1C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0B29AF" w:rsidRPr="009B3A1C" w:rsidRDefault="00577CBC" w:rsidP="004457C7">
                  <w:pPr>
                    <w:spacing w:line="276" w:lineRule="auto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1697888127"/>
                    </w:sdtPr>
                    <w:sdtEndPr/>
                    <w:sdtContent>
                      <w:r w:rsidR="000B29AF" w:rsidRPr="009B3A1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B29AF" w:rsidRPr="009B3A1C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0B29AF" w:rsidRPr="009B3A1C" w:rsidRDefault="00577CBC" w:rsidP="004457C7">
                  <w:pPr>
                    <w:spacing w:line="276" w:lineRule="auto"/>
                    <w:ind w:right="459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-647822913"/>
                    </w:sdtPr>
                    <w:sdtEndPr/>
                    <w:sdtContent>
                      <w:r w:rsidR="000B29AF" w:rsidRPr="009B3A1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B29AF" w:rsidRPr="009B3A1C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</w:tr>
      <w:tr w:rsidR="000B29AF" w:rsidRPr="004457C7" w:rsidTr="00DC6936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80" w:type="dxa"/>
            <w:gridSpan w:val="7"/>
            <w:tcBorders>
              <w:top w:val="single" w:sz="4" w:space="0" w:color="auto"/>
            </w:tcBorders>
            <w:shd w:val="clear" w:color="auto" w:fill="E2E2E2"/>
          </w:tcPr>
          <w:p w:rsidR="000B29AF" w:rsidRPr="009B3A1C" w:rsidRDefault="000B29AF" w:rsidP="004457C7">
            <w:pPr>
              <w:numPr>
                <w:ilvl w:val="0"/>
                <w:numId w:val="13"/>
              </w:numPr>
              <w:autoSpaceDE/>
              <w:autoSpaceDN/>
              <w:spacing w:line="276" w:lineRule="auto"/>
              <w:ind w:left="450" w:hanging="425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9B3A1C">
              <w:rPr>
                <w:rFonts w:eastAsia="Calibri"/>
                <w:b/>
                <w:sz w:val="20"/>
                <w:szCs w:val="20"/>
              </w:rPr>
              <w:t>Stanovisko Komisie na posudzovanie vybraných vplyvov zo záverečného posúdenia č. ..........</w:t>
            </w:r>
            <w:r w:rsidRPr="009B3A1C">
              <w:rPr>
                <w:rFonts w:eastAsia="Calibri"/>
                <w:sz w:val="20"/>
                <w:szCs w:val="20"/>
              </w:rPr>
              <w:t xml:space="preserve"> (v prípade, ak sa uskutočnilo v zmysle bodu 9.1. Jednotnej metodiky) </w:t>
            </w:r>
          </w:p>
        </w:tc>
      </w:tr>
      <w:tr w:rsidR="000B29AF" w:rsidRPr="004457C7" w:rsidTr="00DC6936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80" w:type="dxa"/>
            <w:gridSpan w:val="7"/>
            <w:shd w:val="clear" w:color="auto" w:fill="FFFFFF"/>
          </w:tcPr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0B29AF" w:rsidRPr="009B3A1C" w:rsidTr="00B62E02">
              <w:trPr>
                <w:trHeight w:val="396"/>
              </w:trPr>
              <w:tc>
                <w:tcPr>
                  <w:tcW w:w="2552" w:type="dxa"/>
                </w:tcPr>
                <w:p w:rsidR="000B29AF" w:rsidRPr="009B3A1C" w:rsidRDefault="00577CBC" w:rsidP="004457C7">
                  <w:pPr>
                    <w:spacing w:line="276" w:lineRule="auto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888232876"/>
                    </w:sdtPr>
                    <w:sdtEndPr/>
                    <w:sdtContent>
                      <w:r w:rsidR="000B29AF" w:rsidRPr="009B3A1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B29AF" w:rsidRPr="009B3A1C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:rsidR="000B29AF" w:rsidRPr="009B3A1C" w:rsidRDefault="00577CBC" w:rsidP="004457C7">
                  <w:pPr>
                    <w:spacing w:line="276" w:lineRule="auto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953831761"/>
                    </w:sdtPr>
                    <w:sdtEndPr/>
                    <w:sdtContent>
                      <w:r w:rsidR="000B29AF" w:rsidRPr="009B3A1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B29AF" w:rsidRPr="009B3A1C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:rsidR="000B29AF" w:rsidRPr="009B3A1C" w:rsidRDefault="00577CBC" w:rsidP="004457C7">
                  <w:pPr>
                    <w:spacing w:line="276" w:lineRule="auto"/>
                    <w:ind w:right="459"/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-361740452"/>
                    </w:sdtPr>
                    <w:sdtEndPr/>
                    <w:sdtContent>
                      <w:r w:rsidR="000B29AF" w:rsidRPr="009B3A1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B29AF" w:rsidRPr="009B3A1C">
                    <w:rPr>
                      <w:rFonts w:eastAsia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9B3A1C">
              <w:rPr>
                <w:rFonts w:eastAsia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0B29AF" w:rsidRPr="009B3A1C" w:rsidRDefault="000B29AF" w:rsidP="004457C7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9B3A1C" w:rsidRDefault="009B3A1C" w:rsidP="004457C7">
      <w:pPr>
        <w:spacing w:line="276" w:lineRule="auto"/>
        <w:jc w:val="center"/>
        <w:rPr>
          <w:b/>
        </w:rPr>
      </w:pPr>
    </w:p>
    <w:p w:rsidR="009B3A1C" w:rsidRDefault="009B3A1C" w:rsidP="004457C7">
      <w:pPr>
        <w:spacing w:line="276" w:lineRule="auto"/>
        <w:jc w:val="center"/>
        <w:rPr>
          <w:b/>
        </w:rPr>
      </w:pPr>
    </w:p>
    <w:p w:rsidR="009B3A1C" w:rsidRDefault="009B3A1C" w:rsidP="004457C7">
      <w:pPr>
        <w:spacing w:line="276" w:lineRule="auto"/>
        <w:jc w:val="center"/>
        <w:rPr>
          <w:b/>
        </w:rPr>
      </w:pPr>
    </w:p>
    <w:p w:rsidR="009B3A1C" w:rsidRDefault="009B3A1C" w:rsidP="004457C7">
      <w:pPr>
        <w:spacing w:line="276" w:lineRule="auto"/>
        <w:jc w:val="center"/>
        <w:rPr>
          <w:b/>
        </w:rPr>
      </w:pPr>
    </w:p>
    <w:p w:rsidR="004457C7" w:rsidRDefault="004457C7" w:rsidP="004457C7">
      <w:pPr>
        <w:spacing w:line="276" w:lineRule="auto"/>
        <w:jc w:val="center"/>
        <w:rPr>
          <w:b/>
        </w:rPr>
      </w:pPr>
    </w:p>
    <w:p w:rsidR="00DC6936" w:rsidRPr="004457C7" w:rsidRDefault="00DC6936" w:rsidP="004457C7">
      <w:pPr>
        <w:spacing w:line="276" w:lineRule="auto"/>
        <w:jc w:val="center"/>
        <w:rPr>
          <w:b/>
        </w:rPr>
      </w:pPr>
      <w:r w:rsidRPr="004457C7">
        <w:rPr>
          <w:b/>
        </w:rPr>
        <w:lastRenderedPageBreak/>
        <w:t>DOLOŽKA ZLUČITEĽNOSTI</w:t>
      </w:r>
    </w:p>
    <w:p w:rsidR="00DC6936" w:rsidRPr="004457C7" w:rsidRDefault="00DC6936" w:rsidP="004457C7">
      <w:pPr>
        <w:spacing w:line="276" w:lineRule="auto"/>
        <w:jc w:val="center"/>
        <w:rPr>
          <w:b/>
        </w:rPr>
      </w:pPr>
      <w:r w:rsidRPr="004457C7">
        <w:rPr>
          <w:b/>
        </w:rPr>
        <w:t>návrhu zákona s právom Európskej únie</w:t>
      </w:r>
    </w:p>
    <w:p w:rsidR="00DC6936" w:rsidRPr="004457C7" w:rsidRDefault="00DC6936" w:rsidP="004457C7">
      <w:pPr>
        <w:spacing w:line="276" w:lineRule="auto"/>
      </w:pPr>
    </w:p>
    <w:p w:rsidR="00DC6936" w:rsidRPr="004457C7" w:rsidRDefault="00DC6936" w:rsidP="004457C7">
      <w:pPr>
        <w:pStyle w:val="Odsekzoznamu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457C7">
        <w:rPr>
          <w:rFonts w:ascii="Times New Roman" w:hAnsi="Times New Roman" w:cs="Times New Roman"/>
          <w:sz w:val="24"/>
          <w:szCs w:val="24"/>
        </w:rPr>
        <w:t xml:space="preserve"> Ministerstvo zdravotníctva Slovenskej republiky.</w:t>
      </w:r>
    </w:p>
    <w:p w:rsidR="00DC6936" w:rsidRPr="004457C7" w:rsidRDefault="00DC6936" w:rsidP="004457C7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C6936" w:rsidRPr="004457C7" w:rsidRDefault="00DC6936" w:rsidP="004457C7">
      <w:pPr>
        <w:spacing w:line="276" w:lineRule="auto"/>
        <w:ind w:left="284" w:hanging="284"/>
      </w:pPr>
      <w:r w:rsidRPr="004457C7">
        <w:t xml:space="preserve">2. </w:t>
      </w:r>
      <w:r w:rsidRPr="004457C7">
        <w:rPr>
          <w:b/>
        </w:rPr>
        <w:t>Názov návrhu zákona:</w:t>
      </w:r>
      <w:r w:rsidRPr="004457C7">
        <w:t xml:space="preserve">  </w:t>
      </w:r>
      <w:r w:rsidRPr="004457C7">
        <w:rPr>
          <w:rStyle w:val="awspanawtext3"/>
        </w:rPr>
        <w:t>Návrh</w:t>
      </w:r>
      <w:r w:rsidRPr="004457C7">
        <w:rPr>
          <w:rStyle w:val="awspanawtext3"/>
          <w:spacing w:val="10"/>
        </w:rPr>
        <w:t xml:space="preserve"> </w:t>
      </w:r>
      <w:r w:rsidRPr="004457C7">
        <w:rPr>
          <w:rStyle w:val="awspanawtext3"/>
        </w:rPr>
        <w:t>zákona,</w:t>
      </w:r>
      <w:r w:rsidRPr="004457C7">
        <w:rPr>
          <w:rStyle w:val="awspanawtext3"/>
          <w:spacing w:val="10"/>
        </w:rPr>
        <w:t xml:space="preserve"> </w:t>
      </w:r>
      <w:r w:rsidRPr="004457C7">
        <w:rPr>
          <w:rStyle w:val="awspanawtext3"/>
        </w:rPr>
        <w:t>ktorým</w:t>
      </w:r>
      <w:r w:rsidRPr="004457C7">
        <w:rPr>
          <w:rStyle w:val="awspanawtext3"/>
          <w:spacing w:val="10"/>
        </w:rPr>
        <w:t xml:space="preserve"> </w:t>
      </w:r>
      <w:r w:rsidRPr="004457C7">
        <w:rPr>
          <w:rStyle w:val="awspanawtext3"/>
        </w:rPr>
        <w:t>sa</w:t>
      </w:r>
      <w:r w:rsidRPr="004457C7">
        <w:rPr>
          <w:rStyle w:val="awspanawtext3"/>
          <w:spacing w:val="10"/>
        </w:rPr>
        <w:t xml:space="preserve"> </w:t>
      </w:r>
      <w:r w:rsidRPr="004457C7">
        <w:rPr>
          <w:rStyle w:val="awspanawtext3"/>
        </w:rPr>
        <w:t>mení</w:t>
      </w:r>
      <w:r w:rsidRPr="004457C7">
        <w:rPr>
          <w:rStyle w:val="awspanawtext3"/>
          <w:spacing w:val="10"/>
        </w:rPr>
        <w:t xml:space="preserve"> </w:t>
      </w:r>
      <w:r w:rsidRPr="004457C7">
        <w:rPr>
          <w:rStyle w:val="awspanawtext3"/>
        </w:rPr>
        <w:t>a dopĺňa</w:t>
      </w:r>
      <w:r w:rsidRPr="004457C7">
        <w:rPr>
          <w:rStyle w:val="awspanawtext3"/>
          <w:spacing w:val="10"/>
        </w:rPr>
        <w:t xml:space="preserve"> </w:t>
      </w:r>
      <w:r w:rsidRPr="004457C7">
        <w:rPr>
          <w:rStyle w:val="awspanawtext3"/>
        </w:rPr>
        <w:t>zákon</w:t>
      </w:r>
      <w:r w:rsidRPr="004457C7">
        <w:rPr>
          <w:rStyle w:val="awspanawtext3"/>
          <w:spacing w:val="10"/>
        </w:rPr>
        <w:t xml:space="preserve"> </w:t>
      </w:r>
      <w:r w:rsidRPr="004457C7">
        <w:rPr>
          <w:rStyle w:val="awspanawtext3"/>
        </w:rPr>
        <w:t>č.</w:t>
      </w:r>
      <w:r w:rsidRPr="004457C7">
        <w:rPr>
          <w:rStyle w:val="awspanawtext3"/>
          <w:spacing w:val="10"/>
        </w:rPr>
        <w:t xml:space="preserve"> </w:t>
      </w:r>
      <w:r w:rsidRPr="004457C7">
        <w:rPr>
          <w:rStyle w:val="awspanawtext3"/>
        </w:rPr>
        <w:t>355/2007</w:t>
      </w:r>
      <w:r w:rsidRPr="004457C7">
        <w:rPr>
          <w:rStyle w:val="awspanawtext3"/>
          <w:spacing w:val="10"/>
        </w:rPr>
        <w:t xml:space="preserve"> </w:t>
      </w:r>
      <w:r w:rsidRPr="004457C7">
        <w:rPr>
          <w:rStyle w:val="awspanawtext3"/>
        </w:rPr>
        <w:t>Z.</w:t>
      </w:r>
      <w:r w:rsidRPr="004457C7">
        <w:rPr>
          <w:rStyle w:val="awspanawtext3"/>
          <w:spacing w:val="10"/>
        </w:rPr>
        <w:t xml:space="preserve"> </w:t>
      </w:r>
      <w:r w:rsidRPr="004457C7">
        <w:rPr>
          <w:rStyle w:val="awspanawtext3"/>
        </w:rPr>
        <w:t>z.</w:t>
      </w:r>
      <w:r w:rsidRPr="004457C7">
        <w:rPr>
          <w:rStyle w:val="awspanawtext3"/>
          <w:spacing w:val="10"/>
        </w:rPr>
        <w:t xml:space="preserve"> </w:t>
      </w:r>
      <w:r w:rsidR="00C42685" w:rsidRPr="004457C7">
        <w:rPr>
          <w:rStyle w:val="awspanawtext3"/>
          <w:spacing w:val="10"/>
        </w:rPr>
        <w:br/>
      </w:r>
      <w:r w:rsidRPr="004457C7">
        <w:rPr>
          <w:rStyle w:val="awspanawtext3"/>
        </w:rPr>
        <w:t>o</w:t>
      </w:r>
      <w:r w:rsidRPr="004457C7">
        <w:rPr>
          <w:rStyle w:val="awspanawtext3"/>
          <w:spacing w:val="10"/>
        </w:rPr>
        <w:t xml:space="preserve"> </w:t>
      </w:r>
      <w:r w:rsidRPr="004457C7">
        <w:rPr>
          <w:rStyle w:val="awspanawtext3"/>
        </w:rPr>
        <w:t>ochrane,</w:t>
      </w:r>
      <w:r w:rsidRPr="004457C7">
        <w:rPr>
          <w:rStyle w:val="awspanawtext3"/>
          <w:spacing w:val="10"/>
        </w:rPr>
        <w:t xml:space="preserve"> </w:t>
      </w:r>
      <w:r w:rsidRPr="004457C7">
        <w:rPr>
          <w:rStyle w:val="awspanawtext3"/>
        </w:rPr>
        <w:t>podpore</w:t>
      </w:r>
      <w:r w:rsidRPr="004457C7">
        <w:rPr>
          <w:rStyle w:val="awspanawtext3"/>
          <w:spacing w:val="10"/>
        </w:rPr>
        <w:t xml:space="preserve"> </w:t>
      </w:r>
      <w:r w:rsidRPr="004457C7">
        <w:rPr>
          <w:rStyle w:val="awspanawtext3"/>
        </w:rPr>
        <w:t>a rozvoji</w:t>
      </w:r>
      <w:r w:rsidRPr="004457C7">
        <w:rPr>
          <w:rStyle w:val="awspanawtext3"/>
          <w:spacing w:val="65"/>
        </w:rPr>
        <w:t xml:space="preserve"> </w:t>
      </w:r>
      <w:r w:rsidRPr="004457C7">
        <w:rPr>
          <w:rStyle w:val="awspanawtext3"/>
        </w:rPr>
        <w:t>verejného</w:t>
      </w:r>
      <w:r w:rsidRPr="004457C7">
        <w:rPr>
          <w:rStyle w:val="awspanawtext3"/>
          <w:spacing w:val="65"/>
        </w:rPr>
        <w:t xml:space="preserve"> </w:t>
      </w:r>
      <w:r w:rsidRPr="004457C7">
        <w:rPr>
          <w:rStyle w:val="awspanawtext3"/>
        </w:rPr>
        <w:t>zdravia</w:t>
      </w:r>
      <w:r w:rsidRPr="004457C7">
        <w:rPr>
          <w:rStyle w:val="awspanawtext3"/>
          <w:spacing w:val="65"/>
        </w:rPr>
        <w:t xml:space="preserve"> </w:t>
      </w:r>
      <w:r w:rsidRPr="004457C7">
        <w:rPr>
          <w:rStyle w:val="awspanawtext3"/>
        </w:rPr>
        <w:t>a</w:t>
      </w:r>
      <w:r w:rsidRPr="004457C7">
        <w:rPr>
          <w:rStyle w:val="awspanawtext3"/>
          <w:spacing w:val="65"/>
        </w:rPr>
        <w:t xml:space="preserve"> </w:t>
      </w:r>
      <w:r w:rsidRPr="004457C7">
        <w:rPr>
          <w:rStyle w:val="awspanawtext3"/>
        </w:rPr>
        <w:t>o</w:t>
      </w:r>
      <w:r w:rsidRPr="004457C7">
        <w:rPr>
          <w:rStyle w:val="awspanawtext3"/>
          <w:spacing w:val="65"/>
        </w:rPr>
        <w:t xml:space="preserve"> </w:t>
      </w:r>
      <w:r w:rsidRPr="004457C7">
        <w:rPr>
          <w:rStyle w:val="awspanawtext3"/>
        </w:rPr>
        <w:t>zmene</w:t>
      </w:r>
      <w:r w:rsidRPr="004457C7">
        <w:rPr>
          <w:rStyle w:val="awspanawtext3"/>
          <w:spacing w:val="65"/>
        </w:rPr>
        <w:t xml:space="preserve"> </w:t>
      </w:r>
      <w:r w:rsidRPr="004457C7">
        <w:rPr>
          <w:rStyle w:val="awspanawtext3"/>
        </w:rPr>
        <w:t>a</w:t>
      </w:r>
      <w:r w:rsidRPr="004457C7">
        <w:rPr>
          <w:rStyle w:val="awspanawtext3"/>
          <w:spacing w:val="65"/>
        </w:rPr>
        <w:t xml:space="preserve"> </w:t>
      </w:r>
      <w:r w:rsidRPr="004457C7">
        <w:rPr>
          <w:rStyle w:val="awspanawtext3"/>
        </w:rPr>
        <w:t>doplnení</w:t>
      </w:r>
      <w:r w:rsidRPr="004457C7">
        <w:rPr>
          <w:rStyle w:val="awspanawtext3"/>
          <w:spacing w:val="65"/>
        </w:rPr>
        <w:t xml:space="preserve"> </w:t>
      </w:r>
      <w:r w:rsidRPr="004457C7">
        <w:rPr>
          <w:rStyle w:val="awspanawtext3"/>
        </w:rPr>
        <w:t>niektorých</w:t>
      </w:r>
      <w:r w:rsidRPr="004457C7">
        <w:rPr>
          <w:rStyle w:val="awspanawtext3"/>
          <w:spacing w:val="65"/>
        </w:rPr>
        <w:t xml:space="preserve"> </w:t>
      </w:r>
      <w:r w:rsidRPr="004457C7">
        <w:rPr>
          <w:rStyle w:val="awspanawtext3"/>
        </w:rPr>
        <w:t>zákonov</w:t>
      </w:r>
      <w:r w:rsidRPr="004457C7">
        <w:rPr>
          <w:rStyle w:val="awspanawtext3"/>
          <w:spacing w:val="65"/>
        </w:rPr>
        <w:t xml:space="preserve"> </w:t>
      </w:r>
      <w:r w:rsidRPr="004457C7">
        <w:rPr>
          <w:rStyle w:val="awspanawtext3"/>
        </w:rPr>
        <w:t>v znení</w:t>
      </w:r>
      <w:r w:rsidRPr="004457C7">
        <w:rPr>
          <w:rStyle w:val="awspanawtext3"/>
          <w:spacing w:val="65"/>
        </w:rPr>
        <w:t xml:space="preserve"> </w:t>
      </w:r>
      <w:r w:rsidRPr="004457C7">
        <w:rPr>
          <w:rStyle w:val="awspanawtext3"/>
        </w:rPr>
        <w:t>neskorších predpisov.</w:t>
      </w:r>
    </w:p>
    <w:p w:rsidR="00DC6936" w:rsidRPr="004457C7" w:rsidRDefault="00DC6936" w:rsidP="004457C7">
      <w:pPr>
        <w:pStyle w:val="Odsekzoznamu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936" w:rsidRPr="004457C7" w:rsidRDefault="00DC6936" w:rsidP="004457C7">
      <w:pPr>
        <w:spacing w:line="276" w:lineRule="auto"/>
      </w:pPr>
      <w:r w:rsidRPr="004457C7">
        <w:t xml:space="preserve">3. </w:t>
      </w:r>
      <w:r w:rsidRPr="004457C7">
        <w:rPr>
          <w:b/>
        </w:rPr>
        <w:t>Predmet návrhu zákona je upravený v práve Európskej únie:</w:t>
      </w:r>
    </w:p>
    <w:p w:rsidR="00DC6936" w:rsidRPr="004457C7" w:rsidRDefault="00DC6936" w:rsidP="004457C7">
      <w:pPr>
        <w:pStyle w:val="Odsekzoznamu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 xml:space="preserve">v primárnom práve </w:t>
      </w:r>
      <w:r w:rsidRPr="004457C7">
        <w:rPr>
          <w:rFonts w:ascii="Times New Roman" w:hAnsi="Times New Roman" w:cs="Times New Roman"/>
          <w:sz w:val="24"/>
          <w:szCs w:val="24"/>
          <w:lang w:val="pt-BR"/>
        </w:rPr>
        <w:t xml:space="preserve">v </w:t>
      </w:r>
      <w:r w:rsidRPr="004457C7">
        <w:rPr>
          <w:rFonts w:ascii="Times New Roman" w:hAnsi="Times New Roman" w:cs="Times New Roman"/>
          <w:sz w:val="24"/>
          <w:szCs w:val="24"/>
        </w:rPr>
        <w:t>článku 153 ods. 1 písm. a) a ods. 2 písm. b) a v článku 168 Zmluvy o fungovaní Európskej únie,</w:t>
      </w:r>
    </w:p>
    <w:p w:rsidR="00DC6936" w:rsidRPr="004457C7" w:rsidRDefault="00DC6936" w:rsidP="004457C7">
      <w:pPr>
        <w:spacing w:line="276" w:lineRule="auto"/>
      </w:pPr>
    </w:p>
    <w:p w:rsidR="00DC6936" w:rsidRPr="004457C7" w:rsidRDefault="00DC6936" w:rsidP="004457C7">
      <w:pPr>
        <w:pStyle w:val="Odsekzoznamu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57C7">
        <w:rPr>
          <w:rFonts w:ascii="Times New Roman" w:hAnsi="Times New Roman" w:cs="Times New Roman"/>
          <w:sz w:val="24"/>
          <w:szCs w:val="24"/>
        </w:rPr>
        <w:t xml:space="preserve">v sekundárnom práve </w:t>
      </w:r>
    </w:p>
    <w:p w:rsidR="00DC6936" w:rsidRPr="004457C7" w:rsidRDefault="00DC6936" w:rsidP="004457C7">
      <w:pPr>
        <w:pStyle w:val="Odsekzoznamu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6936" w:rsidRPr="004457C7" w:rsidRDefault="00DC6936" w:rsidP="004457C7">
      <w:pPr>
        <w:pStyle w:val="Odsekzoznamu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57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smernica Európskeho parlamentu a Rady (EÚ) 2022/431 z 9. marca 2022, ktorou sa mení smernica 2004/37/ES o ochrane pracovníkov pred rizikami súvisiacimi s expozíciou karcinogénom alebo </w:t>
      </w:r>
      <w:proofErr w:type="spellStart"/>
      <w:r w:rsidRPr="004457C7">
        <w:rPr>
          <w:rFonts w:ascii="Times New Roman" w:eastAsia="Times New Roman" w:hAnsi="Times New Roman" w:cs="Times New Roman"/>
          <w:sz w:val="24"/>
          <w:szCs w:val="24"/>
          <w:lang w:eastAsia="sk-SK"/>
        </w:rPr>
        <w:t>mutagénom</w:t>
      </w:r>
      <w:proofErr w:type="spellEnd"/>
      <w:r w:rsidRPr="004457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práci (Ú. v. EÚ L 88, 16.3.2022), gestor Ministerstvo zdravotníctva Slovenskej republiky,</w:t>
      </w:r>
    </w:p>
    <w:p w:rsidR="00DC6936" w:rsidRPr="004457C7" w:rsidRDefault="00DC6936" w:rsidP="004457C7">
      <w:pPr>
        <w:spacing w:line="276" w:lineRule="auto"/>
        <w:ind w:left="1260" w:hanging="284"/>
      </w:pPr>
    </w:p>
    <w:p w:rsidR="00DC6936" w:rsidRPr="004457C7" w:rsidRDefault="00DC6936" w:rsidP="004457C7">
      <w:pPr>
        <w:spacing w:line="276" w:lineRule="auto"/>
        <w:ind w:left="426" w:hanging="426"/>
      </w:pPr>
      <w:r w:rsidRPr="004457C7">
        <w:t xml:space="preserve">c)  </w:t>
      </w:r>
      <w:r w:rsidRPr="004457C7">
        <w:tab/>
        <w:t>nie je obsiahnutá v judikatúre Súdneho dvora Európskej únie.</w:t>
      </w:r>
    </w:p>
    <w:p w:rsidR="00DC6936" w:rsidRPr="004457C7" w:rsidRDefault="00DC6936" w:rsidP="004457C7">
      <w:pPr>
        <w:spacing w:line="276" w:lineRule="auto"/>
      </w:pPr>
    </w:p>
    <w:p w:rsidR="00DC6936" w:rsidRPr="004457C7" w:rsidRDefault="00DC6936" w:rsidP="004457C7">
      <w:pPr>
        <w:spacing w:line="276" w:lineRule="auto"/>
        <w:rPr>
          <w:b/>
        </w:rPr>
      </w:pPr>
      <w:r w:rsidRPr="004457C7">
        <w:t xml:space="preserve">4. </w:t>
      </w:r>
      <w:r w:rsidRPr="004457C7">
        <w:rPr>
          <w:b/>
        </w:rPr>
        <w:t>Záväzky Slovenskej republiky vo vzťahu k Európskej únii:</w:t>
      </w:r>
    </w:p>
    <w:p w:rsidR="00DC6936" w:rsidRPr="004457C7" w:rsidRDefault="00DC6936" w:rsidP="004457C7">
      <w:pPr>
        <w:spacing w:line="276" w:lineRule="auto"/>
        <w:ind w:left="567" w:hanging="283"/>
        <w:rPr>
          <w:iCs/>
        </w:rPr>
      </w:pPr>
      <w:r w:rsidRPr="004457C7">
        <w:rPr>
          <w:iCs/>
        </w:rPr>
        <w:t xml:space="preserve">a) </w:t>
      </w:r>
      <w:r w:rsidRPr="004457C7">
        <w:rPr>
          <w:iCs/>
        </w:rPr>
        <w:tab/>
        <w:t xml:space="preserve">lehota na prebranie príslušného právneho aktu Európskej únie </w:t>
      </w:r>
    </w:p>
    <w:p w:rsidR="00DC6936" w:rsidRPr="004457C7" w:rsidRDefault="00DC6936" w:rsidP="004457C7">
      <w:pPr>
        <w:spacing w:line="276" w:lineRule="auto"/>
        <w:ind w:left="567"/>
      </w:pPr>
      <w:r w:rsidRPr="004457C7">
        <w:rPr>
          <w:iCs/>
        </w:rPr>
        <w:t xml:space="preserve">- smernica (EÚ) 2022/431: </w:t>
      </w:r>
      <w:r w:rsidRPr="004457C7">
        <w:t>5. apríla 2024,</w:t>
      </w:r>
    </w:p>
    <w:p w:rsidR="00DC6936" w:rsidRPr="004457C7" w:rsidRDefault="00DC6936" w:rsidP="004457C7">
      <w:pPr>
        <w:spacing w:line="276" w:lineRule="auto"/>
        <w:ind w:left="567"/>
        <w:rPr>
          <w:iCs/>
        </w:rPr>
      </w:pPr>
    </w:p>
    <w:p w:rsidR="00DC6936" w:rsidRPr="004457C7" w:rsidRDefault="00DC6936" w:rsidP="004457C7">
      <w:pPr>
        <w:spacing w:line="276" w:lineRule="auto"/>
        <w:ind w:left="567" w:hanging="283"/>
        <w:rPr>
          <w:iCs/>
        </w:rPr>
      </w:pPr>
      <w:r w:rsidRPr="004457C7">
        <w:rPr>
          <w:iCs/>
        </w:rPr>
        <w:t xml:space="preserve">b) </w:t>
      </w:r>
      <w:r w:rsidRPr="004457C7">
        <w:rPr>
          <w:iCs/>
        </w:rPr>
        <w:tab/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:rsidR="00DC6936" w:rsidRPr="004457C7" w:rsidRDefault="00DC6936" w:rsidP="004457C7">
      <w:pPr>
        <w:spacing w:line="276" w:lineRule="auto"/>
        <w:ind w:left="567"/>
        <w:rPr>
          <w:iCs/>
        </w:rPr>
      </w:pPr>
      <w:r w:rsidRPr="004457C7">
        <w:rPr>
          <w:iCs/>
        </w:rPr>
        <w:t>- nie je vedené konanie,</w:t>
      </w:r>
    </w:p>
    <w:p w:rsidR="00DC6936" w:rsidRPr="004457C7" w:rsidRDefault="00DC6936" w:rsidP="004457C7">
      <w:pPr>
        <w:spacing w:line="276" w:lineRule="auto"/>
        <w:ind w:left="567"/>
        <w:rPr>
          <w:iCs/>
        </w:rPr>
      </w:pPr>
    </w:p>
    <w:p w:rsidR="00DC6936" w:rsidRPr="004457C7" w:rsidRDefault="00DC6936" w:rsidP="004457C7">
      <w:pPr>
        <w:spacing w:line="276" w:lineRule="auto"/>
        <w:ind w:left="567" w:hanging="283"/>
        <w:rPr>
          <w:iCs/>
        </w:rPr>
      </w:pPr>
      <w:r w:rsidRPr="004457C7">
        <w:rPr>
          <w:iCs/>
        </w:rPr>
        <w:t xml:space="preserve">c) </w:t>
      </w:r>
      <w:r w:rsidRPr="004457C7">
        <w:rPr>
          <w:iCs/>
        </w:rPr>
        <w:tab/>
        <w:t>informácia o právnych predpisoch, v ktorých sú uvádzané právne akty Európskej únie už prebrané</w:t>
      </w:r>
    </w:p>
    <w:p w:rsidR="00DC6936" w:rsidRPr="004457C7" w:rsidRDefault="00DC6936" w:rsidP="004457C7">
      <w:pPr>
        <w:spacing w:line="276" w:lineRule="auto"/>
        <w:ind w:left="567"/>
        <w:rPr>
          <w:iCs/>
        </w:rPr>
      </w:pPr>
      <w:r w:rsidRPr="004457C7">
        <w:rPr>
          <w:iCs/>
        </w:rPr>
        <w:t>- návrh nariadenia vlády Slovenskej republiky o ochrane zdravia zamestnancov pred rizikami súvisiacimi s expozíciou karcinogénnym faktorom, mutagénnym faktorom alebo reprodukčne toxickým faktorom pri práci (v súčasnosti je v legislatívnom procese).</w:t>
      </w:r>
    </w:p>
    <w:p w:rsidR="00DC6936" w:rsidRPr="004457C7" w:rsidRDefault="00DC6936" w:rsidP="004457C7">
      <w:pPr>
        <w:spacing w:line="276" w:lineRule="auto"/>
        <w:ind w:left="567"/>
      </w:pPr>
      <w:r w:rsidRPr="004457C7">
        <w:rPr>
          <w:iCs/>
        </w:rPr>
        <w:t xml:space="preserve"> </w:t>
      </w:r>
    </w:p>
    <w:p w:rsidR="00DC6936" w:rsidRPr="004457C7" w:rsidRDefault="00DC6936" w:rsidP="004457C7">
      <w:pPr>
        <w:spacing w:line="276" w:lineRule="auto"/>
        <w:rPr>
          <w:b/>
        </w:rPr>
      </w:pPr>
      <w:r w:rsidRPr="004457C7">
        <w:t xml:space="preserve">5. </w:t>
      </w:r>
      <w:r w:rsidRPr="004457C7">
        <w:rPr>
          <w:b/>
        </w:rPr>
        <w:t>Návrh zákona je zlučiteľný s právom Európskej únie:</w:t>
      </w:r>
    </w:p>
    <w:p w:rsidR="00DC6936" w:rsidRPr="004457C7" w:rsidRDefault="00DC6936" w:rsidP="004457C7">
      <w:pPr>
        <w:spacing w:line="276" w:lineRule="auto"/>
        <w:ind w:firstLine="284"/>
      </w:pPr>
      <w:r w:rsidRPr="004457C7">
        <w:t>-  úplne.</w:t>
      </w:r>
    </w:p>
    <w:p w:rsidR="000B29AF" w:rsidRPr="004457C7" w:rsidRDefault="000B29AF" w:rsidP="004457C7">
      <w:pPr>
        <w:spacing w:line="276" w:lineRule="auto"/>
      </w:pPr>
    </w:p>
    <w:p w:rsidR="000B29AF" w:rsidRPr="004457C7" w:rsidRDefault="000B29AF" w:rsidP="004457C7">
      <w:pPr>
        <w:spacing w:line="276" w:lineRule="auto"/>
        <w:ind w:firstLine="708"/>
      </w:pPr>
    </w:p>
    <w:p w:rsidR="009A64D7" w:rsidRPr="004457C7" w:rsidRDefault="004457C7" w:rsidP="004457C7">
      <w:pPr>
        <w:pStyle w:val="Nadpis1"/>
        <w:spacing w:line="276" w:lineRule="auto"/>
      </w:pPr>
      <w:r>
        <w:lastRenderedPageBreak/>
        <w:t>D</w:t>
      </w:r>
      <w:r w:rsidR="009A64D7" w:rsidRPr="004457C7">
        <w:t>ôvodová správa</w:t>
      </w:r>
    </w:p>
    <w:p w:rsidR="009A64D7" w:rsidRDefault="009A64D7" w:rsidP="004457C7">
      <w:pPr>
        <w:keepNext/>
        <w:spacing w:line="276" w:lineRule="auto"/>
        <w:outlineLvl w:val="0"/>
        <w:rPr>
          <w:rFonts w:eastAsia="Times New Roman"/>
          <w:b/>
          <w:bCs/>
        </w:rPr>
      </w:pPr>
    </w:p>
    <w:p w:rsidR="009A64D7" w:rsidRPr="004457C7" w:rsidRDefault="009A64D7" w:rsidP="004457C7">
      <w:pPr>
        <w:keepNext/>
        <w:spacing w:line="276" w:lineRule="auto"/>
        <w:outlineLvl w:val="0"/>
        <w:rPr>
          <w:rFonts w:eastAsia="Times New Roman"/>
          <w:b/>
          <w:bCs/>
        </w:rPr>
      </w:pPr>
      <w:r w:rsidRPr="004457C7">
        <w:rPr>
          <w:rFonts w:eastAsia="Times New Roman"/>
          <w:b/>
          <w:bCs/>
        </w:rPr>
        <w:t>B. Osobitná časť</w:t>
      </w:r>
    </w:p>
    <w:p w:rsidR="009A64D7" w:rsidRDefault="009A64D7" w:rsidP="004457C7">
      <w:pPr>
        <w:spacing w:line="276" w:lineRule="auto"/>
        <w:rPr>
          <w:rFonts w:eastAsia="Times New Roman"/>
        </w:rPr>
      </w:pPr>
    </w:p>
    <w:p w:rsidR="009A64D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  <w:r w:rsidRPr="004457C7">
        <w:rPr>
          <w:rFonts w:eastAsia="Times New Roman"/>
          <w:b/>
          <w:bCs/>
        </w:rPr>
        <w:t>K bodu 1</w:t>
      </w:r>
    </w:p>
    <w:p w:rsidR="00713721" w:rsidRPr="004457C7" w:rsidRDefault="00713721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>Pracovné činnosti spojené s výrobou, spracovaním, manipuláciou, skladovaním, prepravou a zneškodňovaním chemických karcinogénov a </w:t>
      </w:r>
      <w:proofErr w:type="spellStart"/>
      <w:r w:rsidRPr="004457C7">
        <w:rPr>
          <w:rFonts w:eastAsia="Times New Roman"/>
        </w:rPr>
        <w:t>mutagénov</w:t>
      </w:r>
      <w:proofErr w:type="spellEnd"/>
      <w:r w:rsidRPr="004457C7">
        <w:rPr>
          <w:rFonts w:eastAsia="Times New Roman"/>
        </w:rPr>
        <w:t xml:space="preserve"> na pracovisku, ktoré v súčasnosti podliehajú posúdeniu príslušného orgánu verejného zdravotníctva v zmysle § 13 ods. 4 písm. i) zákona č. 355/2007 Z. z. sú v návrhu zákona doplnené o pracovné činnosti spojené s výrobou, spracovaním, manipuláciou, skladovaním, prepravou a zneškodňovaním reprodukčne toxických faktorov na pracovisku. </w:t>
      </w: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>Pracovné činnosti súvisiace s expozíciou reprodukčne toxickým faktorom budú podliehať posúdeniu príslušným orgánom verejného zdravotníctva, ktorý posudzuje  a vyhodnocuje návrhy z hľadiska ich možného negatívneho vplyvu na verejné zdravie. Návrhy na posúdenie príslušnému orgánu verejného zdravotníctva sú povinné predkladať fyzické osoby – podnikatelia a právnické osoby podľa § 52 ods. 1 písm. b) zákona č. 355/2007 Z. z. a do času kladného posúdenia  sa musia zdržať vykonávania posudzovanej činnosti. Návrhy na posúdenie a vydanie rozhodnutia príslušného orgánu verejného zdravotníctva podľa § 13 ods. 4 písm. i) zákona č. 355/2007 Z. z. podliehajú správnemu poplatku 50 eur (položka 150 písm. f) zákona č. 145/1995 Z. z.  o správnych poplatkoch v znení neskorších predpisov), resp. 25 eur pri elektronickom podaní.</w:t>
      </w:r>
    </w:p>
    <w:p w:rsidR="009A64D7" w:rsidRPr="004457C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  <w:i/>
        </w:rPr>
      </w:pPr>
    </w:p>
    <w:p w:rsidR="009A64D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  <w:r w:rsidRPr="004457C7">
        <w:rPr>
          <w:rFonts w:eastAsia="Times New Roman"/>
          <w:b/>
          <w:bCs/>
        </w:rPr>
        <w:t>K bodu 2</w:t>
      </w:r>
    </w:p>
    <w:p w:rsidR="00713721" w:rsidRPr="004457C7" w:rsidRDefault="00713721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Pr="004457C7" w:rsidRDefault="009A64D7" w:rsidP="004457C7">
      <w:pPr>
        <w:tabs>
          <w:tab w:val="left" w:pos="284"/>
        </w:tabs>
        <w:spacing w:line="276" w:lineRule="auto"/>
        <w:rPr>
          <w:rFonts w:eastAsia="Calibri"/>
        </w:rPr>
      </w:pPr>
      <w:r w:rsidRPr="004457C7">
        <w:rPr>
          <w:rFonts w:eastAsia="Calibri"/>
        </w:rPr>
        <w:tab/>
      </w:r>
      <w:r w:rsidRPr="004457C7">
        <w:rPr>
          <w:rFonts w:eastAsia="Calibri"/>
        </w:rPr>
        <w:tab/>
        <w:t>Zoznam faktorov práce a pracovného prostredia, pri expozícii ktorých je zamestnávateľ povinný viesť a uchovávať evidenciu zamestnancov vykonávajúcich prácu zaradenú do druhej kategórie, tretej kategórie alebo štvrtej kategórie je doplnený o reprodukčne toxické faktory.</w:t>
      </w:r>
    </w:p>
    <w:p w:rsidR="009A64D7" w:rsidRPr="004457C7" w:rsidRDefault="009A64D7" w:rsidP="004457C7">
      <w:pPr>
        <w:tabs>
          <w:tab w:val="left" w:pos="284"/>
        </w:tabs>
        <w:spacing w:line="276" w:lineRule="auto"/>
        <w:rPr>
          <w:rFonts w:eastAsia="Calibri"/>
        </w:rPr>
      </w:pPr>
    </w:p>
    <w:p w:rsidR="009A64D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  <w:r w:rsidRPr="004457C7">
        <w:rPr>
          <w:rFonts w:eastAsia="Times New Roman"/>
          <w:b/>
          <w:bCs/>
        </w:rPr>
        <w:t xml:space="preserve">K bodom 3 a 4 </w:t>
      </w:r>
    </w:p>
    <w:p w:rsidR="00713721" w:rsidRPr="004457C7" w:rsidRDefault="00713721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>V smernici (EÚ) 2022/431 sa deklaruje, že  lekárske preventívne prehliadky vo vzťahu k práci sú významným a účinným opatrením na ochranu zdravia pri práci pred expozíciou a v pravidelných intervaloch počas expozície karcinogénnym faktorom, mutagénnym faktorom alebo reprodukčne toxickým faktorom. Dôvodom je, že u bezprahovo pôsobiacich faktorov nie je vedecky možné spoľahlivo určiť úrovne, pod ktorými by expozícia týmto zdraviu škodlivým faktorom neviedla k nepriaznivým účinkom na zdravie exponovaných osôb. Zamestnávateľovi sa ukladá zabezpečiť zamestnancom zdravotný dohľad výkonom lekárskych preventívnych prehliadok vo vzťahu k práci pred expozíciou  a v pravidelných intervaloch počas expozície karcinogénnym faktorom, mutagénnym faktorom alebo reprodukčne toxickým faktorom a zdravotný dohľad, ktorému môžu podliehať po ukončení expozície karcinogénnym faktorom, mutagénnym faktorom alebo reprodukčne toxickým faktorom.</w:t>
      </w: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>Smernica (EÚ) 2022/431 obsahuje zoznam reprodukčne toxických faktorov, pre ktoré je stanovený limit expozície; sú to nasledovné chemické látky a zlúčeniny: b</w:t>
      </w:r>
      <w:proofErr w:type="spellStart"/>
      <w:r w:rsidRPr="004457C7">
        <w:rPr>
          <w:rFonts w:eastAsia="Times New Roman"/>
          <w:lang w:val="en-US"/>
        </w:rPr>
        <w:t>isfenol</w:t>
      </w:r>
      <w:proofErr w:type="spellEnd"/>
      <w:r w:rsidRPr="004457C7">
        <w:rPr>
          <w:rFonts w:eastAsia="Times New Roman"/>
          <w:lang w:val="en-US"/>
        </w:rPr>
        <w:t xml:space="preserve"> A, 1-metyl-</w:t>
      </w:r>
      <w:r w:rsidRPr="004457C7">
        <w:rPr>
          <w:rFonts w:eastAsia="Times New Roman"/>
          <w:lang w:val="en-US"/>
        </w:rPr>
        <w:lastRenderedPageBreak/>
        <w:t>2-pyrolidón, 2-Etoxyetanol, 2-Etoxyetyl-acetát, 2-Metoxyetanol, 2-Metoxyetylacetát, N,N-</w:t>
      </w:r>
      <w:proofErr w:type="spellStart"/>
      <w:r w:rsidRPr="004457C7">
        <w:rPr>
          <w:rFonts w:eastAsia="Times New Roman"/>
          <w:lang w:val="en-US"/>
        </w:rPr>
        <w:t>dimetylacetamid</w:t>
      </w:r>
      <w:proofErr w:type="spellEnd"/>
      <w:r w:rsidRPr="004457C7">
        <w:rPr>
          <w:rFonts w:eastAsia="Times New Roman"/>
          <w:lang w:val="en-US"/>
        </w:rPr>
        <w:t>, N,N-</w:t>
      </w:r>
      <w:proofErr w:type="spellStart"/>
      <w:r w:rsidRPr="004457C7">
        <w:rPr>
          <w:rFonts w:eastAsia="Times New Roman"/>
          <w:lang w:val="en-US"/>
        </w:rPr>
        <w:t>dimetylformamid</w:t>
      </w:r>
      <w:proofErr w:type="spellEnd"/>
      <w:r w:rsidRPr="004457C7">
        <w:rPr>
          <w:rFonts w:eastAsia="Times New Roman"/>
          <w:lang w:val="en-US"/>
        </w:rPr>
        <w:t xml:space="preserve">, </w:t>
      </w:r>
      <w:proofErr w:type="spellStart"/>
      <w:r w:rsidRPr="004457C7">
        <w:rPr>
          <w:rFonts w:eastAsia="Times New Roman"/>
          <w:lang w:val="en-US"/>
        </w:rPr>
        <w:t>nitrobenzén</w:t>
      </w:r>
      <w:proofErr w:type="spellEnd"/>
      <w:r w:rsidRPr="004457C7">
        <w:rPr>
          <w:rFonts w:eastAsia="Times New Roman"/>
          <w:lang w:val="en-US"/>
        </w:rPr>
        <w:t xml:space="preserve">,  </w:t>
      </w:r>
      <w:proofErr w:type="spellStart"/>
      <w:r w:rsidRPr="004457C7">
        <w:rPr>
          <w:rFonts w:eastAsia="Times New Roman"/>
          <w:lang w:val="en-US"/>
        </w:rPr>
        <w:t>olovo</w:t>
      </w:r>
      <w:proofErr w:type="spellEnd"/>
      <w:r w:rsidRPr="004457C7">
        <w:rPr>
          <w:rFonts w:eastAsia="Times New Roman"/>
          <w:lang w:val="en-US"/>
        </w:rPr>
        <w:t xml:space="preserve"> a </w:t>
      </w:r>
      <w:proofErr w:type="spellStart"/>
      <w:r w:rsidRPr="004457C7">
        <w:rPr>
          <w:rFonts w:eastAsia="Times New Roman"/>
          <w:lang w:val="en-US"/>
        </w:rPr>
        <w:t>jeho</w:t>
      </w:r>
      <w:proofErr w:type="spellEnd"/>
      <w:r w:rsidRPr="004457C7">
        <w:rPr>
          <w:rFonts w:eastAsia="Times New Roman"/>
          <w:lang w:val="en-US"/>
        </w:rPr>
        <w:t xml:space="preserve"> </w:t>
      </w:r>
      <w:proofErr w:type="spellStart"/>
      <w:r w:rsidRPr="004457C7">
        <w:rPr>
          <w:rFonts w:eastAsia="Times New Roman"/>
          <w:lang w:val="en-US"/>
        </w:rPr>
        <w:t>anorganické</w:t>
      </w:r>
      <w:proofErr w:type="spellEnd"/>
      <w:r w:rsidRPr="004457C7">
        <w:rPr>
          <w:rFonts w:eastAsia="Times New Roman"/>
          <w:lang w:val="en-US"/>
        </w:rPr>
        <w:t xml:space="preserve">  </w:t>
      </w:r>
      <w:proofErr w:type="spellStart"/>
      <w:r w:rsidRPr="004457C7">
        <w:rPr>
          <w:rFonts w:eastAsia="Times New Roman"/>
          <w:lang w:val="en-US"/>
        </w:rPr>
        <w:t>zlúčeniny</w:t>
      </w:r>
      <w:proofErr w:type="spellEnd"/>
      <w:r w:rsidRPr="004457C7">
        <w:rPr>
          <w:rFonts w:eastAsia="Times New Roman"/>
          <w:lang w:val="en-US"/>
        </w:rPr>
        <w:t xml:space="preserve">, </w:t>
      </w:r>
      <w:proofErr w:type="spellStart"/>
      <w:r w:rsidRPr="004457C7">
        <w:rPr>
          <w:rFonts w:eastAsia="Times New Roman"/>
          <w:lang w:val="en-US"/>
        </w:rPr>
        <w:t>ortuť</w:t>
      </w:r>
      <w:proofErr w:type="spellEnd"/>
      <w:r w:rsidRPr="004457C7">
        <w:rPr>
          <w:rFonts w:eastAsia="Times New Roman"/>
          <w:lang w:val="en-US"/>
        </w:rPr>
        <w:t xml:space="preserve"> a </w:t>
      </w:r>
      <w:proofErr w:type="spellStart"/>
      <w:r w:rsidRPr="004457C7">
        <w:rPr>
          <w:rFonts w:eastAsia="Times New Roman"/>
          <w:lang w:val="en-US"/>
        </w:rPr>
        <w:t>bivalentné</w:t>
      </w:r>
      <w:proofErr w:type="spellEnd"/>
      <w:r w:rsidRPr="004457C7">
        <w:rPr>
          <w:rFonts w:eastAsia="Times New Roman"/>
          <w:lang w:val="en-US"/>
        </w:rPr>
        <w:t xml:space="preserve"> (</w:t>
      </w:r>
      <w:proofErr w:type="spellStart"/>
      <w:r w:rsidRPr="004457C7">
        <w:rPr>
          <w:rFonts w:eastAsia="Times New Roman"/>
          <w:lang w:val="en-US"/>
        </w:rPr>
        <w:t>dvojmocné</w:t>
      </w:r>
      <w:proofErr w:type="spellEnd"/>
      <w:r w:rsidRPr="004457C7">
        <w:rPr>
          <w:rFonts w:eastAsia="Times New Roman"/>
          <w:lang w:val="en-US"/>
        </w:rPr>
        <w:t xml:space="preserve">) </w:t>
      </w:r>
      <w:proofErr w:type="spellStart"/>
      <w:r w:rsidRPr="004457C7">
        <w:rPr>
          <w:rFonts w:eastAsia="Times New Roman"/>
          <w:lang w:val="en-US"/>
        </w:rPr>
        <w:t>anorganické</w:t>
      </w:r>
      <w:proofErr w:type="spellEnd"/>
      <w:r w:rsidRPr="004457C7">
        <w:rPr>
          <w:rFonts w:eastAsia="Times New Roman"/>
          <w:lang w:val="en-US"/>
        </w:rPr>
        <w:t xml:space="preserve"> </w:t>
      </w:r>
      <w:proofErr w:type="spellStart"/>
      <w:r w:rsidRPr="004457C7">
        <w:rPr>
          <w:rFonts w:eastAsia="Times New Roman"/>
          <w:lang w:val="en-US"/>
        </w:rPr>
        <w:t>zlúčeniny</w:t>
      </w:r>
      <w:proofErr w:type="spellEnd"/>
      <w:r w:rsidRPr="004457C7">
        <w:rPr>
          <w:rFonts w:eastAsia="Times New Roman"/>
          <w:lang w:val="en-US"/>
        </w:rPr>
        <w:t xml:space="preserve">, </w:t>
      </w:r>
      <w:proofErr w:type="spellStart"/>
      <w:r w:rsidRPr="004457C7">
        <w:rPr>
          <w:rFonts w:eastAsia="Times New Roman"/>
          <w:lang w:val="en-US"/>
        </w:rPr>
        <w:t>vrátane</w:t>
      </w:r>
      <w:proofErr w:type="spellEnd"/>
      <w:r w:rsidRPr="004457C7">
        <w:rPr>
          <w:rFonts w:eastAsia="Times New Roman"/>
          <w:lang w:val="en-US"/>
        </w:rPr>
        <w:t xml:space="preserve"> </w:t>
      </w:r>
      <w:proofErr w:type="spellStart"/>
      <w:r w:rsidRPr="004457C7">
        <w:rPr>
          <w:rFonts w:eastAsia="Times New Roman"/>
          <w:lang w:val="en-US"/>
        </w:rPr>
        <w:t>oxidu</w:t>
      </w:r>
      <w:proofErr w:type="spellEnd"/>
      <w:r w:rsidRPr="004457C7">
        <w:rPr>
          <w:rFonts w:eastAsia="Times New Roman"/>
          <w:lang w:val="en-US"/>
        </w:rPr>
        <w:t xml:space="preserve"> </w:t>
      </w:r>
      <w:proofErr w:type="spellStart"/>
      <w:r w:rsidRPr="004457C7">
        <w:rPr>
          <w:rFonts w:eastAsia="Times New Roman"/>
          <w:lang w:val="en-US"/>
        </w:rPr>
        <w:t>ortuťnatého</w:t>
      </w:r>
      <w:proofErr w:type="spellEnd"/>
      <w:r w:rsidRPr="004457C7">
        <w:rPr>
          <w:rFonts w:eastAsia="Times New Roman"/>
          <w:lang w:val="en-US"/>
        </w:rPr>
        <w:t xml:space="preserve"> a </w:t>
      </w:r>
      <w:proofErr w:type="spellStart"/>
      <w:r w:rsidRPr="004457C7">
        <w:rPr>
          <w:rFonts w:eastAsia="Times New Roman"/>
          <w:lang w:val="en-US"/>
        </w:rPr>
        <w:t>chloridu</w:t>
      </w:r>
      <w:proofErr w:type="spellEnd"/>
      <w:r w:rsidRPr="004457C7">
        <w:rPr>
          <w:rFonts w:eastAsia="Times New Roman"/>
          <w:lang w:val="en-US"/>
        </w:rPr>
        <w:t xml:space="preserve"> </w:t>
      </w:r>
      <w:proofErr w:type="spellStart"/>
      <w:r w:rsidRPr="004457C7">
        <w:rPr>
          <w:rFonts w:eastAsia="Times New Roman"/>
          <w:lang w:val="en-US"/>
        </w:rPr>
        <w:t>ortuťnatého</w:t>
      </w:r>
      <w:proofErr w:type="spellEnd"/>
      <w:r w:rsidRPr="004457C7">
        <w:rPr>
          <w:rFonts w:eastAsia="Times New Roman"/>
          <w:lang w:val="en-US"/>
        </w:rPr>
        <w:t xml:space="preserve">, </w:t>
      </w:r>
      <w:proofErr w:type="spellStart"/>
      <w:r w:rsidRPr="004457C7">
        <w:rPr>
          <w:rFonts w:eastAsia="Times New Roman"/>
          <w:lang w:val="en-US"/>
        </w:rPr>
        <w:t>oxid</w:t>
      </w:r>
      <w:proofErr w:type="spellEnd"/>
      <w:r w:rsidRPr="004457C7">
        <w:rPr>
          <w:rFonts w:eastAsia="Times New Roman"/>
          <w:lang w:val="en-US"/>
        </w:rPr>
        <w:t xml:space="preserve"> </w:t>
      </w:r>
      <w:proofErr w:type="spellStart"/>
      <w:r w:rsidRPr="004457C7">
        <w:rPr>
          <w:rFonts w:eastAsia="Times New Roman"/>
          <w:lang w:val="en-US"/>
        </w:rPr>
        <w:t>uhoľnatý</w:t>
      </w:r>
      <w:proofErr w:type="spellEnd"/>
      <w:r w:rsidRPr="004457C7">
        <w:rPr>
          <w:rFonts w:eastAsia="Times New Roman"/>
          <w:lang w:val="en-US"/>
        </w:rPr>
        <w:t xml:space="preserve">. </w:t>
      </w:r>
      <w:r w:rsidRPr="004457C7">
        <w:rPr>
          <w:rFonts w:eastAsia="Times New Roman"/>
        </w:rPr>
        <w:t xml:space="preserve">Všetky reprodukčne toxické látky a zlúčeniny uvedené v smernici (EÚ) 2022/431 spolu s ich najvyššie prípustnými expozičnými limitmi v pracovnom ovzduší sú v súčasnosti uvedené ako chemické faktory s toxickým účinkom v prílohe č. 1 k nariadeniu vlády Slovenskej republiky č. 355/2006 Z. z. o ochrane zamestnancov pred rizikami súvisiacimi s expozíciou chemickým faktorom pri práci v znení neskorších predpisov. </w:t>
      </w: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>Smernica (EÚ) 2022/431 sa v súčasnosti transponuje do návrhu nariadenia vlády Slovenskej republiky o ochrane zdravia zamestnancov pred rizikami súvisiacimi s expozíciou karcinogénnym faktorom, mutagénnym faktorom alebo reprodukčne toxickým faktorom pri práci, ktorého súčasťou bude aj zoznam  vyššie uvedených reprodukčne toxických látok a zlúčenín a ich najvyššie prípustné expozičné limity v pracovnom ovzduší.</w:t>
      </w: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>V súvislosti s expozíciou karcinogénnym faktorom a mutagénnym faktorom je v súčasnosti zamestnávateľ povinný v zmysle § 30 a § 40 zákona č. 355/2007 Z. z.  zabezpečiť na pracovisku všetky dostupné opatrenia na ochranu zdravia zamestnancov pri práci; táto povinnosť zamestnávateľa sa v návrhu zákona rozširuje aj na reprodukčne toxické faktory.</w:t>
      </w: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>Účinným preventívnym opatrením na ochranu zdravia pri práci, upraveným v § 30 ods. 1 písm. f) a § 30e zákona č. 355/2007 Z. z., je posudzovanie zdravotnej spôsobilosti na prácu výkonom lekárskych preventívnych prehliadok vo vzťahu k práci.  V súčasnosti je povinnosťou zamestnávateľa zabezpečiť zamestnancom posudzovanie zdravotnej spôsobilosti na prácu, ak vykonávajú prácu s expozíciou zdraviu škodlivým faktorom práce a pracovného prostredia zaradenú do tretej kategórie alebo štvrtej kategórie (rizikovú prácu) vrátane fyzických osôb, ktoré sa uchádzajú o zamestnanie, ak budú vykonávať prácu zaradenú do tretej kategórie alebo štvrtej kategórie. Medzi významné zdraviu  škodlivé faktory práce a pracovného prostredia patria karcinogénne faktory a mutagénne faktory. Uvedená povinnosť zamestnávateľa sa návrhom zákona rozširuje aj na zamestnancov exponovaných pri práci reprodukčne toxickým faktorom a fyzické osoby, ktoré sa uchádzajú o zamestnanie a budú exponovaní reprodukčne toxickým faktorom.  Zákonom č. 355/2007 Z. z. je upravená frekvencia výkonu lekárskych preventívnych prehliadok vo vzťahu k práci  u zamestnancov vykonávajúcich prácu zaradenú do tretej kategórie raz za dva roky;  u zamestnancov vykonávajúcich prácu zaradenú do štvrtej kategórie raz za rok.</w:t>
      </w: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  <w:i/>
        </w:rPr>
      </w:pPr>
      <w:r w:rsidRPr="004457C7">
        <w:rPr>
          <w:rFonts w:eastAsia="Times New Roman"/>
        </w:rPr>
        <w:t xml:space="preserve">V súvislosti s expozíciou karcinogénnym faktorom, mutagénnym faktorom alebo reprodukčne toxickým faktorom pri práci sa návrhom zákona v súlade so smernicou  (EÚ) 2022/431 v záujme prevencie poškodenia zdravia a ochrany zdravia rozširuje povinnosť zamestnávateľa zabezpečiť posudzovanie zdravotnej spôsobilosti na prácu výkonom lekárskych preventívnych prehliadok vo vzťahu k práci u zamestnancov, ak vykonávajú prácu zaradenú do druhej kategórie vrátane fyzických osôb, ktoré sa uchádzajú o zamestnanie, ak budú vykonávať prácu zaradenú do druhej kategórie. </w:t>
      </w: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 xml:space="preserve">Po ukončení expozície s rizikovými faktormi s neskorými následkami na zdravie, medzi ktoré patria karcinogénne faktory a mutagénne faktory, je zamestnávateľ v súčasnosti povinný v zmysle § 30e ods. 11 zákona č. 355/2007 Z. z. zabezpečiť následnú lekársku preventívnu prehliadku vo vzťahu k práci  u bývalých zamestnancov, ak vykonávali prácu zaradenú  do </w:t>
      </w:r>
      <w:r w:rsidRPr="004457C7">
        <w:rPr>
          <w:rFonts w:eastAsia="Times New Roman"/>
        </w:rPr>
        <w:lastRenderedPageBreak/>
        <w:t xml:space="preserve">tretej kategórie alebo štvrtej kategórie, ak o to bývalého zamestnávateľa požiadajú, a to vo frekvencii raz za tri roky. </w:t>
      </w: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 xml:space="preserve">Významnými rizikovými faktormi s neskorými následkami na zdravie sú aj reprodukčne toxické faktory. V návrhu zákona sa uvedená povinnosť zamestnávateľa zabezpečiť následnú  lekársku preventívnu prehliadku vo vzťahu k práci  u bývalých zamestnancov rozširuje aj na bývalých zamestnancov, ktorí  boli pri práci exponovaní reprodukčne toxickým faktorom, ak o to bývalého zamestnávateľa požiadajú, a to vo frekvencii raz za tri roky. </w:t>
      </w:r>
    </w:p>
    <w:p w:rsidR="009A64D7" w:rsidRPr="004457C7" w:rsidRDefault="009A64D7" w:rsidP="004457C7">
      <w:pPr>
        <w:pStyle w:val="Zkladntext2"/>
        <w:spacing w:after="0" w:line="276" w:lineRule="auto"/>
        <w:ind w:firstLine="708"/>
      </w:pPr>
      <w:r w:rsidRPr="004457C7">
        <w:t xml:space="preserve">V smernici (EÚ) 2022/431 sa deklaruje, že  lekárske preventívne prehliadky vo vzťahu k práci sú významným a účinným preventívnym opatrením na ochranu zdravia pri práci pred expozíciou a v pravidelných intervaloch počas expozície  karcinogénnym faktorom, mutagénnym faktorom alebo reprodukčne toxickým faktorom. Prevencia a ochrana zdravia  musí byť efektívna, a preto musí byť realizovaná včas a systematicky, aby sa predišlo rozvoju poškodenia zdravia a súvisiacim vysokým ekonomickým nákladom na liečbu a sociálne dávky. Eticky je správne predchádzať, zabrániť rozvoju škôd na zdraví  a nie ich nákladne naprávať, ak to je vôbec možné.   </w:t>
      </w:r>
    </w:p>
    <w:p w:rsidR="009A64D7" w:rsidRPr="004457C7" w:rsidRDefault="009A64D7" w:rsidP="004457C7">
      <w:pPr>
        <w:spacing w:line="276" w:lineRule="auto"/>
        <w:ind w:firstLine="708"/>
      </w:pPr>
      <w:r w:rsidRPr="004457C7">
        <w:t>Smernicou (EÚ) 2022/431 je ustanovené, že expozícia zamestnanca karcinogénnym faktorom, mutagénnym faktorom alebo reprodukčne toxickým faktorom</w:t>
      </w:r>
      <w:r w:rsidRPr="004457C7">
        <w:rPr>
          <w:b/>
          <w:bCs/>
        </w:rPr>
        <w:t xml:space="preserve"> </w:t>
      </w:r>
      <w:r w:rsidRPr="004457C7">
        <w:rPr>
          <w:bCs/>
        </w:rPr>
        <w:t>nesmie</w:t>
      </w:r>
      <w:r w:rsidRPr="004457C7">
        <w:rPr>
          <w:b/>
          <w:bCs/>
        </w:rPr>
        <w:t xml:space="preserve"> </w:t>
      </w:r>
      <w:r w:rsidRPr="004457C7">
        <w:t xml:space="preserve">prekročiť najvyššie prípustné expozičné limity a zamestnávateľ musí robiť opatrenia na čo najnižšiu expozíciu týmto faktorom. Znamená to, že opatrenia na sledovanie zdravotného stavu  sa týkajú  zamestnancov  exponovaných uvedeným faktorom pri rešpektovaní  neprekročenia   stanovených limitov expozície. </w:t>
      </w:r>
    </w:p>
    <w:p w:rsidR="009A64D7" w:rsidRPr="004457C7" w:rsidRDefault="009A64D7" w:rsidP="004457C7">
      <w:pPr>
        <w:spacing w:line="276" w:lineRule="auto"/>
        <w:ind w:firstLine="708"/>
      </w:pPr>
      <w:r w:rsidRPr="004457C7">
        <w:t>Karcinogénne faktory majú schopnosť vyvolať rakovinu u exponovaných osôb a vyznačujú sa dlhou dobou latencie, čo znamená, že rakovina sa môže vyvinúť aj po 10 - 20 rokoch od ukončenia expozície.  Mutagénne faktory môžu spôsobovať zmeny (mutácie) v genetickom materiáli v ľudských bunkách a tým môžu mať negatívny vplyv aj na potomstvo. Reprodukčne toxické faktory môžu byť príčinou nepriaznivých účinkov na pohlavné funkcie a plodnosť dospelých mužov a žien, na laktáciu žien,  ako aj na vývoj potomstva. Vzhľadom na tieto vážne a nezvratné účinky na zdravie zamestnancov  patria karcinogénne faktory, mutagénne faktory  a reprodukčne toxické faktory  medzi chemické látky klasifikované ako „látky vzbudzujúce veľmi veľké obavy“  a vyžadujú si adekvátnu prevenciu a ochranu zdravia zamestnancov.</w:t>
      </w:r>
    </w:p>
    <w:p w:rsidR="009A64D7" w:rsidRPr="004457C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  <w:r w:rsidRPr="004457C7">
        <w:rPr>
          <w:rFonts w:eastAsia="Times New Roman"/>
          <w:b/>
          <w:bCs/>
        </w:rPr>
        <w:t xml:space="preserve">K bodu 5 </w:t>
      </w:r>
    </w:p>
    <w:p w:rsidR="00713721" w:rsidRPr="004457C7" w:rsidRDefault="00713721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 xml:space="preserve">Legislatívno-technická úprava. </w:t>
      </w:r>
    </w:p>
    <w:p w:rsidR="009A64D7" w:rsidRPr="004457C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  <w:r w:rsidRPr="004457C7">
        <w:rPr>
          <w:rFonts w:eastAsia="Times New Roman"/>
          <w:b/>
          <w:bCs/>
        </w:rPr>
        <w:t>K bodu 6</w:t>
      </w:r>
    </w:p>
    <w:p w:rsidR="00713721" w:rsidRPr="004457C7" w:rsidRDefault="00713721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>Návrhom zákona sa upravuje frekvencia výkonu lekárskych preventívnych prehliadok vo vzťahu k práci u zamestnancov vykonávajúcich prácu s expozíciou karcinogénnym faktorom, mutagénnym faktorom alebo reprodukčne toxickým faktorom zaradenú do druhej kategórie raz za tri roky.</w:t>
      </w: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  <w:color w:val="FF0000"/>
        </w:rPr>
      </w:pPr>
    </w:p>
    <w:p w:rsidR="009A64D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  <w:r w:rsidRPr="004457C7">
        <w:rPr>
          <w:rFonts w:eastAsia="Times New Roman"/>
          <w:b/>
          <w:bCs/>
        </w:rPr>
        <w:lastRenderedPageBreak/>
        <w:t>K bodom 7 až 9</w:t>
      </w:r>
    </w:p>
    <w:p w:rsidR="00713721" w:rsidRPr="004457C7" w:rsidRDefault="00713721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 xml:space="preserve">Legislatívno-technická úprava. </w:t>
      </w:r>
    </w:p>
    <w:p w:rsidR="00713721" w:rsidRPr="004457C7" w:rsidRDefault="00713721" w:rsidP="004457C7">
      <w:pPr>
        <w:spacing w:line="276" w:lineRule="auto"/>
        <w:ind w:firstLine="708"/>
        <w:rPr>
          <w:rFonts w:eastAsia="Times New Roman"/>
        </w:rPr>
      </w:pPr>
    </w:p>
    <w:p w:rsidR="009A64D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  <w:r w:rsidRPr="004457C7">
        <w:rPr>
          <w:rFonts w:eastAsia="Times New Roman"/>
          <w:b/>
          <w:bCs/>
        </w:rPr>
        <w:t>K bodu 10</w:t>
      </w:r>
    </w:p>
    <w:p w:rsidR="00713721" w:rsidRPr="004457C7" w:rsidRDefault="00713721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>V súvislosti s expozíciou karcinogénnym faktorom a mutagénnym faktorom je v súčasnosti zamestnávateľ povinný v zmysle § 40 zákona č. 355/2007 Z. z.  zabezpečiť v súlade s osobitným predpisom všetky dostupné technické,  organizačné alebo iné opatrenia na ochranu zdravia zamestnancov pri práci, ktoré znížia expozíciu zamestnancov na najnižšiu možnú úroveň; táto povinnosť zamestnávateľa sa v návrhu zákona rozširuje aj na reprodukčne toxické faktory. Osobitným predpisom je pripravené nariadenie vlády Slovenskej republiky o ochrane zdravia zamestnancov pred rizikami súvisiacimi s expozíciou karcinogénnym faktorom, mutagénnym faktorom alebo reprodukčne toxickým faktorom pri práci, ktoré je v súčasnosti v legislatívnom procese.</w:t>
      </w:r>
    </w:p>
    <w:p w:rsidR="009A64D7" w:rsidRPr="004457C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  <w:r w:rsidRPr="004457C7">
        <w:rPr>
          <w:rFonts w:eastAsia="Times New Roman"/>
          <w:b/>
          <w:bCs/>
        </w:rPr>
        <w:t>K bodu 11</w:t>
      </w:r>
    </w:p>
    <w:p w:rsidR="00713721" w:rsidRPr="004457C7" w:rsidRDefault="00713721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 xml:space="preserve">Legislatívno-technická úprava. </w:t>
      </w:r>
    </w:p>
    <w:p w:rsidR="009A64D7" w:rsidRPr="004457C7" w:rsidRDefault="009A64D7" w:rsidP="004457C7">
      <w:pPr>
        <w:spacing w:line="276" w:lineRule="auto"/>
        <w:rPr>
          <w:rFonts w:eastAsia="Times New Roman"/>
        </w:rPr>
      </w:pPr>
    </w:p>
    <w:p w:rsidR="009A64D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  <w:r w:rsidRPr="004457C7">
        <w:rPr>
          <w:rFonts w:eastAsia="Times New Roman"/>
          <w:b/>
          <w:bCs/>
        </w:rPr>
        <w:t>K bodu 12</w:t>
      </w:r>
    </w:p>
    <w:p w:rsidR="00713721" w:rsidRPr="004457C7" w:rsidRDefault="00713721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>Správny delikt na úseku verejného zdravotníctva v oblasti ochrany zdravia pri práci, ktorého sa dopustí fyzická osoba – podnikateľ alebo právnická osoba, ktorá nezabezpečí  technické, organizačné alebo iné opatrenia na ochranu zdravia zamestnancov pri práci s karcinogénnymi faktormi a mutagénnymi faktormi sa dopĺňa o reprodukčne toxické faktory.</w:t>
      </w:r>
    </w:p>
    <w:p w:rsidR="009A64D7" w:rsidRPr="004457C7" w:rsidRDefault="009A64D7" w:rsidP="004457C7">
      <w:pPr>
        <w:spacing w:line="276" w:lineRule="auto"/>
        <w:rPr>
          <w:rFonts w:eastAsia="Times New Roman"/>
        </w:rPr>
      </w:pPr>
    </w:p>
    <w:p w:rsidR="009A64D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  <w:r w:rsidRPr="004457C7">
        <w:rPr>
          <w:rFonts w:eastAsia="Times New Roman"/>
          <w:b/>
          <w:bCs/>
        </w:rPr>
        <w:t>K bodu 13</w:t>
      </w:r>
    </w:p>
    <w:p w:rsidR="00713721" w:rsidRPr="004457C7" w:rsidRDefault="00713721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 xml:space="preserve">Upravuje sa prechodné ustanovenie k novej povinnosti  fyzickej osoby – podnikateľa alebo právnickej osoby, u ktorej sa na pracovisku vykonávali činnosti spojené s výrobou, spracovaním, manipuláciou, skladovaním, prepravou a zneškodňovaním reprodukčne toxických faktorov pred účinnosťou návrhu zákona (pred 5. aprílom 2024).  Ak sa na pracovisku fyzickej osoby – podnikateľa alebo právnickej osoby vykonávajú uvedené činnosti aj po 5. apríli 2024, je povinná najneskôr do 31. decembra 2024 predložiť príslušnému orgánu verejného zdravotníctva návrh  na ich posúdenie. </w:t>
      </w: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>Upravuje sa prechodné ustanovenie k novej povinnosti zamestnávateľa, ktorý je povinný zabezpečiť prvé posúdenie zdravotnej spôsobilosti na prácu u zamestnancov exponovaných karcinogénnym faktorom, mutagénnym faktorom alebo reprodukčne toxickým faktorom, ktorí vykonávajú prácu zaradenú do druhej, tretej alebo štvrtej kategórie, najneskôr do 31. decembra 2024.</w:t>
      </w:r>
    </w:p>
    <w:p w:rsidR="009A64D7" w:rsidRPr="004457C7" w:rsidRDefault="009A64D7" w:rsidP="004457C7">
      <w:pPr>
        <w:spacing w:line="276" w:lineRule="auto"/>
        <w:rPr>
          <w:rFonts w:eastAsia="Times New Roman"/>
        </w:rPr>
      </w:pPr>
    </w:p>
    <w:p w:rsidR="009A64D7" w:rsidRDefault="009A64D7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  <w:r w:rsidRPr="004457C7">
        <w:rPr>
          <w:rFonts w:eastAsia="Times New Roman"/>
          <w:b/>
          <w:bCs/>
        </w:rPr>
        <w:lastRenderedPageBreak/>
        <w:t>K bodu 14</w:t>
      </w:r>
    </w:p>
    <w:p w:rsidR="00713721" w:rsidRPr="004457C7" w:rsidRDefault="00713721" w:rsidP="004457C7">
      <w:pPr>
        <w:keepNext/>
        <w:spacing w:line="276" w:lineRule="auto"/>
        <w:outlineLvl w:val="1"/>
        <w:rPr>
          <w:rFonts w:eastAsia="Times New Roman"/>
          <w:b/>
          <w:bCs/>
        </w:rPr>
      </w:pPr>
    </w:p>
    <w:p w:rsidR="009A64D7" w:rsidRPr="004457C7" w:rsidRDefault="009A64D7" w:rsidP="004457C7">
      <w:pPr>
        <w:spacing w:line="276" w:lineRule="auto"/>
        <w:ind w:firstLine="708"/>
      </w:pPr>
      <w:r w:rsidRPr="004457C7">
        <w:rPr>
          <w:rFonts w:eastAsia="Times New Roman"/>
        </w:rPr>
        <w:t>Do zoznamu právne záväzných aktov Európskej únie, ktoré sú uvedené v prílohe č. 9 zákona č. 355/2007 Z. z. sa dopĺňa s</w:t>
      </w:r>
      <w:r w:rsidRPr="004457C7">
        <w:t xml:space="preserve">mernica Európskeho parlamentu a Rady 2022/431 z 9. marca 2022, ktorou sa mení smernica 2004/37/ES o ochrane pracovníkov pred rizikami súvisiacimi s expozíciou karcinogénom alebo </w:t>
      </w:r>
      <w:proofErr w:type="spellStart"/>
      <w:r w:rsidRPr="004457C7">
        <w:t>mutagénom</w:t>
      </w:r>
      <w:proofErr w:type="spellEnd"/>
      <w:r w:rsidRPr="004457C7">
        <w:t xml:space="preserve"> pri práci (Ú. v. EÚ L 88, 16.3.2022). </w:t>
      </w:r>
    </w:p>
    <w:p w:rsidR="009A64D7" w:rsidRPr="004457C7" w:rsidRDefault="009A64D7" w:rsidP="004457C7">
      <w:pPr>
        <w:spacing w:line="276" w:lineRule="auto"/>
        <w:rPr>
          <w:rFonts w:eastAsia="Times New Roman"/>
          <w:strike/>
        </w:rPr>
      </w:pPr>
    </w:p>
    <w:p w:rsidR="009A64D7" w:rsidRDefault="009A64D7" w:rsidP="004457C7">
      <w:pPr>
        <w:spacing w:line="276" w:lineRule="auto"/>
        <w:rPr>
          <w:rFonts w:eastAsia="Times New Roman"/>
          <w:b/>
        </w:rPr>
      </w:pPr>
      <w:r w:rsidRPr="004457C7">
        <w:rPr>
          <w:rFonts w:eastAsia="Times New Roman"/>
          <w:b/>
        </w:rPr>
        <w:t>K čl. II</w:t>
      </w:r>
    </w:p>
    <w:p w:rsidR="00713721" w:rsidRPr="004457C7" w:rsidRDefault="00713721" w:rsidP="004457C7">
      <w:pPr>
        <w:spacing w:line="276" w:lineRule="auto"/>
        <w:rPr>
          <w:rFonts w:eastAsia="Times New Roman"/>
          <w:b/>
        </w:rPr>
      </w:pPr>
    </w:p>
    <w:p w:rsidR="009A64D7" w:rsidRPr="004457C7" w:rsidRDefault="009A64D7" w:rsidP="004457C7">
      <w:pPr>
        <w:spacing w:line="276" w:lineRule="auto"/>
        <w:ind w:firstLine="708"/>
        <w:rPr>
          <w:rFonts w:eastAsia="Times New Roman"/>
        </w:rPr>
      </w:pPr>
      <w:r w:rsidRPr="004457C7">
        <w:rPr>
          <w:rFonts w:eastAsia="Times New Roman"/>
        </w:rPr>
        <w:t xml:space="preserve">Navrhuje sa účinnosť 5. apríla 2024. </w:t>
      </w:r>
    </w:p>
    <w:p w:rsidR="009A64D7" w:rsidRPr="004457C7" w:rsidRDefault="009A64D7" w:rsidP="004457C7">
      <w:pPr>
        <w:spacing w:line="276" w:lineRule="auto"/>
      </w:pPr>
    </w:p>
    <w:p w:rsidR="009A64D7" w:rsidRDefault="009A64D7" w:rsidP="004457C7">
      <w:pPr>
        <w:spacing w:line="276" w:lineRule="auto"/>
        <w:rPr>
          <w:bCs/>
        </w:rPr>
      </w:pPr>
    </w:p>
    <w:p w:rsidR="009B3A1C" w:rsidRDefault="009B3A1C" w:rsidP="004457C7">
      <w:pPr>
        <w:spacing w:line="276" w:lineRule="auto"/>
        <w:rPr>
          <w:bCs/>
        </w:rPr>
      </w:pPr>
      <w:r>
        <w:rPr>
          <w:bCs/>
        </w:rPr>
        <w:t>V Bratislave dňa 20. decembra 2023.</w:t>
      </w:r>
    </w:p>
    <w:p w:rsidR="009B3A1C" w:rsidRDefault="009B3A1C" w:rsidP="004457C7">
      <w:pPr>
        <w:spacing w:line="276" w:lineRule="auto"/>
        <w:rPr>
          <w:bCs/>
        </w:rPr>
      </w:pPr>
    </w:p>
    <w:p w:rsidR="00713721" w:rsidRDefault="00713721" w:rsidP="004457C7">
      <w:pPr>
        <w:spacing w:line="276" w:lineRule="auto"/>
        <w:rPr>
          <w:bCs/>
        </w:rPr>
      </w:pPr>
    </w:p>
    <w:p w:rsidR="00713721" w:rsidRDefault="00713721" w:rsidP="004457C7">
      <w:pPr>
        <w:spacing w:line="276" w:lineRule="auto"/>
        <w:rPr>
          <w:bCs/>
        </w:rPr>
      </w:pPr>
    </w:p>
    <w:p w:rsidR="00713721" w:rsidRDefault="00713721" w:rsidP="004457C7">
      <w:pPr>
        <w:spacing w:line="276" w:lineRule="auto"/>
        <w:rPr>
          <w:bCs/>
        </w:rPr>
      </w:pPr>
    </w:p>
    <w:p w:rsidR="00713721" w:rsidRDefault="00713721" w:rsidP="004457C7">
      <w:pPr>
        <w:spacing w:line="276" w:lineRule="auto"/>
        <w:rPr>
          <w:bCs/>
        </w:rPr>
      </w:pPr>
    </w:p>
    <w:p w:rsidR="00713721" w:rsidRPr="00713721" w:rsidRDefault="00713721" w:rsidP="00713721">
      <w:pPr>
        <w:spacing w:line="276" w:lineRule="auto"/>
        <w:jc w:val="center"/>
        <w:rPr>
          <w:b/>
          <w:bCs/>
        </w:rPr>
      </w:pPr>
      <w:r w:rsidRPr="00713721">
        <w:rPr>
          <w:b/>
          <w:bCs/>
        </w:rPr>
        <w:t xml:space="preserve">Robert Fico </w:t>
      </w:r>
    </w:p>
    <w:p w:rsidR="00713721" w:rsidRPr="00713721" w:rsidRDefault="00713721" w:rsidP="00713721">
      <w:pPr>
        <w:spacing w:line="276" w:lineRule="auto"/>
        <w:jc w:val="center"/>
        <w:rPr>
          <w:b/>
          <w:bCs/>
        </w:rPr>
      </w:pPr>
      <w:r w:rsidRPr="00713721">
        <w:rPr>
          <w:b/>
          <w:bCs/>
        </w:rPr>
        <w:t xml:space="preserve">predseda vlády </w:t>
      </w:r>
    </w:p>
    <w:p w:rsidR="00713721" w:rsidRDefault="00713721" w:rsidP="00713721">
      <w:pPr>
        <w:spacing w:line="276" w:lineRule="auto"/>
        <w:jc w:val="center"/>
        <w:rPr>
          <w:b/>
          <w:bCs/>
        </w:rPr>
      </w:pPr>
      <w:r w:rsidRPr="00713721">
        <w:rPr>
          <w:b/>
          <w:bCs/>
        </w:rPr>
        <w:t xml:space="preserve">Slovenskej republiky </w:t>
      </w:r>
    </w:p>
    <w:p w:rsidR="00713721" w:rsidRDefault="00713721" w:rsidP="00713721">
      <w:pPr>
        <w:spacing w:line="276" w:lineRule="auto"/>
        <w:jc w:val="center"/>
        <w:rPr>
          <w:b/>
          <w:bCs/>
        </w:rPr>
      </w:pPr>
    </w:p>
    <w:p w:rsidR="00713721" w:rsidRDefault="00713721" w:rsidP="00713721">
      <w:pPr>
        <w:spacing w:line="276" w:lineRule="auto"/>
        <w:jc w:val="center"/>
        <w:rPr>
          <w:b/>
          <w:bCs/>
        </w:rPr>
      </w:pPr>
    </w:p>
    <w:p w:rsidR="00713721" w:rsidRDefault="00713721" w:rsidP="00713721">
      <w:pPr>
        <w:spacing w:line="276" w:lineRule="auto"/>
        <w:jc w:val="center"/>
        <w:rPr>
          <w:b/>
          <w:bCs/>
        </w:rPr>
      </w:pPr>
    </w:p>
    <w:p w:rsidR="00713721" w:rsidRDefault="00713721" w:rsidP="00713721">
      <w:pPr>
        <w:spacing w:line="276" w:lineRule="auto"/>
        <w:jc w:val="center"/>
        <w:rPr>
          <w:b/>
          <w:bCs/>
        </w:rPr>
      </w:pPr>
    </w:p>
    <w:p w:rsidR="00EC5FBE" w:rsidRDefault="00EC5FBE" w:rsidP="00713721">
      <w:pPr>
        <w:spacing w:line="276" w:lineRule="auto"/>
        <w:jc w:val="center"/>
        <w:rPr>
          <w:b/>
          <w:bCs/>
        </w:rPr>
      </w:pPr>
    </w:p>
    <w:p w:rsidR="00713721" w:rsidRDefault="00713721" w:rsidP="001027CE">
      <w:pPr>
        <w:spacing w:line="276" w:lineRule="auto"/>
        <w:jc w:val="center"/>
        <w:rPr>
          <w:b/>
          <w:bCs/>
        </w:rPr>
      </w:pPr>
    </w:p>
    <w:p w:rsidR="00713721" w:rsidRDefault="00713721" w:rsidP="001027CE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Zuzana </w:t>
      </w:r>
      <w:proofErr w:type="spellStart"/>
      <w:r>
        <w:rPr>
          <w:b/>
          <w:bCs/>
        </w:rPr>
        <w:t>Dolinková</w:t>
      </w:r>
      <w:proofErr w:type="spellEnd"/>
    </w:p>
    <w:p w:rsidR="00713721" w:rsidRDefault="00713721" w:rsidP="001027CE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ministerka zdravotníctva </w:t>
      </w:r>
      <w:bookmarkStart w:id="0" w:name="_GoBack"/>
      <w:bookmarkEnd w:id="0"/>
    </w:p>
    <w:p w:rsidR="00713721" w:rsidRPr="00713721" w:rsidRDefault="00713721" w:rsidP="001027CE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Slovenskej republiky </w:t>
      </w:r>
    </w:p>
    <w:sectPr w:rsidR="00713721" w:rsidRPr="00713721" w:rsidSect="001300F1">
      <w:footerReference w:type="default" r:id="rId9"/>
      <w:pgSz w:w="11906" w:h="16838"/>
      <w:pgMar w:top="1418" w:right="1418" w:bottom="1418" w:left="1418" w:header="56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BC" w:rsidRDefault="00577CBC">
      <w:r>
        <w:separator/>
      </w:r>
    </w:p>
  </w:endnote>
  <w:endnote w:type="continuationSeparator" w:id="0">
    <w:p w:rsidR="00577CBC" w:rsidRDefault="0057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8519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300F1" w:rsidRPr="00146C78" w:rsidRDefault="001300F1">
        <w:pPr>
          <w:pStyle w:val="Pta"/>
          <w:jc w:val="right"/>
          <w:rPr>
            <w:sz w:val="20"/>
            <w:szCs w:val="20"/>
          </w:rPr>
        </w:pPr>
        <w:r w:rsidRPr="00146C78">
          <w:rPr>
            <w:sz w:val="20"/>
            <w:szCs w:val="20"/>
          </w:rPr>
          <w:fldChar w:fldCharType="begin"/>
        </w:r>
        <w:r w:rsidRPr="00146C78">
          <w:rPr>
            <w:sz w:val="20"/>
            <w:szCs w:val="20"/>
          </w:rPr>
          <w:instrText>PAGE   \* MERGEFORMAT</w:instrText>
        </w:r>
        <w:r w:rsidRPr="00146C78">
          <w:rPr>
            <w:sz w:val="20"/>
            <w:szCs w:val="20"/>
          </w:rPr>
          <w:fldChar w:fldCharType="separate"/>
        </w:r>
        <w:r w:rsidR="001027CE">
          <w:rPr>
            <w:noProof/>
            <w:sz w:val="20"/>
            <w:szCs w:val="20"/>
          </w:rPr>
          <w:t>10</w:t>
        </w:r>
        <w:r w:rsidRPr="00146C78">
          <w:rPr>
            <w:sz w:val="20"/>
            <w:szCs w:val="20"/>
          </w:rPr>
          <w:fldChar w:fldCharType="end"/>
        </w:r>
      </w:p>
    </w:sdtContent>
  </w:sdt>
  <w:p w:rsidR="00935855" w:rsidRDefault="00935855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BC" w:rsidRDefault="00577CBC">
      <w:r>
        <w:separator/>
      </w:r>
    </w:p>
  </w:footnote>
  <w:footnote w:type="continuationSeparator" w:id="0">
    <w:p w:rsidR="00577CBC" w:rsidRDefault="00577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13AC7"/>
    <w:multiLevelType w:val="hybridMultilevel"/>
    <w:tmpl w:val="2D0ED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7F7C"/>
    <w:multiLevelType w:val="hybridMultilevel"/>
    <w:tmpl w:val="8042D1CC"/>
    <w:lvl w:ilvl="0" w:tplc="24702AB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C842ECB"/>
    <w:multiLevelType w:val="hybridMultilevel"/>
    <w:tmpl w:val="EC7CD1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19BA"/>
    <w:multiLevelType w:val="hybridMultilevel"/>
    <w:tmpl w:val="322416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2765B"/>
    <w:multiLevelType w:val="hybridMultilevel"/>
    <w:tmpl w:val="A378CDBC"/>
    <w:lvl w:ilvl="0" w:tplc="0226CD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96D29"/>
    <w:multiLevelType w:val="hybridMultilevel"/>
    <w:tmpl w:val="A2786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E5D27"/>
    <w:multiLevelType w:val="hybridMultilevel"/>
    <w:tmpl w:val="FCF295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E6DBC"/>
    <w:multiLevelType w:val="hybridMultilevel"/>
    <w:tmpl w:val="517C6E80"/>
    <w:lvl w:ilvl="0" w:tplc="B7E8B6C0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62285A"/>
    <w:multiLevelType w:val="hybridMultilevel"/>
    <w:tmpl w:val="CEAE718C"/>
    <w:lvl w:ilvl="0" w:tplc="17429A58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75A91CFE"/>
    <w:multiLevelType w:val="hybridMultilevel"/>
    <w:tmpl w:val="57B42E3A"/>
    <w:lvl w:ilvl="0" w:tplc="C57CD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5"/>
  </w:num>
  <w:num w:numId="15">
    <w:abstractNumId w:val="10"/>
  </w:num>
  <w:num w:numId="16">
    <w:abstractNumId w:val="4"/>
  </w:num>
  <w:num w:numId="17">
    <w:abstractNumId w:val="6"/>
  </w:num>
  <w:num w:numId="18">
    <w:abstractNumId w:val="1"/>
  </w:num>
  <w:num w:numId="19">
    <w:abstractNumId w:val="9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83"/>
    <w:rsid w:val="000155DA"/>
    <w:rsid w:val="00020A78"/>
    <w:rsid w:val="00047E3C"/>
    <w:rsid w:val="000566A0"/>
    <w:rsid w:val="00067265"/>
    <w:rsid w:val="0007304D"/>
    <w:rsid w:val="00081F60"/>
    <w:rsid w:val="00091334"/>
    <w:rsid w:val="000A6456"/>
    <w:rsid w:val="000B1A35"/>
    <w:rsid w:val="000B29AF"/>
    <w:rsid w:val="000C0EEC"/>
    <w:rsid w:val="000F18B4"/>
    <w:rsid w:val="001027CE"/>
    <w:rsid w:val="0011105E"/>
    <w:rsid w:val="001300F1"/>
    <w:rsid w:val="00136178"/>
    <w:rsid w:val="00137290"/>
    <w:rsid w:val="00146C78"/>
    <w:rsid w:val="00154383"/>
    <w:rsid w:val="0018291D"/>
    <w:rsid w:val="001C164A"/>
    <w:rsid w:val="001C3E36"/>
    <w:rsid w:val="001E484F"/>
    <w:rsid w:val="001E4AB6"/>
    <w:rsid w:val="001F326D"/>
    <w:rsid w:val="0020224F"/>
    <w:rsid w:val="0020272C"/>
    <w:rsid w:val="00204824"/>
    <w:rsid w:val="0025526E"/>
    <w:rsid w:val="002904F5"/>
    <w:rsid w:val="00294E17"/>
    <w:rsid w:val="002C369C"/>
    <w:rsid w:val="002D146B"/>
    <w:rsid w:val="002D4016"/>
    <w:rsid w:val="002D5CA5"/>
    <w:rsid w:val="002F1DD8"/>
    <w:rsid w:val="00323562"/>
    <w:rsid w:val="00333A91"/>
    <w:rsid w:val="003725D1"/>
    <w:rsid w:val="00377663"/>
    <w:rsid w:val="00396430"/>
    <w:rsid w:val="003A5DF3"/>
    <w:rsid w:val="003B214A"/>
    <w:rsid w:val="003B311D"/>
    <w:rsid w:val="003E48E8"/>
    <w:rsid w:val="004133A4"/>
    <w:rsid w:val="0043078F"/>
    <w:rsid w:val="00442BE7"/>
    <w:rsid w:val="004457C7"/>
    <w:rsid w:val="00452C18"/>
    <w:rsid w:val="0046779F"/>
    <w:rsid w:val="00481505"/>
    <w:rsid w:val="004B1A38"/>
    <w:rsid w:val="004D5090"/>
    <w:rsid w:val="004F72FB"/>
    <w:rsid w:val="00517F7E"/>
    <w:rsid w:val="005346ED"/>
    <w:rsid w:val="00535F0D"/>
    <w:rsid w:val="00540906"/>
    <w:rsid w:val="00577CBC"/>
    <w:rsid w:val="00580B85"/>
    <w:rsid w:val="005868B0"/>
    <w:rsid w:val="00592023"/>
    <w:rsid w:val="005B5A1C"/>
    <w:rsid w:val="005C3B6D"/>
    <w:rsid w:val="005D685B"/>
    <w:rsid w:val="005E5F96"/>
    <w:rsid w:val="0060769C"/>
    <w:rsid w:val="00612EE9"/>
    <w:rsid w:val="006210F7"/>
    <w:rsid w:val="00637397"/>
    <w:rsid w:val="00661E6A"/>
    <w:rsid w:val="00666C34"/>
    <w:rsid w:val="006878E9"/>
    <w:rsid w:val="00693FFA"/>
    <w:rsid w:val="0069437C"/>
    <w:rsid w:val="00694B23"/>
    <w:rsid w:val="006A29BA"/>
    <w:rsid w:val="006C5EB9"/>
    <w:rsid w:val="006E4B77"/>
    <w:rsid w:val="00707563"/>
    <w:rsid w:val="00713721"/>
    <w:rsid w:val="00717C14"/>
    <w:rsid w:val="0074387C"/>
    <w:rsid w:val="00746A05"/>
    <w:rsid w:val="007570B7"/>
    <w:rsid w:val="007777D5"/>
    <w:rsid w:val="0077781E"/>
    <w:rsid w:val="00792030"/>
    <w:rsid w:val="007978D3"/>
    <w:rsid w:val="007B36AA"/>
    <w:rsid w:val="00830F94"/>
    <w:rsid w:val="00834AE0"/>
    <w:rsid w:val="00842349"/>
    <w:rsid w:val="008476B1"/>
    <w:rsid w:val="00857475"/>
    <w:rsid w:val="00863FCB"/>
    <w:rsid w:val="00874E0A"/>
    <w:rsid w:val="008879D7"/>
    <w:rsid w:val="0089020B"/>
    <w:rsid w:val="008A39C5"/>
    <w:rsid w:val="008A5710"/>
    <w:rsid w:val="008C4E69"/>
    <w:rsid w:val="00923814"/>
    <w:rsid w:val="00935855"/>
    <w:rsid w:val="00937786"/>
    <w:rsid w:val="00953F80"/>
    <w:rsid w:val="00994531"/>
    <w:rsid w:val="009A64D7"/>
    <w:rsid w:val="009B01CF"/>
    <w:rsid w:val="009B0998"/>
    <w:rsid w:val="009B3A1C"/>
    <w:rsid w:val="009D25AF"/>
    <w:rsid w:val="009E4F15"/>
    <w:rsid w:val="009E53BB"/>
    <w:rsid w:val="009E7960"/>
    <w:rsid w:val="00A209F0"/>
    <w:rsid w:val="00A510E7"/>
    <w:rsid w:val="00A80244"/>
    <w:rsid w:val="00AA7968"/>
    <w:rsid w:val="00AB7D80"/>
    <w:rsid w:val="00AE77C1"/>
    <w:rsid w:val="00B1275F"/>
    <w:rsid w:val="00B37673"/>
    <w:rsid w:val="00B818D2"/>
    <w:rsid w:val="00BA520E"/>
    <w:rsid w:val="00BC29E1"/>
    <w:rsid w:val="00BC6175"/>
    <w:rsid w:val="00BF795F"/>
    <w:rsid w:val="00C31F8D"/>
    <w:rsid w:val="00C36248"/>
    <w:rsid w:val="00C42685"/>
    <w:rsid w:val="00C87EDB"/>
    <w:rsid w:val="00CA7C0E"/>
    <w:rsid w:val="00CB18F6"/>
    <w:rsid w:val="00CB2062"/>
    <w:rsid w:val="00CC3EDD"/>
    <w:rsid w:val="00CC4177"/>
    <w:rsid w:val="00CF1C4B"/>
    <w:rsid w:val="00D00F70"/>
    <w:rsid w:val="00D224E2"/>
    <w:rsid w:val="00D2529A"/>
    <w:rsid w:val="00D276C1"/>
    <w:rsid w:val="00D35FA0"/>
    <w:rsid w:val="00D527D4"/>
    <w:rsid w:val="00D64102"/>
    <w:rsid w:val="00D7537D"/>
    <w:rsid w:val="00D75DB8"/>
    <w:rsid w:val="00D87D14"/>
    <w:rsid w:val="00DC02A8"/>
    <w:rsid w:val="00DC6936"/>
    <w:rsid w:val="00DF007D"/>
    <w:rsid w:val="00E05DD5"/>
    <w:rsid w:val="00E10EC8"/>
    <w:rsid w:val="00E45BAC"/>
    <w:rsid w:val="00E659EB"/>
    <w:rsid w:val="00E9177E"/>
    <w:rsid w:val="00E97A48"/>
    <w:rsid w:val="00EB0EEA"/>
    <w:rsid w:val="00EC5FBE"/>
    <w:rsid w:val="00ED6BA9"/>
    <w:rsid w:val="00EE6B57"/>
    <w:rsid w:val="00F50757"/>
    <w:rsid w:val="00F7172E"/>
    <w:rsid w:val="00F879AD"/>
    <w:rsid w:val="00FD14C9"/>
    <w:rsid w:val="00FD4736"/>
    <w:rsid w:val="00FE549D"/>
    <w:rsid w:val="00F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3F1A0B-3E61-4388-8FA8-A0E9C4F9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4B23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4B2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4B23"/>
    <w:pPr>
      <w:keepNext/>
      <w:outlineLvl w:val="1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694B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94B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94B23"/>
    <w:pPr>
      <w:keepNext/>
      <w:jc w:val="left"/>
      <w:outlineLvl w:val="5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4B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4B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4B23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4B2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4B23"/>
    <w:rPr>
      <w:b/>
      <w:bCs/>
    </w:rPr>
  </w:style>
  <w:style w:type="paragraph" w:styleId="Zkladntext2">
    <w:name w:val="Body Text 2"/>
    <w:basedOn w:val="Normlny"/>
    <w:link w:val="Zkladntext2Char"/>
    <w:uiPriority w:val="99"/>
    <w:rsid w:val="00694B2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94B23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94B23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94B23"/>
    <w:rPr>
      <w:rFonts w:ascii="Times New Roman" w:hAnsi="Times New Roman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694B23"/>
    <w:pPr>
      <w:spacing w:line="360" w:lineRule="auto"/>
      <w:ind w:firstLine="708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94B23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694B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4B23"/>
    <w:rPr>
      <w:rFonts w:ascii="Times New Roman" w:hAnsi="Times New Roman"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694B23"/>
  </w:style>
  <w:style w:type="paragraph" w:styleId="Hlavika">
    <w:name w:val="header"/>
    <w:basedOn w:val="Normlny"/>
    <w:link w:val="HlavikaChar"/>
    <w:uiPriority w:val="99"/>
    <w:rsid w:val="00694B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94B23"/>
    <w:rPr>
      <w:rFonts w:ascii="Times New Roman" w:hAnsi="Times New Roman" w:cs="Times New Roman"/>
      <w:sz w:val="24"/>
      <w:szCs w:val="24"/>
    </w:rPr>
  </w:style>
  <w:style w:type="paragraph" w:customStyle="1" w:styleId="Paragraf">
    <w:name w:val="Paragraf"/>
    <w:basedOn w:val="slovanzoznam"/>
    <w:next w:val="slovanzoznam"/>
    <w:uiPriority w:val="99"/>
    <w:rsid w:val="00694B23"/>
    <w:pPr>
      <w:spacing w:before="360" w:after="360"/>
      <w:ind w:left="0" w:firstLine="0"/>
      <w:jc w:val="center"/>
    </w:pPr>
    <w:rPr>
      <w:b/>
      <w:bCs/>
    </w:rPr>
  </w:style>
  <w:style w:type="paragraph" w:styleId="slovanzoznam">
    <w:name w:val="List Number"/>
    <w:basedOn w:val="Normlny"/>
    <w:uiPriority w:val="99"/>
    <w:rsid w:val="00694B23"/>
    <w:pPr>
      <w:tabs>
        <w:tab w:val="num" w:pos="360"/>
      </w:tabs>
      <w:ind w:left="360" w:hanging="360"/>
    </w:pPr>
  </w:style>
  <w:style w:type="paragraph" w:styleId="Normlnywebov">
    <w:name w:val="Normal (Web)"/>
    <w:basedOn w:val="Normlny"/>
    <w:uiPriority w:val="99"/>
    <w:unhideWhenUsed/>
    <w:rsid w:val="00B818D2"/>
    <w:pPr>
      <w:autoSpaceDE/>
      <w:autoSpaceDN/>
      <w:spacing w:before="100" w:beforeAutospacing="1" w:after="100" w:afterAutospacing="1"/>
      <w:jc w:val="left"/>
    </w:pPr>
    <w:rPr>
      <w:rFonts w:eastAsia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14C9"/>
    <w:pPr>
      <w:autoSpaceDE/>
      <w:autoSpaceDN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14C9"/>
    <w:rPr>
      <w:rFonts w:eastAsiaTheme="minorHAnsi"/>
      <w:sz w:val="20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0B29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29A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0B29AF"/>
    <w:pPr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0B29AF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39"/>
    <w:rsid w:val="000B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awtext3">
    <w:name w:val="awspan awtext3"/>
    <w:basedOn w:val="Predvolenpsmoodseku"/>
    <w:rsid w:val="00DC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l@uvzs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CE5F7-3058-4AA8-A9BD-4C85ED03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4044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Kategorizácia prác – DS</vt:lpstr>
    </vt:vector>
  </TitlesOfParts>
  <Company>MZ SR</Company>
  <LinksUpToDate>false</LinksUpToDate>
  <CharactersWithSpaces>27047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Kategorizácia prác – DS</dc:title>
  <dc:subject/>
  <dc:creator>Ľudmila Ondrejková</dc:creator>
  <cp:keywords/>
  <dc:description/>
  <cp:lastModifiedBy>Ďurejová Barbora</cp:lastModifiedBy>
  <cp:revision>11</cp:revision>
  <cp:lastPrinted>2023-06-21T06:51:00Z</cp:lastPrinted>
  <dcterms:created xsi:type="dcterms:W3CDTF">2023-12-19T06:11:00Z</dcterms:created>
  <dcterms:modified xsi:type="dcterms:W3CDTF">2023-12-19T06:22:00Z</dcterms:modified>
</cp:coreProperties>
</file>