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F75E" w14:textId="77777777" w:rsidR="00C747AF" w:rsidRPr="00BC346F" w:rsidRDefault="00C747AF" w:rsidP="00C747AF">
      <w:pPr>
        <w:spacing w:after="0" w:line="240" w:lineRule="auto"/>
        <w:jc w:val="center"/>
        <w:rPr>
          <w:rFonts w:ascii="Times New Roman" w:hAnsi="Times New Roman" w:cs="Times New Roman"/>
          <w:b/>
          <w:spacing w:val="12"/>
          <w:sz w:val="24"/>
          <w:szCs w:val="24"/>
        </w:rPr>
      </w:pPr>
      <w:r w:rsidRPr="00BC346F">
        <w:rPr>
          <w:rFonts w:ascii="Times New Roman" w:hAnsi="Times New Roman" w:cs="Times New Roman"/>
          <w:b/>
          <w:spacing w:val="12"/>
          <w:sz w:val="24"/>
          <w:szCs w:val="24"/>
        </w:rPr>
        <w:t>DÔVODOVÁ SPRÁVA</w:t>
      </w:r>
    </w:p>
    <w:p w14:paraId="33E6C750" w14:textId="77777777" w:rsidR="00C747AF" w:rsidRDefault="00C747AF" w:rsidP="00C747AF">
      <w:pPr>
        <w:spacing w:after="0" w:line="240" w:lineRule="auto"/>
        <w:jc w:val="both"/>
        <w:rPr>
          <w:rFonts w:ascii="Times New Roman" w:hAnsi="Times New Roman" w:cs="Times New Roman"/>
          <w:b/>
          <w:sz w:val="24"/>
          <w:szCs w:val="24"/>
        </w:rPr>
      </w:pPr>
    </w:p>
    <w:p w14:paraId="37790CC6" w14:textId="77777777" w:rsidR="00C747AF" w:rsidRPr="00046A9A" w:rsidRDefault="00C747AF" w:rsidP="00C747AF">
      <w:pPr>
        <w:pStyle w:val="Odsekzoznamu"/>
        <w:numPr>
          <w:ilvl w:val="0"/>
          <w:numId w:val="1"/>
        </w:numPr>
        <w:spacing w:after="240" w:line="240" w:lineRule="auto"/>
        <w:jc w:val="both"/>
        <w:rPr>
          <w:rFonts w:ascii="Times New Roman" w:hAnsi="Times New Roman" w:cs="Times New Roman"/>
          <w:b/>
          <w:sz w:val="24"/>
          <w:szCs w:val="24"/>
        </w:rPr>
      </w:pPr>
      <w:r w:rsidRPr="00046A9A">
        <w:rPr>
          <w:rFonts w:ascii="Times New Roman" w:hAnsi="Times New Roman" w:cs="Times New Roman"/>
          <w:b/>
          <w:sz w:val="24"/>
          <w:szCs w:val="24"/>
        </w:rPr>
        <w:t>Všeobecná časť</w:t>
      </w:r>
    </w:p>
    <w:p w14:paraId="39EBD10F" w14:textId="02D96C7D" w:rsidR="00C747AF" w:rsidRDefault="00C747AF" w:rsidP="00C747AF">
      <w:pPr>
        <w:spacing w:after="120" w:line="240" w:lineRule="auto"/>
        <w:ind w:firstLine="708"/>
        <w:jc w:val="both"/>
        <w:rPr>
          <w:rFonts w:ascii="Times New Roman" w:hAnsi="Times New Roman" w:cs="Times New Roman"/>
          <w:sz w:val="24"/>
          <w:szCs w:val="24"/>
        </w:rPr>
      </w:pPr>
      <w:r w:rsidRPr="00367A86">
        <w:rPr>
          <w:rFonts w:ascii="Times New Roman" w:hAnsi="Times New Roman" w:cs="Times New Roman"/>
          <w:sz w:val="24"/>
          <w:szCs w:val="24"/>
        </w:rPr>
        <w:t xml:space="preserve">Návrh zákona, ktorým sa mení a dopĺňa zákon č. 187/2021 Z. z. o ochrane hospodárskej súťaže a o zmene a doplnení niektorých zákonov </w:t>
      </w:r>
      <w:r w:rsidRPr="00931BB1">
        <w:rPr>
          <w:rFonts w:ascii="Times New Roman" w:hAnsi="Times New Roman" w:cs="Times New Roman"/>
          <w:sz w:val="24"/>
          <w:szCs w:val="24"/>
        </w:rPr>
        <w:t xml:space="preserve">v znení zákona č. 309/2023 Z. z. </w:t>
      </w:r>
      <w:r w:rsidRPr="00367A86">
        <w:rPr>
          <w:rFonts w:ascii="Times New Roman" w:hAnsi="Times New Roman" w:cs="Times New Roman"/>
          <w:sz w:val="24"/>
          <w:szCs w:val="24"/>
        </w:rPr>
        <w:t>(ďalej ako „návrh zákona“)</w:t>
      </w:r>
      <w:r w:rsidR="00513301">
        <w:rPr>
          <w:rFonts w:ascii="Times New Roman" w:hAnsi="Times New Roman" w:cs="Times New Roman"/>
          <w:sz w:val="24"/>
          <w:szCs w:val="24"/>
        </w:rPr>
        <w:t>,</w:t>
      </w:r>
      <w:r w:rsidR="001D54F9">
        <w:rPr>
          <w:rFonts w:ascii="Times New Roman" w:hAnsi="Times New Roman" w:cs="Times New Roman"/>
          <w:sz w:val="24"/>
          <w:szCs w:val="24"/>
        </w:rPr>
        <w:t xml:space="preserve"> sa</w:t>
      </w:r>
      <w:r w:rsidRPr="00367A86">
        <w:rPr>
          <w:rFonts w:ascii="Times New Roman" w:hAnsi="Times New Roman" w:cs="Times New Roman"/>
          <w:sz w:val="24"/>
          <w:szCs w:val="24"/>
        </w:rPr>
        <w:t xml:space="preserve"> predkladá podľa bodu B.</w:t>
      </w:r>
      <w:r>
        <w:rPr>
          <w:rFonts w:ascii="Times New Roman" w:hAnsi="Times New Roman" w:cs="Times New Roman"/>
          <w:sz w:val="24"/>
          <w:szCs w:val="24"/>
        </w:rPr>
        <w:t>1</w:t>
      </w:r>
      <w:r w:rsidR="00E717E2">
        <w:rPr>
          <w:rFonts w:ascii="Times New Roman" w:hAnsi="Times New Roman" w:cs="Times New Roman"/>
          <w:sz w:val="24"/>
          <w:szCs w:val="24"/>
        </w:rPr>
        <w:t>.</w:t>
      </w:r>
      <w:r w:rsidRPr="00367A86">
        <w:rPr>
          <w:rFonts w:ascii="Times New Roman" w:hAnsi="Times New Roman" w:cs="Times New Roman"/>
          <w:sz w:val="24"/>
          <w:szCs w:val="24"/>
        </w:rPr>
        <w:t xml:space="preserve"> uzneseni</w:t>
      </w:r>
      <w:r w:rsidR="00513301">
        <w:rPr>
          <w:rFonts w:ascii="Times New Roman" w:hAnsi="Times New Roman" w:cs="Times New Roman"/>
          <w:sz w:val="24"/>
          <w:szCs w:val="24"/>
        </w:rPr>
        <w:t>a vlády Slovenskej republiky č. </w:t>
      </w:r>
      <w:r w:rsidRPr="00367A86">
        <w:rPr>
          <w:rFonts w:ascii="Times New Roman" w:hAnsi="Times New Roman" w:cs="Times New Roman"/>
          <w:sz w:val="24"/>
          <w:szCs w:val="24"/>
        </w:rPr>
        <w:t xml:space="preserve">15/2023, ktorým bol </w:t>
      </w:r>
      <w:r w:rsidR="00887E6F">
        <w:rPr>
          <w:rFonts w:ascii="Times New Roman" w:hAnsi="Times New Roman" w:cs="Times New Roman"/>
          <w:sz w:val="24"/>
          <w:szCs w:val="24"/>
        </w:rPr>
        <w:t>Protimonopolný úrad</w:t>
      </w:r>
      <w:r w:rsidR="001D54F9" w:rsidRPr="00367A86">
        <w:rPr>
          <w:rFonts w:ascii="Times New Roman" w:hAnsi="Times New Roman" w:cs="Times New Roman"/>
          <w:sz w:val="24"/>
          <w:szCs w:val="24"/>
        </w:rPr>
        <w:t xml:space="preserve"> Slovenskej republiky (ďalej </w:t>
      </w:r>
      <w:r w:rsidR="001D54F9">
        <w:rPr>
          <w:rFonts w:ascii="Times New Roman" w:hAnsi="Times New Roman" w:cs="Times New Roman"/>
          <w:sz w:val="24"/>
          <w:szCs w:val="24"/>
        </w:rPr>
        <w:t>len „úrad“)</w:t>
      </w:r>
      <w:r>
        <w:rPr>
          <w:rFonts w:ascii="Times New Roman" w:hAnsi="Times New Roman" w:cs="Times New Roman"/>
          <w:sz w:val="24"/>
          <w:szCs w:val="24"/>
        </w:rPr>
        <w:t xml:space="preserve"> </w:t>
      </w:r>
      <w:r w:rsidRPr="00367A86">
        <w:rPr>
          <w:rFonts w:ascii="Times New Roman" w:hAnsi="Times New Roman" w:cs="Times New Roman"/>
          <w:sz w:val="24"/>
          <w:szCs w:val="24"/>
        </w:rPr>
        <w:t>určený ako gestor k</w:t>
      </w:r>
      <w:r>
        <w:rPr>
          <w:rFonts w:ascii="Times New Roman" w:hAnsi="Times New Roman" w:cs="Times New Roman"/>
          <w:sz w:val="24"/>
          <w:szCs w:val="24"/>
        </w:rPr>
        <w:t> </w:t>
      </w:r>
      <w:r w:rsidRPr="00367A86">
        <w:rPr>
          <w:rFonts w:ascii="Times New Roman" w:hAnsi="Times New Roman" w:cs="Times New Roman"/>
          <w:sz w:val="24"/>
          <w:szCs w:val="24"/>
        </w:rPr>
        <w:t>nariadeniu Európskeho parlamentu a Rady (EÚ) 2022/1925 zo 14. septembra 2022 o</w:t>
      </w:r>
      <w:r>
        <w:rPr>
          <w:rFonts w:ascii="Times New Roman" w:hAnsi="Times New Roman" w:cs="Times New Roman"/>
          <w:sz w:val="24"/>
          <w:szCs w:val="24"/>
        </w:rPr>
        <w:t> </w:t>
      </w:r>
      <w:proofErr w:type="spellStart"/>
      <w:r w:rsidRPr="00367A86">
        <w:rPr>
          <w:rFonts w:ascii="Times New Roman" w:hAnsi="Times New Roman" w:cs="Times New Roman"/>
          <w:sz w:val="24"/>
          <w:szCs w:val="24"/>
        </w:rPr>
        <w:t>súťažeschopných</w:t>
      </w:r>
      <w:proofErr w:type="spellEnd"/>
      <w:r w:rsidRPr="00367A86">
        <w:rPr>
          <w:rFonts w:ascii="Times New Roman" w:hAnsi="Times New Roman" w:cs="Times New Roman"/>
          <w:sz w:val="24"/>
          <w:szCs w:val="24"/>
        </w:rPr>
        <w:t xml:space="preserve"> a spravodlivých trhoch digitálneho sektora a o zmene smerníc (EÚ) 2019/1937</w:t>
      </w:r>
      <w:r>
        <w:rPr>
          <w:rFonts w:ascii="Times New Roman" w:hAnsi="Times New Roman" w:cs="Times New Roman"/>
          <w:sz w:val="24"/>
          <w:szCs w:val="24"/>
        </w:rPr>
        <w:t xml:space="preserve"> </w:t>
      </w:r>
      <w:r w:rsidRPr="00367A86">
        <w:rPr>
          <w:rFonts w:ascii="Times New Roman" w:hAnsi="Times New Roman" w:cs="Times New Roman"/>
          <w:sz w:val="24"/>
          <w:szCs w:val="24"/>
        </w:rPr>
        <w:t xml:space="preserve">a (EÚ) 2020/1828 (akt o digitálnych trhoch) (Ú. v. EÚ L 265, 12.10.2022) (ďalej </w:t>
      </w:r>
      <w:r>
        <w:rPr>
          <w:rFonts w:ascii="Times New Roman" w:hAnsi="Times New Roman" w:cs="Times New Roman"/>
          <w:sz w:val="24"/>
          <w:szCs w:val="24"/>
        </w:rPr>
        <w:t>len</w:t>
      </w:r>
      <w:r w:rsidRPr="00367A86">
        <w:rPr>
          <w:rFonts w:ascii="Times New Roman" w:hAnsi="Times New Roman" w:cs="Times New Roman"/>
          <w:sz w:val="24"/>
          <w:szCs w:val="24"/>
        </w:rPr>
        <w:t xml:space="preserve"> „nariadenie DMA“)</w:t>
      </w:r>
      <w:r w:rsidRPr="0044564B">
        <w:rPr>
          <w:rFonts w:ascii="Times New Roman" w:hAnsi="Times New Roman" w:cs="Times New Roman"/>
          <w:sz w:val="24"/>
          <w:szCs w:val="24"/>
        </w:rPr>
        <w:t xml:space="preserve"> </w:t>
      </w:r>
      <w:r>
        <w:rPr>
          <w:rFonts w:ascii="Times New Roman" w:hAnsi="Times New Roman" w:cs="Times New Roman"/>
          <w:sz w:val="24"/>
          <w:szCs w:val="24"/>
        </w:rPr>
        <w:t>a bodu B.1</w:t>
      </w:r>
      <w:r w:rsidR="00E717E2">
        <w:rPr>
          <w:rFonts w:ascii="Times New Roman" w:hAnsi="Times New Roman" w:cs="Times New Roman"/>
          <w:sz w:val="24"/>
          <w:szCs w:val="24"/>
        </w:rPr>
        <w:t>.</w:t>
      </w:r>
      <w:r>
        <w:rPr>
          <w:rFonts w:ascii="Times New Roman" w:hAnsi="Times New Roman" w:cs="Times New Roman"/>
          <w:sz w:val="24"/>
          <w:szCs w:val="24"/>
        </w:rPr>
        <w:t xml:space="preserve"> uznesenia vlády Slovenskej republiky č. 405/2023</w:t>
      </w:r>
      <w:r w:rsidRPr="001944D5">
        <w:rPr>
          <w:rFonts w:ascii="Times New Roman" w:hAnsi="Times New Roman" w:cs="Times New Roman"/>
          <w:sz w:val="24"/>
          <w:szCs w:val="24"/>
        </w:rPr>
        <w:t>, ktorým bol zároveň určený ako gestor</w:t>
      </w:r>
      <w:r>
        <w:rPr>
          <w:rFonts w:ascii="Times New Roman" w:hAnsi="Times New Roman" w:cs="Times New Roman"/>
          <w:sz w:val="24"/>
          <w:szCs w:val="24"/>
        </w:rPr>
        <w:t xml:space="preserve"> k nariadeniu </w:t>
      </w:r>
      <w:r w:rsidRPr="00DD6588">
        <w:rPr>
          <w:rFonts w:ascii="Times New Roman" w:hAnsi="Times New Roman" w:cs="Times New Roman"/>
          <w:sz w:val="24"/>
          <w:szCs w:val="24"/>
        </w:rPr>
        <w:t>Európskeho parl</w:t>
      </w:r>
      <w:r>
        <w:rPr>
          <w:rFonts w:ascii="Times New Roman" w:hAnsi="Times New Roman" w:cs="Times New Roman"/>
          <w:sz w:val="24"/>
          <w:szCs w:val="24"/>
        </w:rPr>
        <w:t>amentu a Rady (EÚ) 2022/2560 zo </w:t>
      </w:r>
      <w:r w:rsidRPr="00DD6588">
        <w:rPr>
          <w:rFonts w:ascii="Times New Roman" w:hAnsi="Times New Roman" w:cs="Times New Roman"/>
          <w:sz w:val="24"/>
          <w:szCs w:val="24"/>
        </w:rPr>
        <w:t>14. decembra 2022 o zahraničných subvenciách narúšajúcich vnútorný trh (Ú. v. EÚ L 330, 23.12.2022) (ďalej len „nariadenie o zahraničných subvenciách“)</w:t>
      </w:r>
      <w:r w:rsidRPr="00367A86">
        <w:rPr>
          <w:rFonts w:ascii="Times New Roman" w:hAnsi="Times New Roman" w:cs="Times New Roman"/>
          <w:sz w:val="24"/>
          <w:szCs w:val="24"/>
        </w:rPr>
        <w:t>.</w:t>
      </w:r>
    </w:p>
    <w:p w14:paraId="26C01114" w14:textId="77777777" w:rsidR="00C747AF" w:rsidRDefault="00C747AF" w:rsidP="00C747AF">
      <w:pPr>
        <w:spacing w:after="120" w:line="240" w:lineRule="auto"/>
        <w:jc w:val="both"/>
        <w:rPr>
          <w:rFonts w:ascii="Times New Roman" w:hAnsi="Times New Roman" w:cs="Times New Roman"/>
          <w:sz w:val="24"/>
          <w:szCs w:val="24"/>
        </w:rPr>
      </w:pPr>
      <w:r w:rsidRPr="00367A86">
        <w:rPr>
          <w:rFonts w:ascii="Times New Roman" w:hAnsi="Times New Roman" w:cs="Times New Roman"/>
          <w:sz w:val="24"/>
          <w:szCs w:val="24"/>
        </w:rPr>
        <w:tab/>
        <w:t>Cieľom nariadenia</w:t>
      </w:r>
      <w:r>
        <w:rPr>
          <w:rFonts w:ascii="Times New Roman" w:hAnsi="Times New Roman" w:cs="Times New Roman"/>
          <w:sz w:val="24"/>
          <w:szCs w:val="24"/>
        </w:rPr>
        <w:t xml:space="preserve"> </w:t>
      </w:r>
      <w:r w:rsidRPr="00367A86">
        <w:rPr>
          <w:rFonts w:ascii="Times New Roman" w:hAnsi="Times New Roman" w:cs="Times New Roman"/>
          <w:sz w:val="24"/>
          <w:szCs w:val="24"/>
        </w:rPr>
        <w:t>DMA je doplniť presadzovanie práva hospodárskej súťaže na</w:t>
      </w:r>
      <w:r>
        <w:rPr>
          <w:rFonts w:ascii="Times New Roman" w:hAnsi="Times New Roman" w:cs="Times New Roman"/>
          <w:sz w:val="24"/>
          <w:szCs w:val="24"/>
        </w:rPr>
        <w:t> </w:t>
      </w:r>
      <w:r w:rsidRPr="00367A86">
        <w:rPr>
          <w:rFonts w:ascii="Times New Roman" w:hAnsi="Times New Roman" w:cs="Times New Roman"/>
          <w:sz w:val="24"/>
          <w:szCs w:val="24"/>
        </w:rPr>
        <w:t xml:space="preserve">digitálnych trhoch, zároveň by sa </w:t>
      </w:r>
      <w:r>
        <w:rPr>
          <w:rFonts w:ascii="Times New Roman" w:hAnsi="Times New Roman" w:cs="Times New Roman"/>
          <w:sz w:val="24"/>
          <w:szCs w:val="24"/>
        </w:rPr>
        <w:t xml:space="preserve">nariadenie DMA </w:t>
      </w:r>
      <w:r w:rsidRPr="00367A86">
        <w:rPr>
          <w:rFonts w:ascii="Times New Roman" w:hAnsi="Times New Roman" w:cs="Times New Roman"/>
          <w:sz w:val="24"/>
          <w:szCs w:val="24"/>
        </w:rPr>
        <w:t>malo bez toho, aby boli dotknuté články 101 a 102 Zmluvy o fungovaní Európskej únie</w:t>
      </w:r>
      <w:r>
        <w:rPr>
          <w:rFonts w:ascii="Times New Roman" w:hAnsi="Times New Roman" w:cs="Times New Roman"/>
          <w:sz w:val="24"/>
          <w:szCs w:val="24"/>
        </w:rPr>
        <w:t>,</w:t>
      </w:r>
      <w:r w:rsidRPr="00367A86">
        <w:rPr>
          <w:rFonts w:ascii="Times New Roman" w:hAnsi="Times New Roman" w:cs="Times New Roman"/>
          <w:sz w:val="24"/>
          <w:szCs w:val="24"/>
        </w:rPr>
        <w:t xml:space="preserve"> uplatňovať na zodpovedajúce vnútroštátne pravidlá hospodárskej súťaže a iné vnútroštátne pravidlá hospodárskej súťaže týkajúce sa jednostranného správania</w:t>
      </w:r>
      <w:r>
        <w:rPr>
          <w:rFonts w:ascii="Times New Roman" w:hAnsi="Times New Roman" w:cs="Times New Roman"/>
          <w:sz w:val="24"/>
          <w:szCs w:val="24"/>
        </w:rPr>
        <w:t xml:space="preserve"> podnikateľov/podnikov</w:t>
      </w:r>
      <w:r w:rsidRPr="00367A86">
        <w:rPr>
          <w:rFonts w:ascii="Times New Roman" w:hAnsi="Times New Roman" w:cs="Times New Roman"/>
          <w:sz w:val="24"/>
          <w:szCs w:val="24"/>
        </w:rPr>
        <w:t xml:space="preserve">, ktoré sú založené na individuálnom posudzovaní postavenia a správania na trhu, vrátane jeho skutočných alebo možných účinkov a presného rozsahu zakázaného správania, a ktoré podnikom umožňujú argumentovať efektívnosťou a objektívnym odôvodnením predmetného správania, ako aj na vnútroštátne pravidlá týkajúce sa kontroly fúzií. Uplatňovanie uvedených pravidiel by však nemalo mať vplyv na povinnosti uložené strážcom prístupu podľa nariadenia </w:t>
      </w:r>
      <w:r>
        <w:rPr>
          <w:rFonts w:ascii="Times New Roman" w:hAnsi="Times New Roman" w:cs="Times New Roman"/>
          <w:sz w:val="24"/>
          <w:szCs w:val="24"/>
        </w:rPr>
        <w:t xml:space="preserve">DMA </w:t>
      </w:r>
      <w:r w:rsidRPr="00367A86">
        <w:rPr>
          <w:rFonts w:ascii="Times New Roman" w:hAnsi="Times New Roman" w:cs="Times New Roman"/>
          <w:sz w:val="24"/>
          <w:szCs w:val="24"/>
        </w:rPr>
        <w:t>a na ich jednotné a účinné uplatňovanie na vnútornom trhu.</w:t>
      </w:r>
    </w:p>
    <w:p w14:paraId="315C03EF" w14:textId="77777777" w:rsidR="00C747AF" w:rsidRDefault="00C747AF" w:rsidP="00C747AF">
      <w:pPr>
        <w:spacing w:after="120" w:line="240" w:lineRule="auto"/>
        <w:jc w:val="both"/>
        <w:rPr>
          <w:rFonts w:ascii="Times New Roman" w:hAnsi="Times New Roman" w:cs="Times New Roman"/>
          <w:sz w:val="24"/>
          <w:szCs w:val="24"/>
        </w:rPr>
      </w:pPr>
      <w:r w:rsidRPr="00367A86">
        <w:rPr>
          <w:rFonts w:ascii="Times New Roman" w:hAnsi="Times New Roman" w:cs="Times New Roman"/>
          <w:sz w:val="24"/>
          <w:szCs w:val="24"/>
        </w:rPr>
        <w:tab/>
        <w:t xml:space="preserve">Nariadenie </w:t>
      </w:r>
      <w:r>
        <w:rPr>
          <w:rFonts w:ascii="Times New Roman" w:hAnsi="Times New Roman" w:cs="Times New Roman"/>
          <w:sz w:val="24"/>
          <w:szCs w:val="24"/>
        </w:rPr>
        <w:t>DMA</w:t>
      </w:r>
      <w:r w:rsidRPr="00367A86">
        <w:rPr>
          <w:rFonts w:ascii="Times New Roman" w:hAnsi="Times New Roman" w:cs="Times New Roman"/>
          <w:sz w:val="24"/>
          <w:szCs w:val="24"/>
        </w:rPr>
        <w:t xml:space="preserve"> </w:t>
      </w:r>
      <w:r>
        <w:rPr>
          <w:rFonts w:ascii="Times New Roman" w:hAnsi="Times New Roman" w:cs="Times New Roman"/>
          <w:sz w:val="24"/>
          <w:szCs w:val="24"/>
        </w:rPr>
        <w:t>u</w:t>
      </w:r>
      <w:r w:rsidRPr="00367A86">
        <w:rPr>
          <w:rFonts w:ascii="Times New Roman" w:hAnsi="Times New Roman" w:cs="Times New Roman"/>
          <w:sz w:val="24"/>
          <w:szCs w:val="24"/>
        </w:rPr>
        <w:t xml:space="preserve">stanovuje podmienky, </w:t>
      </w:r>
      <w:r>
        <w:rPr>
          <w:rFonts w:ascii="Times New Roman" w:hAnsi="Times New Roman" w:cs="Times New Roman"/>
          <w:sz w:val="24"/>
          <w:szCs w:val="24"/>
        </w:rPr>
        <w:t xml:space="preserve">na základe </w:t>
      </w:r>
      <w:r w:rsidRPr="00367A86">
        <w:rPr>
          <w:rFonts w:ascii="Times New Roman" w:hAnsi="Times New Roman" w:cs="Times New Roman"/>
          <w:sz w:val="24"/>
          <w:szCs w:val="24"/>
        </w:rPr>
        <w:t xml:space="preserve">ktorých budú </w:t>
      </w:r>
      <w:r>
        <w:rPr>
          <w:rFonts w:ascii="Times New Roman" w:hAnsi="Times New Roman" w:cs="Times New Roman"/>
          <w:sz w:val="24"/>
          <w:szCs w:val="24"/>
        </w:rPr>
        <w:t xml:space="preserve">určití prevádzkovatelia </w:t>
      </w:r>
      <w:r w:rsidRPr="00367A86">
        <w:rPr>
          <w:rFonts w:ascii="Times New Roman" w:hAnsi="Times New Roman" w:cs="Times New Roman"/>
          <w:sz w:val="24"/>
          <w:szCs w:val="24"/>
        </w:rPr>
        <w:t>online platfor</w:t>
      </w:r>
      <w:r>
        <w:rPr>
          <w:rFonts w:ascii="Times New Roman" w:hAnsi="Times New Roman" w:cs="Times New Roman"/>
          <w:sz w:val="24"/>
          <w:szCs w:val="24"/>
        </w:rPr>
        <w:t>iem</w:t>
      </w:r>
      <w:r w:rsidRPr="00367A86">
        <w:rPr>
          <w:rFonts w:ascii="Times New Roman" w:hAnsi="Times New Roman" w:cs="Times New Roman"/>
          <w:sz w:val="24"/>
          <w:szCs w:val="24"/>
        </w:rPr>
        <w:t xml:space="preserve"> kvalifikovaní ako strážcovia prístupu. V prípade strážcov prístupu ide </w:t>
      </w:r>
      <w:r>
        <w:rPr>
          <w:rFonts w:ascii="Times New Roman" w:hAnsi="Times New Roman" w:cs="Times New Roman"/>
          <w:sz w:val="24"/>
          <w:szCs w:val="24"/>
        </w:rPr>
        <w:t xml:space="preserve">o prevádzkovateľov významných </w:t>
      </w:r>
      <w:r w:rsidRPr="00367A86">
        <w:rPr>
          <w:rFonts w:ascii="Times New Roman" w:hAnsi="Times New Roman" w:cs="Times New Roman"/>
          <w:sz w:val="24"/>
          <w:szCs w:val="24"/>
        </w:rPr>
        <w:t>digitáln</w:t>
      </w:r>
      <w:r>
        <w:rPr>
          <w:rFonts w:ascii="Times New Roman" w:hAnsi="Times New Roman" w:cs="Times New Roman"/>
          <w:sz w:val="24"/>
          <w:szCs w:val="24"/>
        </w:rPr>
        <w:t>ych</w:t>
      </w:r>
      <w:r w:rsidRPr="00367A86">
        <w:rPr>
          <w:rFonts w:ascii="Times New Roman" w:hAnsi="Times New Roman" w:cs="Times New Roman"/>
          <w:sz w:val="24"/>
          <w:szCs w:val="24"/>
        </w:rPr>
        <w:t xml:space="preserve"> platfor</w:t>
      </w:r>
      <w:r>
        <w:rPr>
          <w:rFonts w:ascii="Times New Roman" w:hAnsi="Times New Roman" w:cs="Times New Roman"/>
          <w:sz w:val="24"/>
          <w:szCs w:val="24"/>
        </w:rPr>
        <w:t>iem</w:t>
      </w:r>
      <w:r w:rsidRPr="00367A86">
        <w:rPr>
          <w:rFonts w:ascii="Times New Roman" w:hAnsi="Times New Roman" w:cs="Times New Roman"/>
          <w:sz w:val="24"/>
          <w:szCs w:val="24"/>
        </w:rPr>
        <w:t xml:space="preserve">, ktoré </w:t>
      </w:r>
      <w:r>
        <w:rPr>
          <w:rFonts w:ascii="Times New Roman" w:hAnsi="Times New Roman" w:cs="Times New Roman"/>
          <w:sz w:val="24"/>
          <w:szCs w:val="24"/>
        </w:rPr>
        <w:t xml:space="preserve">predstavujú </w:t>
      </w:r>
      <w:r w:rsidRPr="00367A86">
        <w:rPr>
          <w:rFonts w:ascii="Times New Roman" w:hAnsi="Times New Roman" w:cs="Times New Roman"/>
          <w:sz w:val="24"/>
          <w:szCs w:val="24"/>
        </w:rPr>
        <w:t>dôležitú bránu medzi komerčnými používateľmi a spotrebiteľmi, ktorých postavenie im môže poskytnúť právomoc konať ako súkromný tvorca pravidiel, čím sa vytvára úzke miesto v</w:t>
      </w:r>
      <w:r>
        <w:rPr>
          <w:rFonts w:ascii="Times New Roman" w:hAnsi="Times New Roman" w:cs="Times New Roman"/>
          <w:sz w:val="24"/>
          <w:szCs w:val="24"/>
        </w:rPr>
        <w:t> </w:t>
      </w:r>
      <w:r w:rsidRPr="00367A86">
        <w:rPr>
          <w:rFonts w:ascii="Times New Roman" w:hAnsi="Times New Roman" w:cs="Times New Roman"/>
          <w:sz w:val="24"/>
          <w:szCs w:val="24"/>
        </w:rPr>
        <w:t xml:space="preserve">digitálnom hospodárstve. S cieľom riešiť tieto otázky nariadenie </w:t>
      </w:r>
      <w:r>
        <w:rPr>
          <w:rFonts w:ascii="Times New Roman" w:hAnsi="Times New Roman" w:cs="Times New Roman"/>
          <w:sz w:val="24"/>
          <w:szCs w:val="24"/>
        </w:rPr>
        <w:t>DMA</w:t>
      </w:r>
      <w:r w:rsidRPr="00367A86">
        <w:rPr>
          <w:rFonts w:ascii="Times New Roman" w:hAnsi="Times New Roman" w:cs="Times New Roman"/>
          <w:sz w:val="24"/>
          <w:szCs w:val="24"/>
        </w:rPr>
        <w:t xml:space="preserve"> </w:t>
      </w:r>
      <w:r>
        <w:rPr>
          <w:rFonts w:ascii="Times New Roman" w:hAnsi="Times New Roman" w:cs="Times New Roman"/>
          <w:sz w:val="24"/>
          <w:szCs w:val="24"/>
        </w:rPr>
        <w:t>u</w:t>
      </w:r>
      <w:r w:rsidRPr="00367A86">
        <w:rPr>
          <w:rFonts w:ascii="Times New Roman" w:hAnsi="Times New Roman" w:cs="Times New Roman"/>
          <w:sz w:val="24"/>
          <w:szCs w:val="24"/>
        </w:rPr>
        <w:t xml:space="preserve">stanovuje súbor povinností, ktoré </w:t>
      </w:r>
      <w:r>
        <w:rPr>
          <w:rFonts w:ascii="Times New Roman" w:hAnsi="Times New Roman" w:cs="Times New Roman"/>
          <w:sz w:val="24"/>
          <w:szCs w:val="24"/>
        </w:rPr>
        <w:t>musia</w:t>
      </w:r>
      <w:r w:rsidRPr="00367A86">
        <w:rPr>
          <w:rFonts w:ascii="Times New Roman" w:hAnsi="Times New Roman" w:cs="Times New Roman"/>
          <w:sz w:val="24"/>
          <w:szCs w:val="24"/>
        </w:rPr>
        <w:t xml:space="preserve"> strážcovia prístupu dodržiavať, vrátane zákazu správať sa určitým spôsobom.</w:t>
      </w:r>
    </w:p>
    <w:p w14:paraId="320FAF3B" w14:textId="77777777" w:rsidR="00C747AF" w:rsidRDefault="00C747AF" w:rsidP="00C747AF">
      <w:pPr>
        <w:spacing w:after="120" w:line="240" w:lineRule="auto"/>
        <w:jc w:val="both"/>
        <w:rPr>
          <w:rFonts w:ascii="Times New Roman" w:hAnsi="Times New Roman" w:cs="Times New Roman"/>
          <w:sz w:val="24"/>
          <w:szCs w:val="24"/>
        </w:rPr>
      </w:pPr>
      <w:r w:rsidRPr="00367A86">
        <w:rPr>
          <w:rFonts w:ascii="Times New Roman" w:hAnsi="Times New Roman" w:cs="Times New Roman"/>
          <w:sz w:val="24"/>
          <w:szCs w:val="24"/>
        </w:rPr>
        <w:tab/>
        <w:t xml:space="preserve">Nariadenie </w:t>
      </w:r>
      <w:r>
        <w:rPr>
          <w:rFonts w:ascii="Times New Roman" w:hAnsi="Times New Roman" w:cs="Times New Roman"/>
          <w:sz w:val="24"/>
          <w:szCs w:val="24"/>
        </w:rPr>
        <w:t>DMA u</w:t>
      </w:r>
      <w:r w:rsidRPr="00367A86">
        <w:rPr>
          <w:rFonts w:ascii="Times New Roman" w:hAnsi="Times New Roman" w:cs="Times New Roman"/>
          <w:sz w:val="24"/>
          <w:szCs w:val="24"/>
        </w:rPr>
        <w:t>stanovuje členským štátom</w:t>
      </w:r>
      <w:r w:rsidRPr="00C04627">
        <w:rPr>
          <w:rFonts w:ascii="Times New Roman" w:hAnsi="Times New Roman" w:cs="Times New Roman"/>
          <w:sz w:val="24"/>
          <w:szCs w:val="24"/>
        </w:rPr>
        <w:t xml:space="preserve"> </w:t>
      </w:r>
      <w:r>
        <w:rPr>
          <w:rFonts w:ascii="Times New Roman" w:hAnsi="Times New Roman" w:cs="Times New Roman"/>
          <w:sz w:val="24"/>
          <w:szCs w:val="24"/>
        </w:rPr>
        <w:t xml:space="preserve">Európskej únie a štátom, ktoré sú zmluvnou stranou Dohody o Európskom hospodárskom priestore (ďalej len „členský štát“) povinnosť </w:t>
      </w:r>
      <w:r w:rsidRPr="00367A86">
        <w:rPr>
          <w:rFonts w:ascii="Times New Roman" w:hAnsi="Times New Roman" w:cs="Times New Roman"/>
          <w:sz w:val="24"/>
          <w:szCs w:val="24"/>
        </w:rPr>
        <w:t xml:space="preserve">stanoviť príslušný orgán, ktorý bude zodpovedný za vykonávanie niektorých povinností vyplývajúcich z nariadenia DMA, pričom zároveň </w:t>
      </w:r>
      <w:r>
        <w:rPr>
          <w:rFonts w:ascii="Times New Roman" w:hAnsi="Times New Roman" w:cs="Times New Roman"/>
          <w:sz w:val="24"/>
          <w:szCs w:val="24"/>
        </w:rPr>
        <w:t>u</w:t>
      </w:r>
      <w:r w:rsidRPr="00367A86">
        <w:rPr>
          <w:rFonts w:ascii="Times New Roman" w:hAnsi="Times New Roman" w:cs="Times New Roman"/>
          <w:sz w:val="24"/>
          <w:szCs w:val="24"/>
        </w:rPr>
        <w:t>stanovuje aj priamo spoluprácu Európskej komisie</w:t>
      </w:r>
      <w:r>
        <w:rPr>
          <w:rFonts w:ascii="Times New Roman" w:hAnsi="Times New Roman" w:cs="Times New Roman"/>
          <w:sz w:val="24"/>
          <w:szCs w:val="24"/>
        </w:rPr>
        <w:t xml:space="preserve"> (ďalej len „Komisia“), ktorá je v rám</w:t>
      </w:r>
      <w:r w:rsidRPr="00367A86">
        <w:rPr>
          <w:rFonts w:ascii="Times New Roman" w:hAnsi="Times New Roman" w:cs="Times New Roman"/>
          <w:sz w:val="24"/>
          <w:szCs w:val="24"/>
        </w:rPr>
        <w:t>c</w:t>
      </w:r>
      <w:r>
        <w:rPr>
          <w:rFonts w:ascii="Times New Roman" w:hAnsi="Times New Roman" w:cs="Times New Roman"/>
          <w:sz w:val="24"/>
          <w:szCs w:val="24"/>
        </w:rPr>
        <w:t>i</w:t>
      </w:r>
      <w:r w:rsidRPr="00367A86">
        <w:rPr>
          <w:rFonts w:ascii="Times New Roman" w:hAnsi="Times New Roman" w:cs="Times New Roman"/>
          <w:sz w:val="24"/>
          <w:szCs w:val="24"/>
        </w:rPr>
        <w:t xml:space="preserve"> </w:t>
      </w:r>
      <w:r w:rsidRPr="001944D5">
        <w:rPr>
          <w:rFonts w:ascii="Times New Roman" w:hAnsi="Times New Roman" w:cs="Times New Roman"/>
          <w:sz w:val="24"/>
          <w:szCs w:val="24"/>
        </w:rPr>
        <w:t>Európskej únie orgánom príslušným na presadzovanie pravidiel vyplývajúcich z nariadenia DMA</w:t>
      </w:r>
      <w:r w:rsidRPr="00367A86">
        <w:rPr>
          <w:rFonts w:ascii="Times New Roman" w:hAnsi="Times New Roman" w:cs="Times New Roman"/>
          <w:sz w:val="24"/>
          <w:szCs w:val="24"/>
        </w:rPr>
        <w:t>, a</w:t>
      </w:r>
      <w:r>
        <w:rPr>
          <w:rFonts w:ascii="Times New Roman" w:hAnsi="Times New Roman" w:cs="Times New Roman"/>
          <w:sz w:val="24"/>
          <w:szCs w:val="24"/>
        </w:rPr>
        <w:t> príslušných národných kompetentných orgánov, ktorým je v prípade Slovenskej republiky úrad</w:t>
      </w:r>
      <w:r w:rsidRPr="00367A86">
        <w:rPr>
          <w:rFonts w:ascii="Times New Roman" w:hAnsi="Times New Roman" w:cs="Times New Roman"/>
          <w:sz w:val="24"/>
          <w:szCs w:val="24"/>
        </w:rPr>
        <w:t>.</w:t>
      </w:r>
    </w:p>
    <w:p w14:paraId="1EC2483F" w14:textId="77777777" w:rsidR="00C747AF" w:rsidRPr="00367A86" w:rsidRDefault="00C747AF" w:rsidP="00C747AF">
      <w:pPr>
        <w:spacing w:after="120" w:line="240" w:lineRule="auto"/>
        <w:ind w:firstLine="708"/>
        <w:jc w:val="both"/>
        <w:rPr>
          <w:rFonts w:ascii="Times New Roman" w:hAnsi="Times New Roman" w:cs="Times New Roman"/>
          <w:sz w:val="24"/>
          <w:szCs w:val="24"/>
        </w:rPr>
      </w:pPr>
      <w:r w:rsidRPr="00367A86">
        <w:rPr>
          <w:rFonts w:ascii="Times New Roman" w:hAnsi="Times New Roman" w:cs="Times New Roman"/>
          <w:sz w:val="24"/>
          <w:szCs w:val="24"/>
        </w:rPr>
        <w:t>Obdobné povinnosti</w:t>
      </w:r>
      <w:r>
        <w:rPr>
          <w:rFonts w:ascii="Times New Roman" w:hAnsi="Times New Roman" w:cs="Times New Roman"/>
          <w:sz w:val="24"/>
          <w:szCs w:val="24"/>
        </w:rPr>
        <w:t>, najmä pokiaľ ide o spoluprácu s Komisiou,</w:t>
      </w:r>
      <w:r w:rsidRPr="00367A86">
        <w:rPr>
          <w:rFonts w:ascii="Times New Roman" w:hAnsi="Times New Roman" w:cs="Times New Roman"/>
          <w:sz w:val="24"/>
          <w:szCs w:val="24"/>
        </w:rPr>
        <w:t xml:space="preserve"> vyplývajú členským štátom </w:t>
      </w:r>
      <w:r>
        <w:rPr>
          <w:rFonts w:ascii="Times New Roman" w:hAnsi="Times New Roman" w:cs="Times New Roman"/>
          <w:sz w:val="24"/>
          <w:szCs w:val="24"/>
        </w:rPr>
        <w:t xml:space="preserve">Európskej únie </w:t>
      </w:r>
      <w:r w:rsidRPr="00367A86">
        <w:rPr>
          <w:rFonts w:ascii="Times New Roman" w:hAnsi="Times New Roman" w:cs="Times New Roman"/>
          <w:sz w:val="24"/>
          <w:szCs w:val="24"/>
        </w:rPr>
        <w:t>aj z nariadenia o zahraničných subvenciách.</w:t>
      </w:r>
      <w:r>
        <w:rPr>
          <w:rFonts w:ascii="Times New Roman" w:hAnsi="Times New Roman" w:cs="Times New Roman"/>
          <w:sz w:val="24"/>
          <w:szCs w:val="24"/>
        </w:rPr>
        <w:t xml:space="preserve"> </w:t>
      </w:r>
      <w:r w:rsidRPr="00367A86">
        <w:rPr>
          <w:rFonts w:ascii="Times New Roman" w:hAnsi="Times New Roman" w:cs="Times New Roman"/>
          <w:sz w:val="24"/>
          <w:szCs w:val="24"/>
        </w:rPr>
        <w:t xml:space="preserve">Cieľom nariadenia o zahraničných subvenciách je zabezpečiť rovnaké podmienky na celom vnútornom trhu pre všetky zainteresované strany. </w:t>
      </w:r>
      <w:r>
        <w:rPr>
          <w:rFonts w:ascii="Times New Roman" w:hAnsi="Times New Roman" w:cs="Times New Roman"/>
          <w:sz w:val="24"/>
          <w:szCs w:val="24"/>
        </w:rPr>
        <w:t>J</w:t>
      </w:r>
      <w:r w:rsidRPr="00367A86">
        <w:rPr>
          <w:rFonts w:ascii="Times New Roman" w:hAnsi="Times New Roman" w:cs="Times New Roman"/>
          <w:sz w:val="24"/>
          <w:szCs w:val="24"/>
        </w:rPr>
        <w:t>ediným orgánom príslušným na uplatňovanie ustanovení tohto nariadenia</w:t>
      </w:r>
      <w:r>
        <w:rPr>
          <w:rFonts w:ascii="Times New Roman" w:hAnsi="Times New Roman" w:cs="Times New Roman"/>
          <w:sz w:val="24"/>
          <w:szCs w:val="24"/>
        </w:rPr>
        <w:t xml:space="preserve"> je Komisia</w:t>
      </w:r>
      <w:r w:rsidRPr="00367A86">
        <w:rPr>
          <w:rFonts w:ascii="Times New Roman" w:hAnsi="Times New Roman" w:cs="Times New Roman"/>
          <w:sz w:val="24"/>
          <w:szCs w:val="24"/>
        </w:rPr>
        <w:t xml:space="preserve">. Komisia </w:t>
      </w:r>
      <w:r>
        <w:rPr>
          <w:rFonts w:ascii="Times New Roman" w:hAnsi="Times New Roman" w:cs="Times New Roman"/>
          <w:sz w:val="24"/>
          <w:szCs w:val="24"/>
        </w:rPr>
        <w:t>disponuje</w:t>
      </w:r>
      <w:r w:rsidRPr="00367A86">
        <w:rPr>
          <w:rFonts w:ascii="Times New Roman" w:hAnsi="Times New Roman" w:cs="Times New Roman"/>
          <w:sz w:val="24"/>
          <w:szCs w:val="24"/>
        </w:rPr>
        <w:t xml:space="preserve"> právomoc</w:t>
      </w:r>
      <w:r>
        <w:rPr>
          <w:rFonts w:ascii="Times New Roman" w:hAnsi="Times New Roman" w:cs="Times New Roman"/>
          <w:sz w:val="24"/>
          <w:szCs w:val="24"/>
        </w:rPr>
        <w:t>ou</w:t>
      </w:r>
      <w:r w:rsidRPr="00367A86">
        <w:rPr>
          <w:rFonts w:ascii="Times New Roman" w:hAnsi="Times New Roman" w:cs="Times New Roman"/>
          <w:sz w:val="24"/>
          <w:szCs w:val="24"/>
        </w:rPr>
        <w:t xml:space="preserve"> z vlastnej iniciatívy preskúmať všetky zahraničné subvencie v</w:t>
      </w:r>
      <w:r>
        <w:rPr>
          <w:rFonts w:ascii="Times New Roman" w:hAnsi="Times New Roman" w:cs="Times New Roman"/>
          <w:sz w:val="24"/>
          <w:szCs w:val="24"/>
        </w:rPr>
        <w:t> </w:t>
      </w:r>
      <w:r w:rsidRPr="00367A86">
        <w:rPr>
          <w:rFonts w:ascii="Times New Roman" w:hAnsi="Times New Roman" w:cs="Times New Roman"/>
          <w:sz w:val="24"/>
          <w:szCs w:val="24"/>
        </w:rPr>
        <w:t xml:space="preserve">akomkoľvek odvetví hospodárstva, pokiaľ patria do rozsahu pôsobnosti nariadenia o zahraničných subvenciách, a využívať pri tom informácie zo všetkých dostupných zdrojov. Komisia na zabezpečenie účinnej kontroly osobitne v prípade veľkých koncentrácií </w:t>
      </w:r>
      <w:r w:rsidRPr="00367A86">
        <w:rPr>
          <w:rFonts w:ascii="Times New Roman" w:hAnsi="Times New Roman" w:cs="Times New Roman"/>
          <w:sz w:val="24"/>
          <w:szCs w:val="24"/>
        </w:rPr>
        <w:lastRenderedPageBreak/>
        <w:t xml:space="preserve">(fúzií a akvizícií) a postupov verejného obstarávania presahujúcich určité finančné limity </w:t>
      </w:r>
      <w:r>
        <w:rPr>
          <w:rFonts w:ascii="Times New Roman" w:hAnsi="Times New Roman" w:cs="Times New Roman"/>
          <w:sz w:val="24"/>
          <w:szCs w:val="24"/>
        </w:rPr>
        <w:t>tiež disponuje</w:t>
      </w:r>
      <w:r w:rsidRPr="00367A86">
        <w:rPr>
          <w:rFonts w:ascii="Times New Roman" w:hAnsi="Times New Roman" w:cs="Times New Roman"/>
          <w:sz w:val="24"/>
          <w:szCs w:val="24"/>
        </w:rPr>
        <w:t xml:space="preserve"> právomoc</w:t>
      </w:r>
      <w:r>
        <w:rPr>
          <w:rFonts w:ascii="Times New Roman" w:hAnsi="Times New Roman" w:cs="Times New Roman"/>
          <w:sz w:val="24"/>
          <w:szCs w:val="24"/>
        </w:rPr>
        <w:t>ou</w:t>
      </w:r>
      <w:r w:rsidRPr="00367A86">
        <w:rPr>
          <w:rFonts w:ascii="Times New Roman" w:hAnsi="Times New Roman" w:cs="Times New Roman"/>
          <w:sz w:val="24"/>
          <w:szCs w:val="24"/>
        </w:rPr>
        <w:t xml:space="preserve"> preskúmať zahraničné subvencie na základe predchádzajúceho oznámenia, ktoré podnik predloží Komisii.</w:t>
      </w:r>
    </w:p>
    <w:p w14:paraId="1E5A5C40" w14:textId="77777777" w:rsidR="00C747AF" w:rsidRDefault="00C747AF" w:rsidP="00C747AF">
      <w:pPr>
        <w:spacing w:after="120" w:line="240" w:lineRule="auto"/>
        <w:jc w:val="both"/>
        <w:rPr>
          <w:rFonts w:ascii="Times New Roman" w:hAnsi="Times New Roman" w:cs="Times New Roman"/>
          <w:sz w:val="24"/>
          <w:szCs w:val="24"/>
        </w:rPr>
      </w:pPr>
      <w:r w:rsidRPr="00367A86">
        <w:rPr>
          <w:rFonts w:ascii="Times New Roman" w:hAnsi="Times New Roman" w:cs="Times New Roman"/>
          <w:sz w:val="24"/>
          <w:szCs w:val="24"/>
        </w:rPr>
        <w:tab/>
        <w:t xml:space="preserve">Nariadenie o zahraničných subvenciách sa vzťahuje na koncentrácie, postupy verejného obstarávania a všetky ostatné situácie na trhu, má odstrániť regulačnú medzeru na jednotnom trhu. Komisia </w:t>
      </w:r>
      <w:r>
        <w:rPr>
          <w:rFonts w:ascii="Times New Roman" w:hAnsi="Times New Roman" w:cs="Times New Roman"/>
          <w:sz w:val="24"/>
          <w:szCs w:val="24"/>
        </w:rPr>
        <w:t>disponuje výlučnou právomocou</w:t>
      </w:r>
      <w:r w:rsidRPr="00367A86">
        <w:rPr>
          <w:rFonts w:ascii="Times New Roman" w:hAnsi="Times New Roman" w:cs="Times New Roman"/>
          <w:sz w:val="24"/>
          <w:szCs w:val="24"/>
        </w:rPr>
        <w:t xml:space="preserve"> vyšetrovať finančné príspevky (subvencie) poskytnuté verejnými orgánmi krajiny mimo </w:t>
      </w:r>
      <w:r>
        <w:rPr>
          <w:rFonts w:ascii="Times New Roman" w:hAnsi="Times New Roman" w:cs="Times New Roman"/>
          <w:sz w:val="24"/>
          <w:szCs w:val="24"/>
        </w:rPr>
        <w:t>Európskej únie</w:t>
      </w:r>
      <w:r w:rsidRPr="00367A86">
        <w:rPr>
          <w:rFonts w:ascii="Times New Roman" w:hAnsi="Times New Roman" w:cs="Times New Roman"/>
          <w:sz w:val="24"/>
          <w:szCs w:val="24"/>
        </w:rPr>
        <w:t xml:space="preserve">, z ktorých majú prospech spoločnosti vykonávajúce hospodársku činnosť v </w:t>
      </w:r>
      <w:r>
        <w:rPr>
          <w:rFonts w:ascii="Times New Roman" w:hAnsi="Times New Roman" w:cs="Times New Roman"/>
          <w:sz w:val="24"/>
          <w:szCs w:val="24"/>
        </w:rPr>
        <w:t>Európskej únii</w:t>
      </w:r>
      <w:r w:rsidRPr="00367A86">
        <w:rPr>
          <w:rFonts w:ascii="Times New Roman" w:hAnsi="Times New Roman" w:cs="Times New Roman"/>
          <w:sz w:val="24"/>
          <w:szCs w:val="24"/>
        </w:rPr>
        <w:t>, s cieľom limitovať ich rušivé účinky.</w:t>
      </w:r>
    </w:p>
    <w:p w14:paraId="0B91C20B" w14:textId="77777777" w:rsidR="00C747AF" w:rsidRDefault="00C747AF" w:rsidP="00C747AF">
      <w:pPr>
        <w:spacing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 xml:space="preserve">Návrh zákona odzrkadľuje nové úlohy, ktoré úrad bude povinný plniť na základe nariadenia DMA a nariadenia o zahraničných subvenciách. Nariadenie DMA ustanovuje povinnosti členským štátom, príslušným orgánom určených členským štátom a úradom na ochranu hospodárskej súťaže. Návrh zákona kumuluje plnenie povinností v jednom ústrednom orgáne štátnej správy Slovenskej republiky, ktorým bude úrad. Aj keď nariadenie DMA ustanovuje ako jediný orgán vymáhania pravidiel podľa nariadenia DMA Komisiu, ponecháva istý priestor pre vykonanie prešetrovania aj členským štátom a zároveň umožňuje Komisii pri prieskumoch trhu požadovať od úradu podporu. Zároveň členské štáty môžu Komisii navrhnúť preskúmanie dodržiavania konkrétnych článkov nariadenia DMA, napríklad, </w:t>
      </w:r>
      <w:r w:rsidRPr="00DB6289">
        <w:rPr>
          <w:rFonts w:ascii="Times New Roman" w:hAnsi="Times New Roman" w:cs="Times New Roman"/>
          <w:color w:val="000000"/>
          <w:sz w:val="24"/>
          <w:szCs w:val="24"/>
        </w:rPr>
        <w:t>ak usudzujú, že existujú opodstatnené dôvody domnievať sa, že by určitý podnik mal b</w:t>
      </w:r>
      <w:r>
        <w:rPr>
          <w:rFonts w:ascii="Times New Roman" w:hAnsi="Times New Roman" w:cs="Times New Roman"/>
          <w:color w:val="000000"/>
          <w:sz w:val="24"/>
          <w:szCs w:val="24"/>
        </w:rPr>
        <w:t xml:space="preserve">yť označený za strážcu prístupu, že </w:t>
      </w:r>
      <w:r w:rsidRPr="00DB6289">
        <w:rPr>
          <w:rFonts w:ascii="Times New Roman" w:hAnsi="Times New Roman" w:cs="Times New Roman"/>
          <w:color w:val="000000"/>
          <w:sz w:val="24"/>
          <w:szCs w:val="24"/>
        </w:rPr>
        <w:t xml:space="preserve">existujú opodstatnené dôvody domnievať sa, že strážca prístupu systematicky porušoval jednu alebo viaceré </w:t>
      </w:r>
      <w:r>
        <w:rPr>
          <w:rFonts w:ascii="Times New Roman" w:hAnsi="Times New Roman" w:cs="Times New Roman"/>
          <w:color w:val="000000"/>
          <w:sz w:val="24"/>
          <w:szCs w:val="24"/>
        </w:rPr>
        <w:t xml:space="preserve">vymedzené </w:t>
      </w:r>
      <w:r w:rsidRPr="00DB6289">
        <w:rPr>
          <w:rFonts w:ascii="Times New Roman" w:hAnsi="Times New Roman" w:cs="Times New Roman"/>
          <w:color w:val="000000"/>
          <w:sz w:val="24"/>
          <w:szCs w:val="24"/>
        </w:rPr>
        <w:t>povinnosti</w:t>
      </w:r>
      <w:r>
        <w:rPr>
          <w:rFonts w:ascii="Times New Roman" w:hAnsi="Times New Roman" w:cs="Times New Roman"/>
          <w:color w:val="000000"/>
          <w:sz w:val="24"/>
          <w:szCs w:val="24"/>
        </w:rPr>
        <w:t>, prípadne, že e</w:t>
      </w:r>
      <w:r w:rsidRPr="008568B3">
        <w:rPr>
          <w:rFonts w:ascii="Times New Roman" w:hAnsi="Times New Roman" w:cs="Times New Roman"/>
          <w:color w:val="000000"/>
          <w:sz w:val="24"/>
          <w:szCs w:val="24"/>
        </w:rPr>
        <w:t>xistujú opods</w:t>
      </w:r>
      <w:r>
        <w:rPr>
          <w:rFonts w:ascii="Times New Roman" w:hAnsi="Times New Roman" w:cs="Times New Roman"/>
          <w:color w:val="000000"/>
          <w:sz w:val="24"/>
          <w:szCs w:val="24"/>
        </w:rPr>
        <w:t xml:space="preserve">tatnené dôvody domnievať sa, že </w:t>
      </w:r>
      <w:r w:rsidRPr="008568B3">
        <w:rPr>
          <w:rFonts w:ascii="Times New Roman" w:hAnsi="Times New Roman" w:cs="Times New Roman"/>
          <w:color w:val="000000"/>
          <w:sz w:val="24"/>
          <w:szCs w:val="24"/>
        </w:rPr>
        <w:t>by sa mala doplniť jedna alebo viac služieb v</w:t>
      </w:r>
      <w:r>
        <w:rPr>
          <w:rFonts w:ascii="Times New Roman" w:hAnsi="Times New Roman" w:cs="Times New Roman"/>
          <w:color w:val="000000"/>
          <w:sz w:val="24"/>
          <w:szCs w:val="24"/>
        </w:rPr>
        <w:t> </w:t>
      </w:r>
      <w:r w:rsidRPr="008568B3">
        <w:rPr>
          <w:rFonts w:ascii="Times New Roman" w:hAnsi="Times New Roman" w:cs="Times New Roman"/>
          <w:color w:val="000000"/>
          <w:sz w:val="24"/>
          <w:szCs w:val="24"/>
        </w:rPr>
        <w:t>rámci digitálneho sektora do zoznamu základných platformových služieb podľa článku 2 bodu 2</w:t>
      </w:r>
      <w:r>
        <w:rPr>
          <w:rFonts w:ascii="Times New Roman" w:hAnsi="Times New Roman" w:cs="Times New Roman"/>
          <w:color w:val="000000"/>
          <w:sz w:val="24"/>
          <w:szCs w:val="24"/>
        </w:rPr>
        <w:t xml:space="preserve"> nariadenia DMA</w:t>
      </w:r>
      <w:r w:rsidRPr="008568B3">
        <w:rPr>
          <w:rFonts w:ascii="Times New Roman" w:hAnsi="Times New Roman" w:cs="Times New Roman"/>
          <w:color w:val="000000"/>
          <w:sz w:val="24"/>
          <w:szCs w:val="24"/>
        </w:rPr>
        <w:t xml:space="preserve"> alebo</w:t>
      </w:r>
      <w:r>
        <w:rPr>
          <w:rFonts w:ascii="Times New Roman" w:hAnsi="Times New Roman" w:cs="Times New Roman"/>
          <w:color w:val="000000"/>
          <w:sz w:val="24"/>
          <w:szCs w:val="24"/>
        </w:rPr>
        <w:t xml:space="preserve"> sa v </w:t>
      </w:r>
      <w:r w:rsidRPr="008568B3">
        <w:rPr>
          <w:rFonts w:ascii="Times New Roman" w:hAnsi="Times New Roman" w:cs="Times New Roman"/>
          <w:color w:val="000000"/>
          <w:sz w:val="24"/>
          <w:szCs w:val="24"/>
        </w:rPr>
        <w:t>nariadení</w:t>
      </w:r>
      <w:r>
        <w:rPr>
          <w:rFonts w:ascii="Times New Roman" w:hAnsi="Times New Roman" w:cs="Times New Roman"/>
          <w:color w:val="000000"/>
          <w:sz w:val="24"/>
          <w:szCs w:val="24"/>
        </w:rPr>
        <w:t xml:space="preserve"> DMA</w:t>
      </w:r>
      <w:r w:rsidRPr="008568B3">
        <w:rPr>
          <w:rFonts w:ascii="Times New Roman" w:hAnsi="Times New Roman" w:cs="Times New Roman"/>
          <w:color w:val="000000"/>
          <w:sz w:val="24"/>
          <w:szCs w:val="24"/>
        </w:rPr>
        <w:t xml:space="preserve"> účinne neupravuje jedna alebo viaceré praktiky, ktoré by mohli viesť k obmedzeniu </w:t>
      </w:r>
      <w:proofErr w:type="spellStart"/>
      <w:r w:rsidRPr="008568B3">
        <w:rPr>
          <w:rFonts w:ascii="Times New Roman" w:hAnsi="Times New Roman" w:cs="Times New Roman"/>
          <w:color w:val="000000"/>
          <w:sz w:val="24"/>
          <w:szCs w:val="24"/>
        </w:rPr>
        <w:t>súťažeschopnosti</w:t>
      </w:r>
      <w:proofErr w:type="spellEnd"/>
      <w:r w:rsidRPr="008568B3">
        <w:rPr>
          <w:rFonts w:ascii="Times New Roman" w:hAnsi="Times New Roman" w:cs="Times New Roman"/>
          <w:color w:val="000000"/>
          <w:sz w:val="24"/>
          <w:szCs w:val="24"/>
        </w:rPr>
        <w:t xml:space="preserve"> základných platformových služieb alebo by mohli byť nekalé.</w:t>
      </w:r>
      <w:r>
        <w:rPr>
          <w:rFonts w:ascii="Times New Roman" w:hAnsi="Times New Roman" w:cs="Times New Roman"/>
          <w:color w:val="000000"/>
          <w:sz w:val="24"/>
          <w:szCs w:val="24"/>
        </w:rPr>
        <w:t xml:space="preserve"> Na tento účel sú však členské štáty povinné Komisii predložiť aj dôkazy. S ohľadom na vymedzené povinnosti spolupráce sa tak rozširujú už existujúce kompetencie úradu aj na oblasť uplatňovania nariadenia DMA, aby bolo možné požadovanú spoluprácu aj reálne vykonať. Ide predovšetkým o spoluprácu s Komisiou pri získavaní informácií alebo výkone inšpekcií. Predkladaný návrh zákona ukladá zároveň povinnosť ostatným ústredným orgánom štátnej správy poskytnúť úradu súčinnosť pri plnení svojich povinností v zmysle implementovaných nariadení, keďže informácie môžu mať k dispozícii aj iné orgány verejnej moci. S ohľadom na skutočnosť, že najmä pre oblasť nariadenia o zahraničných subvenciách ide o rovnaký typ spolupráce pre poskytovanie súčinnosti Komisii pri poskytovaní informácií a inšpekcií, návrh zákona implementuje aj niektoré ustanovenia tohto nariadenia. Pokiaľ ide o spôsob implementácie nariadenia DMA a nariadenia o zahraničných subvenciách návrh zákona nejde nad rámec uvedených nariadení, t.j. pri ich implementácii nedochádza k </w:t>
      </w:r>
      <w:proofErr w:type="spellStart"/>
      <w:r>
        <w:rPr>
          <w:rFonts w:ascii="Times New Roman" w:hAnsi="Times New Roman" w:cs="Times New Roman"/>
          <w:color w:val="000000"/>
          <w:sz w:val="24"/>
          <w:szCs w:val="24"/>
        </w:rPr>
        <w:t>goldplatingu</w:t>
      </w:r>
      <w:proofErr w:type="spellEnd"/>
      <w:r>
        <w:rPr>
          <w:rFonts w:ascii="Times New Roman" w:hAnsi="Times New Roman" w:cs="Times New Roman"/>
          <w:color w:val="000000"/>
          <w:sz w:val="24"/>
          <w:szCs w:val="24"/>
        </w:rPr>
        <w:t>. Navrhovaná právna úprava vychádza z potreby upraviť postup úradu pri výkone svojich povinností a reflektovať tak úpravu obsiahnutú v nariadeniach.</w:t>
      </w:r>
    </w:p>
    <w:p w14:paraId="71CDDBB6" w14:textId="77777777" w:rsidR="00C747AF" w:rsidRDefault="00C747AF" w:rsidP="00C747AF">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Návrh zákona bude mať</w:t>
      </w:r>
      <w:r w:rsidRPr="000625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negatívny</w:t>
      </w:r>
      <w:r w:rsidRPr="000625ED">
        <w:rPr>
          <w:rFonts w:ascii="Times New Roman" w:hAnsi="Times New Roman" w:cs="Times New Roman"/>
          <w:color w:val="000000"/>
          <w:sz w:val="24"/>
          <w:szCs w:val="24"/>
        </w:rPr>
        <w:t xml:space="preserve"> vplyv na rozpočet verejnej správy.</w:t>
      </w:r>
      <w:r>
        <w:rPr>
          <w:rFonts w:ascii="Times New Roman" w:hAnsi="Times New Roman" w:cs="Times New Roman"/>
          <w:color w:val="000000"/>
          <w:sz w:val="24"/>
          <w:szCs w:val="24"/>
        </w:rPr>
        <w:t xml:space="preserve"> Návrh</w:t>
      </w:r>
      <w:r w:rsidRPr="000625ED">
        <w:rPr>
          <w:rFonts w:ascii="Times New Roman" w:hAnsi="Times New Roman" w:cs="Times New Roman"/>
          <w:color w:val="000000"/>
          <w:sz w:val="24"/>
          <w:szCs w:val="24"/>
        </w:rPr>
        <w:t xml:space="preserve"> zákona nebude mať vplyvy na podnikateľské prostredie</w:t>
      </w:r>
      <w:r>
        <w:rPr>
          <w:rFonts w:ascii="Times New Roman" w:hAnsi="Times New Roman" w:cs="Times New Roman"/>
          <w:color w:val="000000"/>
          <w:sz w:val="24"/>
          <w:szCs w:val="24"/>
        </w:rPr>
        <w:t>,</w:t>
      </w:r>
      <w:r w:rsidRPr="000625ED">
        <w:rPr>
          <w:rFonts w:ascii="Times New Roman" w:hAnsi="Times New Roman" w:cs="Times New Roman"/>
          <w:color w:val="000000"/>
          <w:sz w:val="24"/>
          <w:szCs w:val="24"/>
        </w:rPr>
        <w:t xml:space="preserve"> sociálne vplyvy, vplyvy na životné prostredie, vplyvy na informatizáciu spoločnosti, vplyvy na služby verejnej správy pre občana, ani vplyvy na manželstvo, rodičovstvo a</w:t>
      </w:r>
      <w:r>
        <w:rPr>
          <w:rFonts w:ascii="Times New Roman" w:hAnsi="Times New Roman" w:cs="Times New Roman"/>
          <w:color w:val="000000"/>
          <w:sz w:val="24"/>
          <w:szCs w:val="24"/>
        </w:rPr>
        <w:t> </w:t>
      </w:r>
      <w:r w:rsidRPr="000625ED">
        <w:rPr>
          <w:rFonts w:ascii="Times New Roman" w:hAnsi="Times New Roman" w:cs="Times New Roman"/>
          <w:color w:val="000000"/>
          <w:sz w:val="24"/>
          <w:szCs w:val="24"/>
        </w:rPr>
        <w:t>rodinu</w:t>
      </w:r>
      <w:r>
        <w:rPr>
          <w:rFonts w:ascii="Times New Roman" w:hAnsi="Times New Roman" w:cs="Times New Roman"/>
          <w:color w:val="000000"/>
          <w:sz w:val="24"/>
          <w:szCs w:val="24"/>
        </w:rPr>
        <w:t xml:space="preserve">. </w:t>
      </w:r>
    </w:p>
    <w:p w14:paraId="0172CC68" w14:textId="77777777" w:rsidR="00C747AF" w:rsidRDefault="00C747AF" w:rsidP="00C747AF">
      <w:pPr>
        <w:spacing w:after="120" w:line="240" w:lineRule="auto"/>
        <w:ind w:firstLine="708"/>
        <w:jc w:val="both"/>
        <w:rPr>
          <w:rFonts w:ascii="Times New Roman" w:hAnsi="Times New Roman" w:cs="Times New Roman"/>
          <w:color w:val="000000"/>
          <w:sz w:val="24"/>
          <w:szCs w:val="24"/>
        </w:rPr>
      </w:pPr>
      <w:r w:rsidRPr="000625ED">
        <w:rPr>
          <w:rFonts w:ascii="Times New Roman" w:hAnsi="Times New Roman" w:cs="Times New Roman"/>
          <w:color w:val="000000"/>
          <w:sz w:val="24"/>
          <w:szCs w:val="24"/>
        </w:rPr>
        <w:t>Predkladaný návrh zákona je v súlade s Ústavou Slovenskej republiky, ústavnými zákonmi a nálezmi Ústavného súdu Slovenskej republiky</w:t>
      </w:r>
      <w:r>
        <w:rPr>
          <w:rFonts w:ascii="Times New Roman" w:hAnsi="Times New Roman" w:cs="Times New Roman"/>
          <w:color w:val="000000"/>
          <w:sz w:val="24"/>
          <w:szCs w:val="24"/>
        </w:rPr>
        <w:t>,</w:t>
      </w:r>
      <w:r w:rsidRPr="000625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zákonmi</w:t>
      </w:r>
      <w:r w:rsidRPr="000625ED">
        <w:rPr>
          <w:rFonts w:ascii="Times New Roman" w:hAnsi="Times New Roman" w:cs="Times New Roman"/>
          <w:color w:val="000000"/>
          <w:sz w:val="24"/>
          <w:szCs w:val="24"/>
        </w:rPr>
        <w:t>, medzinárodnými zmluvami, ktorými je Slovenská republiky viazaná, ako aj v súlade s právom Európskej únie.</w:t>
      </w:r>
    </w:p>
    <w:p w14:paraId="2C186BDA" w14:textId="77777777" w:rsidR="00C747AF" w:rsidRDefault="00C747AF" w:rsidP="00C747AF">
      <w:pPr>
        <w:spacing w:after="120" w:line="240" w:lineRule="auto"/>
        <w:ind w:firstLine="708"/>
        <w:jc w:val="both"/>
        <w:rPr>
          <w:rFonts w:ascii="Times New Roman" w:hAnsi="Times New Roman" w:cs="Times New Roman"/>
          <w:color w:val="000000"/>
          <w:sz w:val="24"/>
          <w:szCs w:val="24"/>
        </w:rPr>
      </w:pPr>
    </w:p>
    <w:p w14:paraId="3FEE5B45" w14:textId="77777777" w:rsidR="00C747AF" w:rsidRPr="0093021F" w:rsidRDefault="00C747AF" w:rsidP="00C747AF">
      <w:pPr>
        <w:spacing w:after="0" w:line="240" w:lineRule="auto"/>
        <w:jc w:val="center"/>
        <w:rPr>
          <w:rFonts w:ascii="Times New Roman" w:eastAsia="Times New Roman" w:hAnsi="Times New Roman" w:cs="Times New Roman"/>
          <w:b/>
          <w:sz w:val="28"/>
          <w:szCs w:val="28"/>
          <w:lang w:eastAsia="sk-SK"/>
        </w:rPr>
      </w:pPr>
      <w:r w:rsidRPr="0093021F">
        <w:rPr>
          <w:rFonts w:ascii="Times New Roman" w:eastAsia="Times New Roman" w:hAnsi="Times New Roman" w:cs="Times New Roman"/>
          <w:b/>
          <w:sz w:val="28"/>
          <w:szCs w:val="28"/>
          <w:lang w:eastAsia="sk-SK"/>
        </w:rPr>
        <w:lastRenderedPageBreak/>
        <w:t>Doložka vybraných vplyvov</w:t>
      </w:r>
    </w:p>
    <w:p w14:paraId="36303993" w14:textId="77777777" w:rsidR="00C747AF" w:rsidRPr="0093021F" w:rsidRDefault="00C747AF" w:rsidP="00C747AF">
      <w:pPr>
        <w:spacing w:after="0" w:line="240" w:lineRule="auto"/>
        <w:jc w:val="center"/>
        <w:rPr>
          <w:rFonts w:ascii="Times New Roman" w:eastAsia="Times New Roman" w:hAnsi="Times New Roman" w:cs="Times New Roman"/>
          <w:b/>
          <w:sz w:val="28"/>
          <w:szCs w:val="28"/>
          <w:lang w:eastAsia="sk-SK"/>
        </w:rPr>
      </w:pPr>
    </w:p>
    <w:p w14:paraId="731D93EA" w14:textId="77777777" w:rsidR="00C747AF" w:rsidRPr="0093021F" w:rsidRDefault="00C747AF" w:rsidP="00C747AF">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747AF" w:rsidRPr="0093021F" w14:paraId="03B67706" w14:textId="77777777" w:rsidTr="00263110">
        <w:tc>
          <w:tcPr>
            <w:tcW w:w="9180" w:type="dxa"/>
            <w:gridSpan w:val="11"/>
            <w:tcBorders>
              <w:bottom w:val="single" w:sz="4" w:space="0" w:color="FFFFFF"/>
            </w:tcBorders>
            <w:shd w:val="clear" w:color="auto" w:fill="E2E2E2"/>
          </w:tcPr>
          <w:p w14:paraId="50C07E34"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Základné údaje</w:t>
            </w:r>
          </w:p>
        </w:tc>
      </w:tr>
      <w:tr w:rsidR="00C747AF" w:rsidRPr="0093021F" w14:paraId="5A7B3EC4" w14:textId="77777777" w:rsidTr="00263110">
        <w:tc>
          <w:tcPr>
            <w:tcW w:w="9180" w:type="dxa"/>
            <w:gridSpan w:val="11"/>
            <w:tcBorders>
              <w:bottom w:val="single" w:sz="4" w:space="0" w:color="FFFFFF"/>
            </w:tcBorders>
            <w:shd w:val="clear" w:color="auto" w:fill="E2E2E2"/>
          </w:tcPr>
          <w:p w14:paraId="0A00C466" w14:textId="77777777" w:rsidR="00C747AF" w:rsidRPr="0093021F" w:rsidRDefault="00C747AF" w:rsidP="00263110">
            <w:pPr>
              <w:spacing w:after="200"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Názov materiálu</w:t>
            </w:r>
          </w:p>
        </w:tc>
      </w:tr>
      <w:tr w:rsidR="00C747AF" w:rsidRPr="0093021F" w14:paraId="2B3AF4C9" w14:textId="77777777" w:rsidTr="00263110">
        <w:tc>
          <w:tcPr>
            <w:tcW w:w="9180" w:type="dxa"/>
            <w:gridSpan w:val="11"/>
            <w:tcBorders>
              <w:top w:val="single" w:sz="4" w:space="0" w:color="FFFFFF"/>
              <w:bottom w:val="single" w:sz="4" w:space="0" w:color="auto"/>
            </w:tcBorders>
          </w:tcPr>
          <w:p w14:paraId="4523CA82"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Zákon, ktorým sa mení a dopĺňa zákon č. 187/2021 Z. z. o ochrane hospodárskej súťaže a o zmene a doplnení niektorých zákonov</w:t>
            </w:r>
            <w:r>
              <w:rPr>
                <w:rFonts w:ascii="Times New Roman" w:eastAsia="Times New Roman" w:hAnsi="Times New Roman" w:cs="Times New Roman"/>
                <w:sz w:val="20"/>
                <w:szCs w:val="20"/>
                <w:lang w:eastAsia="sk-SK"/>
              </w:rPr>
              <w:t xml:space="preserve"> </w:t>
            </w:r>
            <w:r w:rsidRPr="004E1091">
              <w:rPr>
                <w:rFonts w:ascii="Times New Roman" w:eastAsia="Times New Roman" w:hAnsi="Times New Roman" w:cs="Times New Roman"/>
                <w:sz w:val="20"/>
                <w:szCs w:val="20"/>
                <w:lang w:eastAsia="sk-SK"/>
              </w:rPr>
              <w:t xml:space="preserve">v znení zákona č. 309/2023 Z. z. </w:t>
            </w:r>
            <w:r>
              <w:rPr>
                <w:rFonts w:ascii="Times New Roman" w:eastAsia="Times New Roman" w:hAnsi="Times New Roman" w:cs="Times New Roman"/>
                <w:sz w:val="20"/>
                <w:szCs w:val="20"/>
                <w:lang w:eastAsia="sk-SK"/>
              </w:rPr>
              <w:t>(ďalej len „návrh zákona“)</w:t>
            </w:r>
          </w:p>
          <w:p w14:paraId="091CA6E2"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59616B22" w14:textId="77777777" w:rsidTr="00263110">
        <w:tc>
          <w:tcPr>
            <w:tcW w:w="9180" w:type="dxa"/>
            <w:gridSpan w:val="11"/>
            <w:tcBorders>
              <w:top w:val="single" w:sz="4" w:space="0" w:color="auto"/>
              <w:left w:val="single" w:sz="4" w:space="0" w:color="auto"/>
              <w:bottom w:val="single" w:sz="4" w:space="0" w:color="FFFFFF"/>
            </w:tcBorders>
            <w:shd w:val="clear" w:color="auto" w:fill="E2E2E2"/>
          </w:tcPr>
          <w:p w14:paraId="0FCD7DD7" w14:textId="77777777" w:rsidR="00C747AF" w:rsidRPr="0093021F" w:rsidRDefault="00C747AF" w:rsidP="00263110">
            <w:pPr>
              <w:spacing w:after="200"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Predkladateľ (a spolupredkladateľ)</w:t>
            </w:r>
          </w:p>
        </w:tc>
      </w:tr>
      <w:tr w:rsidR="00C747AF" w:rsidRPr="0093021F" w14:paraId="620F8969" w14:textId="77777777" w:rsidTr="00263110">
        <w:tc>
          <w:tcPr>
            <w:tcW w:w="9180" w:type="dxa"/>
            <w:gridSpan w:val="11"/>
            <w:tcBorders>
              <w:top w:val="single" w:sz="4" w:space="0" w:color="FFFFFF"/>
              <w:left w:val="single" w:sz="4" w:space="0" w:color="auto"/>
              <w:bottom w:val="single" w:sz="4" w:space="0" w:color="auto"/>
            </w:tcBorders>
            <w:shd w:val="clear" w:color="auto" w:fill="FFFFFF"/>
          </w:tcPr>
          <w:p w14:paraId="0957E2E1"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Protimonopolný úrad Slovenskej republiky</w:t>
            </w:r>
          </w:p>
          <w:p w14:paraId="0BA777F5"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Ministerstvo hospodárstva Slovenskej republiky</w:t>
            </w:r>
          </w:p>
          <w:p w14:paraId="32B1978B"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5BA5DF47" w14:textId="77777777" w:rsidTr="0026311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91759CA" w14:textId="77777777" w:rsidR="00C747AF" w:rsidRPr="0093021F" w:rsidRDefault="00C747AF" w:rsidP="00263110">
            <w:pPr>
              <w:spacing w:after="200"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FDC4949"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0F46A7C"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Materiál nelegislatívnej povahy</w:t>
            </w:r>
          </w:p>
        </w:tc>
      </w:tr>
      <w:tr w:rsidR="00C747AF" w:rsidRPr="0093021F" w14:paraId="76F3994E" w14:textId="77777777" w:rsidTr="00263110">
        <w:tc>
          <w:tcPr>
            <w:tcW w:w="4212" w:type="dxa"/>
            <w:gridSpan w:val="2"/>
            <w:vMerge/>
            <w:tcBorders>
              <w:top w:val="nil"/>
              <w:left w:val="single" w:sz="4" w:space="0" w:color="auto"/>
              <w:bottom w:val="single" w:sz="4" w:space="0" w:color="FFFFFF"/>
            </w:tcBorders>
            <w:shd w:val="clear" w:color="auto" w:fill="E2E2E2"/>
          </w:tcPr>
          <w:p w14:paraId="05738488" w14:textId="77777777" w:rsidR="00C747AF" w:rsidRPr="0093021F" w:rsidRDefault="00C747AF" w:rsidP="0026311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BB011CD" w14:textId="77777777" w:rsidR="00C747AF" w:rsidRPr="0093021F" w:rsidRDefault="00C747AF" w:rsidP="00263110">
                <w:pPr>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CA7A862" w14:textId="77777777" w:rsidR="00C747AF" w:rsidRPr="0093021F" w:rsidRDefault="00C747AF" w:rsidP="00263110">
            <w:pPr>
              <w:ind w:left="175" w:hanging="175"/>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Materiál legislatívnej povahy</w:t>
            </w:r>
          </w:p>
        </w:tc>
      </w:tr>
      <w:tr w:rsidR="00C747AF" w:rsidRPr="0093021F" w14:paraId="61942275" w14:textId="77777777" w:rsidTr="00263110">
        <w:tc>
          <w:tcPr>
            <w:tcW w:w="4212" w:type="dxa"/>
            <w:gridSpan w:val="2"/>
            <w:vMerge/>
            <w:tcBorders>
              <w:top w:val="nil"/>
              <w:left w:val="single" w:sz="4" w:space="0" w:color="auto"/>
              <w:bottom w:val="single" w:sz="4" w:space="0" w:color="auto"/>
            </w:tcBorders>
            <w:shd w:val="clear" w:color="auto" w:fill="E2E2E2"/>
          </w:tcPr>
          <w:p w14:paraId="7A4D4024" w14:textId="77777777" w:rsidR="00C747AF" w:rsidRPr="0093021F" w:rsidRDefault="00C747AF" w:rsidP="0026311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0A29A32" w14:textId="77777777" w:rsidR="00C747AF" w:rsidRPr="0093021F" w:rsidRDefault="00C747AF" w:rsidP="00263110">
                <w:pPr>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902200A"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Transpozícia práva EÚ</w:t>
            </w:r>
          </w:p>
        </w:tc>
      </w:tr>
      <w:tr w:rsidR="00C747AF" w:rsidRPr="0093021F" w14:paraId="52A7B027" w14:textId="77777777" w:rsidTr="00263110">
        <w:tc>
          <w:tcPr>
            <w:tcW w:w="9180" w:type="dxa"/>
            <w:gridSpan w:val="11"/>
            <w:tcBorders>
              <w:top w:val="single" w:sz="4" w:space="0" w:color="auto"/>
              <w:left w:val="single" w:sz="4" w:space="0" w:color="auto"/>
              <w:bottom w:val="single" w:sz="4" w:space="0" w:color="FFFFFF"/>
            </w:tcBorders>
            <w:shd w:val="clear" w:color="auto" w:fill="FFFFFF"/>
          </w:tcPr>
          <w:p w14:paraId="0AFACD6E"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570F4AAC" w14:textId="77777777" w:rsidTr="0026311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61DB50B" w14:textId="77777777" w:rsidR="00C747AF" w:rsidRPr="0093021F" w:rsidRDefault="00C747AF" w:rsidP="00263110">
            <w:pPr>
              <w:spacing w:after="200"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CB7178D" w14:textId="77777777" w:rsidR="00C747AF" w:rsidRPr="0093021F" w:rsidRDefault="00C747AF" w:rsidP="00263110">
            <w:pPr>
              <w:rPr>
                <w:rFonts w:ascii="Times New Roman" w:eastAsia="Times New Roman" w:hAnsi="Times New Roman" w:cs="Times New Roman"/>
                <w:i/>
                <w:sz w:val="20"/>
                <w:szCs w:val="20"/>
                <w:lang w:eastAsia="sk-SK"/>
              </w:rPr>
            </w:pPr>
          </w:p>
        </w:tc>
      </w:tr>
      <w:tr w:rsidR="00C747AF" w:rsidRPr="0093021F" w14:paraId="3E96CB18" w14:textId="77777777" w:rsidTr="0026311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0B08925" w14:textId="77777777" w:rsidR="00C747AF" w:rsidRPr="0093021F" w:rsidRDefault="00C747AF" w:rsidP="00263110">
            <w:pPr>
              <w:spacing w:after="200"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F8A100F" w14:textId="77777777" w:rsidR="00C747AF" w:rsidRPr="0093021F" w:rsidRDefault="00C747AF" w:rsidP="0026311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2023</w:t>
            </w:r>
          </w:p>
        </w:tc>
      </w:tr>
      <w:tr w:rsidR="00C747AF" w:rsidRPr="0093021F" w14:paraId="2377467C" w14:textId="77777777" w:rsidTr="0026311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9FA2D2D" w14:textId="77777777" w:rsidR="00C747AF" w:rsidRPr="0093021F" w:rsidRDefault="00C747AF" w:rsidP="00263110">
            <w:pPr>
              <w:spacing w:line="276" w:lineRule="auto"/>
              <w:ind w:left="142"/>
              <w:contextualSpacing/>
              <w:rPr>
                <w:rFonts w:ascii="Times New Roman" w:eastAsia="Calibri" w:hAnsi="Times New Roman" w:cs="Times New Roman"/>
                <w:b/>
              </w:rPr>
            </w:pPr>
            <w:r w:rsidRPr="0093021F">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DA3E439" w14:textId="77777777" w:rsidR="00C747AF" w:rsidRPr="0093021F" w:rsidRDefault="00C747AF" w:rsidP="00263110">
            <w:pPr>
              <w:rPr>
                <w:rFonts w:ascii="Times New Roman" w:eastAsia="Times New Roman" w:hAnsi="Times New Roman" w:cs="Times New Roman"/>
                <w:i/>
                <w:sz w:val="20"/>
                <w:szCs w:val="20"/>
                <w:lang w:eastAsia="sk-SK"/>
              </w:rPr>
            </w:pPr>
          </w:p>
        </w:tc>
      </w:tr>
      <w:tr w:rsidR="00C747AF" w:rsidRPr="0093021F" w14:paraId="3C84FC0D" w14:textId="77777777" w:rsidTr="0026311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1D7CC7A" w14:textId="77777777" w:rsidR="00C747AF" w:rsidRPr="0093021F" w:rsidRDefault="00C747AF" w:rsidP="00263110">
            <w:pPr>
              <w:spacing w:after="200" w:line="276" w:lineRule="auto"/>
              <w:ind w:left="142"/>
              <w:contextualSpacing/>
              <w:jc w:val="both"/>
              <w:rPr>
                <w:rFonts w:ascii="Times New Roman" w:eastAsia="Calibri" w:hAnsi="Times New Roman" w:cs="Times New Roman"/>
                <w:b/>
              </w:rPr>
            </w:pPr>
            <w:r w:rsidRPr="0093021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ECC3E76" w14:textId="77777777" w:rsidR="00C747AF" w:rsidRPr="0093021F" w:rsidRDefault="00C747AF" w:rsidP="0026311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2023</w:t>
            </w:r>
          </w:p>
        </w:tc>
      </w:tr>
      <w:tr w:rsidR="00C747AF" w:rsidRPr="0093021F" w14:paraId="55B6BB36" w14:textId="77777777" w:rsidTr="00263110">
        <w:tc>
          <w:tcPr>
            <w:tcW w:w="9180" w:type="dxa"/>
            <w:gridSpan w:val="11"/>
            <w:tcBorders>
              <w:top w:val="single" w:sz="4" w:space="0" w:color="auto"/>
              <w:left w:val="nil"/>
              <w:bottom w:val="single" w:sz="4" w:space="0" w:color="auto"/>
              <w:right w:val="nil"/>
            </w:tcBorders>
            <w:shd w:val="clear" w:color="auto" w:fill="FFFFFF"/>
          </w:tcPr>
          <w:p w14:paraId="54C647A0"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488EA896" w14:textId="77777777" w:rsidTr="002631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38EAA5"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Definovanie problému</w:t>
            </w:r>
          </w:p>
        </w:tc>
      </w:tr>
      <w:tr w:rsidR="00C747AF" w:rsidRPr="0093021F" w14:paraId="35A50B67" w14:textId="77777777" w:rsidTr="0026311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3E66ADF" w14:textId="77777777" w:rsidR="00C747AF" w:rsidRPr="0093021F" w:rsidRDefault="00C747AF" w:rsidP="00263110">
            <w:pPr>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Predkladaným návrhom</w:t>
            </w:r>
            <w:r>
              <w:rPr>
                <w:rFonts w:ascii="Times New Roman" w:eastAsia="Times New Roman" w:hAnsi="Times New Roman" w:cs="Times New Roman"/>
                <w:sz w:val="20"/>
                <w:szCs w:val="20"/>
                <w:lang w:eastAsia="sk-SK"/>
              </w:rPr>
              <w:t xml:space="preserve"> zákona</w:t>
            </w:r>
            <w:r w:rsidRPr="0093021F">
              <w:rPr>
                <w:rFonts w:ascii="Times New Roman" w:eastAsia="Times New Roman" w:hAnsi="Times New Roman" w:cs="Times New Roman"/>
                <w:sz w:val="20"/>
                <w:szCs w:val="20"/>
                <w:lang w:eastAsia="sk-SK"/>
              </w:rPr>
              <w:t xml:space="preserve"> sa implementuje </w:t>
            </w:r>
            <w:r>
              <w:rPr>
                <w:rFonts w:ascii="Times New Roman" w:eastAsia="Times New Roman" w:hAnsi="Times New Roman" w:cs="Times New Roman"/>
                <w:sz w:val="20"/>
                <w:szCs w:val="20"/>
                <w:lang w:eastAsia="sk-SK"/>
              </w:rPr>
              <w:t>n</w:t>
            </w:r>
            <w:r w:rsidRPr="0093021F">
              <w:rPr>
                <w:rFonts w:ascii="Times New Roman" w:eastAsia="Times New Roman" w:hAnsi="Times New Roman" w:cs="Times New Roman"/>
                <w:sz w:val="20"/>
                <w:szCs w:val="20"/>
                <w:lang w:eastAsia="sk-SK"/>
              </w:rPr>
              <w:t xml:space="preserve">ariadenie Európskeho parlamentu a Rady (EÚ) 2022/1925 zo 14. septembra 2022 o </w:t>
            </w:r>
            <w:proofErr w:type="spellStart"/>
            <w:r w:rsidRPr="0093021F">
              <w:rPr>
                <w:rFonts w:ascii="Times New Roman" w:eastAsia="Times New Roman" w:hAnsi="Times New Roman" w:cs="Times New Roman"/>
                <w:sz w:val="20"/>
                <w:szCs w:val="20"/>
                <w:lang w:eastAsia="sk-SK"/>
              </w:rPr>
              <w:t>súťažeschopných</w:t>
            </w:r>
            <w:proofErr w:type="spellEnd"/>
            <w:r w:rsidRPr="0093021F">
              <w:rPr>
                <w:rFonts w:ascii="Times New Roman" w:eastAsia="Times New Roman" w:hAnsi="Times New Roman" w:cs="Times New Roman"/>
                <w:sz w:val="20"/>
                <w:szCs w:val="20"/>
                <w:lang w:eastAsia="sk-SK"/>
              </w:rPr>
              <w:t xml:space="preserve"> a spravodlivých trhoch digitálneho sektora a o zmene smerníc (EÚ) 2019/1937</w:t>
            </w:r>
            <w:r>
              <w:rPr>
                <w:rFonts w:ascii="Times New Roman" w:eastAsia="Times New Roman" w:hAnsi="Times New Roman" w:cs="Times New Roman"/>
                <w:sz w:val="20"/>
                <w:szCs w:val="20"/>
                <w:lang w:eastAsia="sk-SK"/>
              </w:rPr>
              <w:t xml:space="preserve"> </w:t>
            </w:r>
            <w:r w:rsidRPr="0093021F">
              <w:rPr>
                <w:rFonts w:ascii="Times New Roman" w:eastAsia="Times New Roman" w:hAnsi="Times New Roman" w:cs="Times New Roman"/>
                <w:sz w:val="20"/>
                <w:szCs w:val="20"/>
                <w:lang w:eastAsia="sk-SK"/>
              </w:rPr>
              <w:t xml:space="preserve">a (EÚ) 2020/1828 (akt o digitálnych trhoch) (Ú. v. EÚ L 265, 12.10.2022) (ďalej len „nariadenie DMA“) a </w:t>
            </w:r>
            <w:r>
              <w:rPr>
                <w:rFonts w:ascii="Times New Roman" w:eastAsia="Times New Roman" w:hAnsi="Times New Roman" w:cs="Times New Roman"/>
                <w:sz w:val="20"/>
                <w:szCs w:val="20"/>
                <w:lang w:eastAsia="sk-SK"/>
              </w:rPr>
              <w:t>n</w:t>
            </w:r>
            <w:r w:rsidRPr="0093021F">
              <w:rPr>
                <w:rFonts w:ascii="Times New Roman" w:eastAsia="Times New Roman" w:hAnsi="Times New Roman" w:cs="Times New Roman"/>
                <w:sz w:val="20"/>
                <w:szCs w:val="20"/>
                <w:lang w:eastAsia="sk-SK"/>
              </w:rPr>
              <w:t>ariadenie Európskeho parlamentu a Rady (EÚ) 2022/2560 zo 14. decembra 2022 o zahraničných subvenciách narúšajúcich vnútorný trh (Ú. v. EÚ L 330, 23.12.2022) (ďalej len „</w:t>
            </w:r>
            <w:r w:rsidRPr="005E02C7">
              <w:rPr>
                <w:rFonts w:ascii="Times New Roman" w:eastAsia="Times New Roman" w:hAnsi="Times New Roman" w:cs="Times New Roman"/>
                <w:sz w:val="20"/>
                <w:szCs w:val="20"/>
                <w:lang w:eastAsia="sk-SK"/>
              </w:rPr>
              <w:t>nariadenie o zahraničných subvenciách</w:t>
            </w:r>
            <w:r w:rsidRPr="0093021F">
              <w:rPr>
                <w:rFonts w:ascii="Times New Roman" w:eastAsia="Times New Roman" w:hAnsi="Times New Roman" w:cs="Times New Roman"/>
                <w:sz w:val="20"/>
                <w:szCs w:val="20"/>
                <w:lang w:eastAsia="sk-SK"/>
              </w:rPr>
              <w:t xml:space="preserve">“). Na základe uznesenia vlády Slovenskej republiky č. 15 z 11. januára 2023 boli Protimonopolný úrad </w:t>
            </w:r>
            <w:r>
              <w:rPr>
                <w:rFonts w:ascii="Times New Roman" w:eastAsia="Times New Roman" w:hAnsi="Times New Roman" w:cs="Times New Roman"/>
                <w:sz w:val="20"/>
                <w:szCs w:val="20"/>
                <w:lang w:eastAsia="sk-SK"/>
              </w:rPr>
              <w:t>Slovenskej republiky</w:t>
            </w:r>
            <w:r w:rsidRPr="0093021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(ďalej len „úrad“) </w:t>
            </w:r>
            <w:r w:rsidRPr="0093021F">
              <w:rPr>
                <w:rFonts w:ascii="Times New Roman" w:eastAsia="Times New Roman" w:hAnsi="Times New Roman" w:cs="Times New Roman"/>
                <w:sz w:val="20"/>
                <w:szCs w:val="20"/>
                <w:lang w:eastAsia="sk-SK"/>
              </w:rPr>
              <w:t xml:space="preserve">a Ministerstvo hospodárstva </w:t>
            </w:r>
            <w:r>
              <w:rPr>
                <w:rFonts w:ascii="Times New Roman" w:eastAsia="Times New Roman" w:hAnsi="Times New Roman" w:cs="Times New Roman"/>
                <w:sz w:val="20"/>
                <w:szCs w:val="20"/>
                <w:lang w:eastAsia="sk-SK"/>
              </w:rPr>
              <w:t>Slovenskej republiky</w:t>
            </w:r>
            <w:r w:rsidRPr="0093021F">
              <w:rPr>
                <w:rFonts w:ascii="Times New Roman" w:eastAsia="Times New Roman" w:hAnsi="Times New Roman" w:cs="Times New Roman"/>
                <w:sz w:val="20"/>
                <w:szCs w:val="20"/>
                <w:lang w:eastAsia="sk-SK"/>
              </w:rPr>
              <w:t xml:space="preserve"> určení ako gestor nariadenia DMA. Návrh zákona obsahuje zmeny týkajúce sa nových kompetenci</w:t>
            </w:r>
            <w:r>
              <w:rPr>
                <w:rFonts w:ascii="Times New Roman" w:eastAsia="Times New Roman" w:hAnsi="Times New Roman" w:cs="Times New Roman"/>
                <w:sz w:val="20"/>
                <w:szCs w:val="20"/>
                <w:lang w:eastAsia="sk-SK"/>
              </w:rPr>
              <w:t>í</w:t>
            </w:r>
            <w:r w:rsidRPr="0093021F">
              <w:rPr>
                <w:rFonts w:ascii="Times New Roman" w:eastAsia="Times New Roman" w:hAnsi="Times New Roman" w:cs="Times New Roman"/>
                <w:sz w:val="20"/>
                <w:szCs w:val="20"/>
                <w:lang w:eastAsia="sk-SK"/>
              </w:rPr>
              <w:t xml:space="preserve"> a povinností vyplývajúcich z vyššie uvedených nariadení. </w:t>
            </w:r>
          </w:p>
          <w:p w14:paraId="599EA176" w14:textId="77777777" w:rsidR="00C747AF" w:rsidRPr="0093021F" w:rsidRDefault="00C747AF" w:rsidP="00263110">
            <w:pPr>
              <w:jc w:val="both"/>
              <w:rPr>
                <w:rFonts w:ascii="Times New Roman" w:eastAsia="Times New Roman" w:hAnsi="Times New Roman" w:cs="Times New Roman"/>
                <w:b/>
                <w:sz w:val="20"/>
                <w:szCs w:val="20"/>
                <w:lang w:eastAsia="sk-SK"/>
              </w:rPr>
            </w:pPr>
          </w:p>
        </w:tc>
      </w:tr>
      <w:tr w:rsidR="00C747AF" w:rsidRPr="0093021F" w14:paraId="518F18AD" w14:textId="77777777" w:rsidTr="00263110">
        <w:tc>
          <w:tcPr>
            <w:tcW w:w="9180" w:type="dxa"/>
            <w:gridSpan w:val="11"/>
            <w:tcBorders>
              <w:top w:val="single" w:sz="4" w:space="0" w:color="auto"/>
              <w:left w:val="single" w:sz="4" w:space="0" w:color="auto"/>
              <w:bottom w:val="nil"/>
              <w:right w:val="single" w:sz="4" w:space="0" w:color="auto"/>
            </w:tcBorders>
            <w:shd w:val="clear" w:color="auto" w:fill="E2E2E2"/>
          </w:tcPr>
          <w:p w14:paraId="17B3389A"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Ciele a výsledný stav</w:t>
            </w:r>
          </w:p>
        </w:tc>
      </w:tr>
      <w:tr w:rsidR="00C747AF" w:rsidRPr="0093021F" w14:paraId="0D719C19" w14:textId="77777777" w:rsidTr="0026311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9B28F8B" w14:textId="77777777" w:rsidR="00C747AF" w:rsidRPr="0093021F" w:rsidRDefault="00C747AF" w:rsidP="00263110">
            <w:pPr>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Ako je uvedené vyššie</w:t>
            </w:r>
            <w:r>
              <w:rPr>
                <w:rFonts w:ascii="Times New Roman" w:eastAsia="Times New Roman" w:hAnsi="Times New Roman" w:cs="Times New Roman"/>
                <w:sz w:val="20"/>
                <w:szCs w:val="20"/>
                <w:lang w:eastAsia="sk-SK"/>
              </w:rPr>
              <w:t>,</w:t>
            </w:r>
            <w:r w:rsidRPr="0093021F">
              <w:rPr>
                <w:rFonts w:ascii="Times New Roman" w:eastAsia="Times New Roman" w:hAnsi="Times New Roman" w:cs="Times New Roman"/>
                <w:sz w:val="20"/>
                <w:szCs w:val="20"/>
                <w:lang w:eastAsia="sk-SK"/>
              </w:rPr>
              <w:t xml:space="preserve"> návrhom zákona sa implementujú nariadenie DMA a </w:t>
            </w:r>
            <w:r w:rsidRPr="00B24A74">
              <w:rPr>
                <w:rFonts w:ascii="Times New Roman" w:eastAsia="Times New Roman" w:hAnsi="Times New Roman" w:cs="Times New Roman"/>
                <w:sz w:val="20"/>
                <w:szCs w:val="20"/>
                <w:lang w:eastAsia="sk-SK"/>
              </w:rPr>
              <w:t>nariadenie o zahraničných subvenciách</w:t>
            </w:r>
            <w:r w:rsidRPr="0093021F">
              <w:rPr>
                <w:rFonts w:ascii="Times New Roman" w:eastAsia="Times New Roman" w:hAnsi="Times New Roman" w:cs="Times New Roman"/>
                <w:sz w:val="20"/>
                <w:szCs w:val="20"/>
                <w:lang w:eastAsia="sk-SK"/>
              </w:rPr>
              <w:t>. Cieľom nariadenia DMA je doplniť presadzovanie práva hospodárskej súťaže, zároveň by sa malo bez toho,</w:t>
            </w:r>
            <w:r>
              <w:rPr>
                <w:rFonts w:ascii="Times New Roman" w:eastAsia="Times New Roman" w:hAnsi="Times New Roman" w:cs="Times New Roman"/>
                <w:sz w:val="20"/>
                <w:szCs w:val="20"/>
                <w:lang w:eastAsia="sk-SK"/>
              </w:rPr>
              <w:t xml:space="preserve"> </w:t>
            </w:r>
            <w:r w:rsidRPr="0093021F">
              <w:rPr>
                <w:rFonts w:ascii="Times New Roman" w:eastAsia="Times New Roman" w:hAnsi="Times New Roman" w:cs="Times New Roman"/>
                <w:sz w:val="20"/>
                <w:szCs w:val="20"/>
                <w:lang w:eastAsia="sk-SK"/>
              </w:rPr>
              <w:t>aby boli dotknuté články 101 a 102 ZFEÚ, uplatňovať na zodpovedajúce vnútroštátne pravidlá hospodárskej súťaže a iné vnútroštátne pravidlá hospodárskej súťaže týkajúce sa jednostranného správania</w:t>
            </w:r>
            <w:r>
              <w:rPr>
                <w:rFonts w:ascii="Times New Roman" w:eastAsia="Times New Roman" w:hAnsi="Times New Roman" w:cs="Times New Roman"/>
                <w:sz w:val="20"/>
                <w:szCs w:val="20"/>
                <w:lang w:eastAsia="sk-SK"/>
              </w:rPr>
              <w:t xml:space="preserve"> podnikov</w:t>
            </w:r>
            <w:r w:rsidRPr="0093021F">
              <w:rPr>
                <w:rFonts w:ascii="Times New Roman" w:eastAsia="Times New Roman" w:hAnsi="Times New Roman" w:cs="Times New Roman"/>
                <w:sz w:val="20"/>
                <w:szCs w:val="20"/>
                <w:lang w:eastAsia="sk-SK"/>
              </w:rPr>
              <w:t>, ktoré sú založené</w:t>
            </w:r>
            <w:r>
              <w:rPr>
                <w:rFonts w:ascii="Times New Roman" w:eastAsia="Times New Roman" w:hAnsi="Times New Roman" w:cs="Times New Roman"/>
                <w:sz w:val="20"/>
                <w:szCs w:val="20"/>
                <w:lang w:eastAsia="sk-SK"/>
              </w:rPr>
              <w:t xml:space="preserve"> </w:t>
            </w:r>
            <w:r w:rsidRPr="0093021F">
              <w:rPr>
                <w:rFonts w:ascii="Times New Roman" w:eastAsia="Times New Roman" w:hAnsi="Times New Roman" w:cs="Times New Roman"/>
                <w:sz w:val="20"/>
                <w:szCs w:val="20"/>
                <w:lang w:eastAsia="sk-SK"/>
              </w:rPr>
              <w:t>na</w:t>
            </w:r>
            <w:r>
              <w:rPr>
                <w:rFonts w:ascii="Times New Roman" w:eastAsia="Times New Roman" w:hAnsi="Times New Roman" w:cs="Times New Roman"/>
                <w:sz w:val="20"/>
                <w:szCs w:val="20"/>
                <w:lang w:eastAsia="sk-SK"/>
              </w:rPr>
              <w:t> </w:t>
            </w:r>
            <w:r w:rsidRPr="0093021F">
              <w:rPr>
                <w:rFonts w:ascii="Times New Roman" w:eastAsia="Times New Roman" w:hAnsi="Times New Roman" w:cs="Times New Roman"/>
                <w:sz w:val="20"/>
                <w:szCs w:val="20"/>
                <w:lang w:eastAsia="sk-SK"/>
              </w:rPr>
              <w:t>individuálnom posudzovaní postavenia a správania na trhu, vrátane jeho skutočných alebo možných účinkov</w:t>
            </w:r>
            <w:r>
              <w:rPr>
                <w:rFonts w:ascii="Times New Roman" w:eastAsia="Times New Roman" w:hAnsi="Times New Roman" w:cs="Times New Roman"/>
                <w:sz w:val="20"/>
                <w:szCs w:val="20"/>
                <w:lang w:eastAsia="sk-SK"/>
              </w:rPr>
              <w:t xml:space="preserve"> </w:t>
            </w:r>
            <w:r w:rsidRPr="0093021F">
              <w:rPr>
                <w:rFonts w:ascii="Times New Roman" w:eastAsia="Times New Roman" w:hAnsi="Times New Roman" w:cs="Times New Roman"/>
                <w:sz w:val="20"/>
                <w:szCs w:val="20"/>
                <w:lang w:eastAsia="sk-SK"/>
              </w:rPr>
              <w:t>a presného rozsahu zakázaného správania, a ktoré podnikom umožňujú argumentovať efektívnosťou</w:t>
            </w:r>
            <w:r>
              <w:rPr>
                <w:rFonts w:ascii="Times New Roman" w:eastAsia="Times New Roman" w:hAnsi="Times New Roman" w:cs="Times New Roman"/>
                <w:sz w:val="20"/>
                <w:szCs w:val="20"/>
                <w:lang w:eastAsia="sk-SK"/>
              </w:rPr>
              <w:t xml:space="preserve"> </w:t>
            </w:r>
            <w:r w:rsidRPr="0093021F">
              <w:rPr>
                <w:rFonts w:ascii="Times New Roman" w:eastAsia="Times New Roman" w:hAnsi="Times New Roman" w:cs="Times New Roman"/>
                <w:sz w:val="20"/>
                <w:szCs w:val="20"/>
                <w:lang w:eastAsia="sk-SK"/>
              </w:rPr>
              <w:t>a objektívnym odôvodnením predmetného správania, ako aj na vnútroštátne pravidlá týkajúce sa kontroly fúzií.</w:t>
            </w:r>
          </w:p>
          <w:p w14:paraId="5239BA83" w14:textId="77777777" w:rsidR="00C747AF" w:rsidRPr="0093021F" w:rsidRDefault="00C747AF" w:rsidP="00263110">
            <w:pPr>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Uplatňovanie uvedených pravidiel by však nemalo mať vplyv na povinnosti uložené strážcom prístupu podľa nariadenia DMA a na ich jednotné a účinné uplatňovanie na vnútornom trhu. Cieľom </w:t>
            </w:r>
            <w:r>
              <w:rPr>
                <w:rFonts w:ascii="Times New Roman" w:eastAsia="Times New Roman" w:hAnsi="Times New Roman" w:cs="Times New Roman"/>
                <w:sz w:val="20"/>
                <w:szCs w:val="20"/>
                <w:lang w:eastAsia="sk-SK"/>
              </w:rPr>
              <w:t>nariadenia</w:t>
            </w:r>
            <w:r w:rsidRPr="00B24A74">
              <w:rPr>
                <w:rFonts w:ascii="Times New Roman" w:eastAsia="Times New Roman" w:hAnsi="Times New Roman" w:cs="Times New Roman"/>
                <w:sz w:val="20"/>
                <w:szCs w:val="20"/>
                <w:lang w:eastAsia="sk-SK"/>
              </w:rPr>
              <w:t xml:space="preserve"> o zahraničných subvenciách</w:t>
            </w:r>
            <w:r w:rsidRPr="0093021F">
              <w:rPr>
                <w:rFonts w:ascii="Times New Roman" w:eastAsia="Times New Roman" w:hAnsi="Times New Roman" w:cs="Times New Roman"/>
                <w:sz w:val="20"/>
                <w:szCs w:val="20"/>
                <w:lang w:eastAsia="sk-SK"/>
              </w:rPr>
              <w:t xml:space="preserve"> je zabezpečiť rovnaké podmienky na celom vnútornom trhu a konzistentnosť. </w:t>
            </w:r>
            <w:r>
              <w:rPr>
                <w:rFonts w:ascii="Times New Roman" w:eastAsia="Times New Roman" w:hAnsi="Times New Roman" w:cs="Times New Roman"/>
                <w:sz w:val="20"/>
                <w:szCs w:val="20"/>
                <w:lang w:eastAsia="sk-SK"/>
              </w:rPr>
              <w:t>J</w:t>
            </w:r>
            <w:r w:rsidRPr="0093021F">
              <w:rPr>
                <w:rFonts w:ascii="Times New Roman" w:eastAsia="Times New Roman" w:hAnsi="Times New Roman" w:cs="Times New Roman"/>
                <w:sz w:val="20"/>
                <w:szCs w:val="20"/>
                <w:lang w:eastAsia="sk-SK"/>
              </w:rPr>
              <w:t>ediným orgánom príslušným na uplatňovanie ustanovení tohto nariadenia</w:t>
            </w:r>
            <w:r>
              <w:rPr>
                <w:rFonts w:ascii="Times New Roman" w:eastAsia="Times New Roman" w:hAnsi="Times New Roman" w:cs="Times New Roman"/>
                <w:sz w:val="20"/>
                <w:szCs w:val="20"/>
                <w:lang w:eastAsia="sk-SK"/>
              </w:rPr>
              <w:t xml:space="preserve"> je Európska komisia</w:t>
            </w:r>
            <w:r w:rsidRPr="0093021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Európska k</w:t>
            </w:r>
            <w:r w:rsidRPr="0093021F">
              <w:rPr>
                <w:rFonts w:ascii="Times New Roman" w:eastAsia="Times New Roman" w:hAnsi="Times New Roman" w:cs="Times New Roman"/>
                <w:sz w:val="20"/>
                <w:szCs w:val="20"/>
                <w:lang w:eastAsia="sk-SK"/>
              </w:rPr>
              <w:t xml:space="preserve">omisia </w:t>
            </w:r>
            <w:r>
              <w:rPr>
                <w:rFonts w:ascii="Times New Roman" w:eastAsia="Times New Roman" w:hAnsi="Times New Roman" w:cs="Times New Roman"/>
                <w:sz w:val="20"/>
                <w:szCs w:val="20"/>
                <w:lang w:eastAsia="sk-SK"/>
              </w:rPr>
              <w:t xml:space="preserve">disponuje </w:t>
            </w:r>
            <w:r w:rsidRPr="0093021F">
              <w:rPr>
                <w:rFonts w:ascii="Times New Roman" w:eastAsia="Times New Roman" w:hAnsi="Times New Roman" w:cs="Times New Roman"/>
                <w:sz w:val="20"/>
                <w:szCs w:val="20"/>
                <w:lang w:eastAsia="sk-SK"/>
              </w:rPr>
              <w:t>právomoc</w:t>
            </w:r>
            <w:r>
              <w:rPr>
                <w:rFonts w:ascii="Times New Roman" w:eastAsia="Times New Roman" w:hAnsi="Times New Roman" w:cs="Times New Roman"/>
                <w:sz w:val="20"/>
                <w:szCs w:val="20"/>
                <w:lang w:eastAsia="sk-SK"/>
              </w:rPr>
              <w:t>ou</w:t>
            </w:r>
            <w:r w:rsidRPr="0093021F">
              <w:rPr>
                <w:rFonts w:ascii="Times New Roman" w:eastAsia="Times New Roman" w:hAnsi="Times New Roman" w:cs="Times New Roman"/>
                <w:sz w:val="20"/>
                <w:szCs w:val="20"/>
                <w:lang w:eastAsia="sk-SK"/>
              </w:rPr>
              <w:t xml:space="preserve"> z vlastnej iniciatívy preskúmať všetky zahraničné subvencie v akomkoľvek odvetví hospodárstva, pokiaľ patria do rozsahu pôsobnosti </w:t>
            </w:r>
            <w:r>
              <w:rPr>
                <w:rFonts w:ascii="Times New Roman" w:eastAsia="Times New Roman" w:hAnsi="Times New Roman" w:cs="Times New Roman"/>
                <w:sz w:val="20"/>
                <w:szCs w:val="20"/>
                <w:lang w:eastAsia="sk-SK"/>
              </w:rPr>
              <w:t>nariadenia</w:t>
            </w:r>
            <w:r w:rsidRPr="00B24A74">
              <w:rPr>
                <w:rFonts w:ascii="Times New Roman" w:eastAsia="Times New Roman" w:hAnsi="Times New Roman" w:cs="Times New Roman"/>
                <w:sz w:val="20"/>
                <w:szCs w:val="20"/>
                <w:lang w:eastAsia="sk-SK"/>
              </w:rPr>
              <w:t xml:space="preserve"> o zahraničných subvenciách</w:t>
            </w:r>
            <w:r w:rsidRPr="0093021F">
              <w:rPr>
                <w:rFonts w:ascii="Times New Roman" w:eastAsia="Times New Roman" w:hAnsi="Times New Roman" w:cs="Times New Roman"/>
                <w:sz w:val="20"/>
                <w:szCs w:val="20"/>
                <w:lang w:eastAsia="sk-SK"/>
              </w:rPr>
              <w:t xml:space="preserve">, a využívať pri tom informácie zo všetkých dostupných zdrojov. </w:t>
            </w:r>
            <w:r>
              <w:rPr>
                <w:rFonts w:ascii="Times New Roman" w:eastAsia="Times New Roman" w:hAnsi="Times New Roman" w:cs="Times New Roman"/>
                <w:sz w:val="20"/>
                <w:szCs w:val="20"/>
                <w:lang w:eastAsia="sk-SK"/>
              </w:rPr>
              <w:t>Európska</w:t>
            </w:r>
            <w:r w:rsidRPr="0093021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k</w:t>
            </w:r>
            <w:r w:rsidRPr="0093021F">
              <w:rPr>
                <w:rFonts w:ascii="Times New Roman" w:eastAsia="Times New Roman" w:hAnsi="Times New Roman" w:cs="Times New Roman"/>
                <w:sz w:val="20"/>
                <w:szCs w:val="20"/>
                <w:lang w:eastAsia="sk-SK"/>
              </w:rPr>
              <w:t xml:space="preserve">omisia na zabezpečenie účinnej kontroly osobitne v prípade veľkých koncentrácií (fúzií a akvizícií) a postupov verejného obstarávania presahujúcich určité finančné limity </w:t>
            </w:r>
            <w:r>
              <w:rPr>
                <w:rFonts w:ascii="Times New Roman" w:eastAsia="Times New Roman" w:hAnsi="Times New Roman" w:cs="Times New Roman"/>
                <w:sz w:val="20"/>
                <w:szCs w:val="20"/>
                <w:lang w:eastAsia="sk-SK"/>
              </w:rPr>
              <w:t>disponuje</w:t>
            </w:r>
            <w:r w:rsidRPr="0093021F">
              <w:rPr>
                <w:rFonts w:ascii="Times New Roman" w:eastAsia="Times New Roman" w:hAnsi="Times New Roman" w:cs="Times New Roman"/>
                <w:sz w:val="20"/>
                <w:szCs w:val="20"/>
                <w:lang w:eastAsia="sk-SK"/>
              </w:rPr>
              <w:t xml:space="preserve"> právomoc</w:t>
            </w:r>
            <w:r>
              <w:rPr>
                <w:rFonts w:ascii="Times New Roman" w:eastAsia="Times New Roman" w:hAnsi="Times New Roman" w:cs="Times New Roman"/>
                <w:sz w:val="20"/>
                <w:szCs w:val="20"/>
                <w:lang w:eastAsia="sk-SK"/>
              </w:rPr>
              <w:t>ou</w:t>
            </w:r>
            <w:r w:rsidRPr="0093021F">
              <w:rPr>
                <w:rFonts w:ascii="Times New Roman" w:eastAsia="Times New Roman" w:hAnsi="Times New Roman" w:cs="Times New Roman"/>
                <w:sz w:val="20"/>
                <w:szCs w:val="20"/>
                <w:lang w:eastAsia="sk-SK"/>
              </w:rPr>
              <w:t xml:space="preserve"> preskúmať zahraničné subvencie na základe predchádzajúceho oznámenia, ktoré podnik predloží </w:t>
            </w:r>
            <w:r>
              <w:rPr>
                <w:rFonts w:ascii="Times New Roman" w:eastAsia="Times New Roman" w:hAnsi="Times New Roman" w:cs="Times New Roman"/>
                <w:sz w:val="20"/>
                <w:szCs w:val="20"/>
                <w:lang w:eastAsia="sk-SK"/>
              </w:rPr>
              <w:t xml:space="preserve"> Európskej</w:t>
            </w:r>
            <w:r w:rsidRPr="0093021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k</w:t>
            </w:r>
            <w:r w:rsidRPr="0093021F">
              <w:rPr>
                <w:rFonts w:ascii="Times New Roman" w:eastAsia="Times New Roman" w:hAnsi="Times New Roman" w:cs="Times New Roman"/>
                <w:sz w:val="20"/>
                <w:szCs w:val="20"/>
                <w:lang w:eastAsia="sk-SK"/>
              </w:rPr>
              <w:t>omisii.</w:t>
            </w:r>
          </w:p>
          <w:p w14:paraId="0BB5068A" w14:textId="77777777" w:rsidR="00C747AF" w:rsidRPr="0093021F" w:rsidRDefault="00C747AF" w:rsidP="00263110">
            <w:pPr>
              <w:rPr>
                <w:rFonts w:ascii="Times New Roman" w:eastAsia="Times New Roman" w:hAnsi="Times New Roman" w:cs="Times New Roman"/>
                <w:sz w:val="20"/>
                <w:szCs w:val="20"/>
                <w:lang w:eastAsia="sk-SK"/>
              </w:rPr>
            </w:pPr>
          </w:p>
          <w:p w14:paraId="3AC89288"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Návrh </w:t>
            </w:r>
            <w:r>
              <w:rPr>
                <w:rFonts w:ascii="Times New Roman" w:eastAsia="Times New Roman" w:hAnsi="Times New Roman" w:cs="Times New Roman"/>
                <w:sz w:val="20"/>
                <w:szCs w:val="20"/>
                <w:lang w:eastAsia="sk-SK"/>
              </w:rPr>
              <w:t>zákona</w:t>
            </w:r>
            <w:r w:rsidRPr="0093021F">
              <w:rPr>
                <w:rFonts w:ascii="Times New Roman" w:eastAsia="Times New Roman" w:hAnsi="Times New Roman" w:cs="Times New Roman"/>
                <w:sz w:val="20"/>
                <w:szCs w:val="20"/>
                <w:lang w:eastAsia="sk-SK"/>
              </w:rPr>
              <w:t xml:space="preserve"> zakotvuj</w:t>
            </w:r>
            <w:r>
              <w:rPr>
                <w:rFonts w:ascii="Times New Roman" w:eastAsia="Times New Roman" w:hAnsi="Times New Roman" w:cs="Times New Roman"/>
                <w:sz w:val="20"/>
                <w:szCs w:val="20"/>
                <w:lang w:eastAsia="sk-SK"/>
              </w:rPr>
              <w:t>e</w:t>
            </w:r>
            <w:r w:rsidRPr="0093021F">
              <w:rPr>
                <w:rFonts w:ascii="Times New Roman" w:eastAsia="Times New Roman" w:hAnsi="Times New Roman" w:cs="Times New Roman"/>
                <w:sz w:val="20"/>
                <w:szCs w:val="20"/>
                <w:lang w:eastAsia="sk-SK"/>
              </w:rPr>
              <w:t xml:space="preserve"> nové úlohy a povinnosti, ktoré úradu z nariadenia DMA a </w:t>
            </w:r>
            <w:r>
              <w:rPr>
                <w:rFonts w:ascii="Times New Roman" w:eastAsia="Times New Roman" w:hAnsi="Times New Roman" w:cs="Times New Roman"/>
                <w:sz w:val="20"/>
                <w:szCs w:val="20"/>
                <w:lang w:eastAsia="sk-SK"/>
              </w:rPr>
              <w:t>nariadenia</w:t>
            </w:r>
            <w:r w:rsidRPr="00B24A74">
              <w:rPr>
                <w:rFonts w:ascii="Times New Roman" w:eastAsia="Times New Roman" w:hAnsi="Times New Roman" w:cs="Times New Roman"/>
                <w:sz w:val="20"/>
                <w:szCs w:val="20"/>
                <w:lang w:eastAsia="sk-SK"/>
              </w:rPr>
              <w:t xml:space="preserve"> o zahraničných subvenciách</w:t>
            </w:r>
            <w:r w:rsidRPr="0093021F">
              <w:rPr>
                <w:rFonts w:ascii="Times New Roman" w:eastAsia="Times New Roman" w:hAnsi="Times New Roman" w:cs="Times New Roman"/>
                <w:sz w:val="20"/>
                <w:szCs w:val="20"/>
                <w:lang w:eastAsia="sk-SK"/>
              </w:rPr>
              <w:t xml:space="preserve"> vyplývajú.</w:t>
            </w:r>
          </w:p>
          <w:p w14:paraId="3BAA404D"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33DA2073" w14:textId="77777777" w:rsidTr="00263110">
        <w:tc>
          <w:tcPr>
            <w:tcW w:w="9180" w:type="dxa"/>
            <w:gridSpan w:val="11"/>
            <w:tcBorders>
              <w:top w:val="single" w:sz="4" w:space="0" w:color="auto"/>
              <w:left w:val="single" w:sz="4" w:space="0" w:color="auto"/>
              <w:bottom w:val="nil"/>
              <w:right w:val="single" w:sz="4" w:space="0" w:color="auto"/>
            </w:tcBorders>
            <w:shd w:val="clear" w:color="auto" w:fill="E2E2E2"/>
          </w:tcPr>
          <w:p w14:paraId="5A7E218E"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lastRenderedPageBreak/>
              <w:t>Dotknuté subjekty</w:t>
            </w:r>
          </w:p>
        </w:tc>
      </w:tr>
      <w:tr w:rsidR="00C747AF" w:rsidRPr="0093021F" w14:paraId="0A4D1482" w14:textId="77777777" w:rsidTr="00263110">
        <w:tc>
          <w:tcPr>
            <w:tcW w:w="9180" w:type="dxa"/>
            <w:gridSpan w:val="11"/>
            <w:tcBorders>
              <w:top w:val="nil"/>
              <w:left w:val="single" w:sz="4" w:space="0" w:color="auto"/>
              <w:bottom w:val="single" w:sz="4" w:space="0" w:color="auto"/>
              <w:right w:val="single" w:sz="4" w:space="0" w:color="auto"/>
            </w:tcBorders>
            <w:shd w:val="clear" w:color="auto" w:fill="FFFFFF"/>
          </w:tcPr>
          <w:p w14:paraId="521BA9C7" w14:textId="77777777" w:rsidR="00C747AF" w:rsidRPr="0093021F" w:rsidRDefault="00C747AF" w:rsidP="00263110">
            <w:pPr>
              <w:jc w:val="both"/>
              <w:rPr>
                <w:rFonts w:ascii="Times New Roman" w:eastAsia="Times New Roman" w:hAnsi="Times New Roman" w:cs="Times New Roman"/>
                <w:sz w:val="20"/>
                <w:szCs w:val="20"/>
                <w:lang w:eastAsia="sk-SK"/>
              </w:rPr>
            </w:pPr>
            <w:r>
              <w:rPr>
                <w:rFonts w:ascii="Times New Roman" w:hAnsi="Times New Roman" w:cs="Times New Roman"/>
                <w:sz w:val="20"/>
                <w:szCs w:val="20"/>
              </w:rPr>
              <w:t xml:space="preserve">Nariadenie DMA a nariadenie o zahraničných subvenciách </w:t>
            </w:r>
            <w:r w:rsidRPr="0093021F">
              <w:rPr>
                <w:rFonts w:ascii="Times New Roman" w:hAnsi="Times New Roman" w:cs="Times New Roman"/>
                <w:sz w:val="20"/>
                <w:szCs w:val="20"/>
              </w:rPr>
              <w:t xml:space="preserve">priamo ustanovuje povinnosti pre </w:t>
            </w:r>
            <w:r>
              <w:rPr>
                <w:rFonts w:ascii="Times New Roman" w:hAnsi="Times New Roman" w:cs="Times New Roman"/>
                <w:sz w:val="20"/>
                <w:szCs w:val="20"/>
              </w:rPr>
              <w:t xml:space="preserve">niektorých </w:t>
            </w:r>
            <w:r w:rsidRPr="0093021F">
              <w:rPr>
                <w:rFonts w:ascii="Times New Roman" w:hAnsi="Times New Roman" w:cs="Times New Roman"/>
                <w:sz w:val="20"/>
                <w:szCs w:val="20"/>
              </w:rPr>
              <w:t>podnikateľov</w:t>
            </w:r>
            <w:r>
              <w:rPr>
                <w:rFonts w:ascii="Times New Roman" w:hAnsi="Times New Roman" w:cs="Times New Roman"/>
                <w:sz w:val="20"/>
                <w:szCs w:val="20"/>
              </w:rPr>
              <w:t>. V prípade nariadenia DMA ide o veľké platformy, ktoré na území Slovenskej republiky pôsobia, avšak priamo nesídlia, príp. o podnikateľov, ktorí sú aktivitami veľkých platforiem dotknutí (využívajú ich služby alebo s nimi spolupracujú). Podľa nariadenia o zahraničných subvenciách pôjde najmä o podnikateľov, ktorí dostali zahraničnú subvenciu, ktorej c</w:t>
            </w:r>
            <w:r w:rsidRPr="00AD7F30">
              <w:rPr>
                <w:rFonts w:ascii="Times New Roman" w:hAnsi="Times New Roman" w:cs="Times New Roman"/>
                <w:sz w:val="20"/>
                <w:szCs w:val="20"/>
              </w:rPr>
              <w:t>elková výška presahuje 4 milióny EUR počas akéhokoľvek obdobia troch po sebe nasledujúcich rokov</w:t>
            </w:r>
            <w:r>
              <w:rPr>
                <w:rFonts w:ascii="Times New Roman" w:hAnsi="Times New Roman" w:cs="Times New Roman"/>
                <w:sz w:val="20"/>
                <w:szCs w:val="20"/>
              </w:rPr>
              <w:t xml:space="preserve">. Títo podnikatelia však budú dotknutí priamo návrhom nariadenia, teda uplatňovaním právomocí </w:t>
            </w:r>
            <w:r>
              <w:rPr>
                <w:rFonts w:ascii="Times New Roman" w:eastAsia="Times New Roman" w:hAnsi="Times New Roman" w:cs="Times New Roman"/>
                <w:sz w:val="20"/>
                <w:szCs w:val="20"/>
                <w:lang w:eastAsia="sk-SK"/>
              </w:rPr>
              <w:t>Európskou k</w:t>
            </w:r>
            <w:r>
              <w:rPr>
                <w:rFonts w:ascii="Times New Roman" w:hAnsi="Times New Roman" w:cs="Times New Roman"/>
                <w:sz w:val="20"/>
                <w:szCs w:val="20"/>
              </w:rPr>
              <w:t xml:space="preserve">omisiou, nie plnením si povinností úradom. Nariadenie o zahraničných subvenciách obsahuje aj iné oblasti pôsobnosti </w:t>
            </w:r>
            <w:r>
              <w:rPr>
                <w:rFonts w:ascii="Times New Roman" w:eastAsia="Times New Roman" w:hAnsi="Times New Roman" w:cs="Times New Roman"/>
                <w:sz w:val="20"/>
                <w:szCs w:val="20"/>
                <w:lang w:eastAsia="sk-SK"/>
              </w:rPr>
              <w:t xml:space="preserve">Európskej </w:t>
            </w:r>
            <w:r>
              <w:rPr>
                <w:rFonts w:ascii="Times New Roman" w:hAnsi="Times New Roman" w:cs="Times New Roman"/>
                <w:sz w:val="20"/>
                <w:szCs w:val="20"/>
              </w:rPr>
              <w:t>komisie (oblasť verejného obstarávania a kontroly koncentrácií), avšak tie sa priamo nedotýkajú návrhu zákona.</w:t>
            </w:r>
          </w:p>
        </w:tc>
      </w:tr>
      <w:tr w:rsidR="00C747AF" w:rsidRPr="0093021F" w14:paraId="26BBB7A7" w14:textId="77777777" w:rsidTr="00263110">
        <w:tc>
          <w:tcPr>
            <w:tcW w:w="9180" w:type="dxa"/>
            <w:gridSpan w:val="11"/>
            <w:tcBorders>
              <w:top w:val="single" w:sz="4" w:space="0" w:color="auto"/>
              <w:left w:val="single" w:sz="4" w:space="0" w:color="auto"/>
              <w:bottom w:val="nil"/>
              <w:right w:val="single" w:sz="4" w:space="0" w:color="auto"/>
            </w:tcBorders>
            <w:shd w:val="clear" w:color="auto" w:fill="E2E2E2"/>
          </w:tcPr>
          <w:p w14:paraId="4A187134"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Alternatívne riešenia</w:t>
            </w:r>
          </w:p>
        </w:tc>
      </w:tr>
      <w:tr w:rsidR="00C747AF" w:rsidRPr="0093021F" w14:paraId="6C951B84" w14:textId="77777777" w:rsidTr="0026311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A813A64" w14:textId="77777777" w:rsidR="00C747AF" w:rsidRDefault="00C747AF" w:rsidP="00263110">
            <w:pPr>
              <w:jc w:val="both"/>
              <w:rPr>
                <w:rFonts w:ascii="Times New Roman" w:hAnsi="Times New Roman" w:cs="Times New Roman"/>
                <w:sz w:val="20"/>
                <w:szCs w:val="20"/>
              </w:rPr>
            </w:pPr>
            <w:r w:rsidRPr="0093021F">
              <w:rPr>
                <w:rFonts w:ascii="Times New Roman" w:hAnsi="Times New Roman" w:cs="Times New Roman"/>
                <w:sz w:val="20"/>
                <w:szCs w:val="20"/>
              </w:rPr>
              <w:t>Vzhľadom na nevyhnutnosť implementácie nariadenia DMA a </w:t>
            </w:r>
            <w:r>
              <w:rPr>
                <w:rFonts w:ascii="Times New Roman" w:hAnsi="Times New Roman" w:cs="Times New Roman"/>
                <w:sz w:val="20"/>
                <w:szCs w:val="20"/>
              </w:rPr>
              <w:t>nariadenia</w:t>
            </w:r>
            <w:r w:rsidRPr="00B24A74">
              <w:rPr>
                <w:rFonts w:ascii="Times New Roman" w:hAnsi="Times New Roman" w:cs="Times New Roman"/>
                <w:sz w:val="20"/>
                <w:szCs w:val="20"/>
              </w:rPr>
              <w:t xml:space="preserve"> o zahraničných subvenciách</w:t>
            </w:r>
            <w:r w:rsidRPr="0093021F">
              <w:rPr>
                <w:rFonts w:ascii="Times New Roman" w:hAnsi="Times New Roman" w:cs="Times New Roman"/>
                <w:sz w:val="20"/>
                <w:szCs w:val="20"/>
              </w:rPr>
              <w:t xml:space="preserve"> neprichádza do úvahy zachovanie súčasného legislatívneho stavu.</w:t>
            </w:r>
          </w:p>
          <w:p w14:paraId="1AA9D510" w14:textId="77777777" w:rsidR="00C747AF" w:rsidRDefault="00C747AF" w:rsidP="00263110">
            <w:pPr>
              <w:jc w:val="both"/>
              <w:rPr>
                <w:rFonts w:ascii="Times New Roman" w:hAnsi="Times New Roman" w:cs="Times New Roman"/>
                <w:sz w:val="20"/>
                <w:szCs w:val="20"/>
              </w:rPr>
            </w:pPr>
          </w:p>
          <w:p w14:paraId="005F8C46" w14:textId="77777777" w:rsidR="00C747AF" w:rsidRPr="0093021F" w:rsidRDefault="00C747AF" w:rsidP="00263110">
            <w:pPr>
              <w:jc w:val="both"/>
              <w:rPr>
                <w:rFonts w:ascii="Times New Roman" w:eastAsia="Times New Roman" w:hAnsi="Times New Roman" w:cs="Times New Roman"/>
                <w:sz w:val="20"/>
                <w:szCs w:val="20"/>
                <w:lang w:eastAsia="sk-SK"/>
              </w:rPr>
            </w:pPr>
            <w:r>
              <w:rPr>
                <w:rFonts w:ascii="Times New Roman" w:hAnsi="Times New Roman" w:cs="Times New Roman"/>
                <w:sz w:val="20"/>
                <w:szCs w:val="20"/>
              </w:rPr>
              <w:t xml:space="preserve">Nulový variant by znamenal, že úrad nebude schopný riadne plniť povinnosti, ktoré mu vyplývajú z nariadenia DMA a nariadenia o zahraničných subvenciách. To znamená, že by nebola zabezpečená implementácia </w:t>
            </w:r>
            <w:r w:rsidRPr="0093021F">
              <w:rPr>
                <w:rFonts w:ascii="Times New Roman" w:hAnsi="Times New Roman" w:cs="Times New Roman"/>
                <w:sz w:val="20"/>
                <w:szCs w:val="20"/>
              </w:rPr>
              <w:t>nariadenia DMA a</w:t>
            </w:r>
            <w:r>
              <w:rPr>
                <w:rFonts w:ascii="Times New Roman" w:hAnsi="Times New Roman" w:cs="Times New Roman"/>
                <w:sz w:val="20"/>
                <w:szCs w:val="20"/>
              </w:rPr>
              <w:t xml:space="preserve"> implementácia časti</w:t>
            </w:r>
            <w:r w:rsidRPr="0093021F">
              <w:rPr>
                <w:rFonts w:ascii="Times New Roman" w:hAnsi="Times New Roman" w:cs="Times New Roman"/>
                <w:sz w:val="20"/>
                <w:szCs w:val="20"/>
              </w:rPr>
              <w:t> </w:t>
            </w:r>
            <w:r>
              <w:rPr>
                <w:rFonts w:ascii="Times New Roman" w:hAnsi="Times New Roman" w:cs="Times New Roman"/>
                <w:sz w:val="20"/>
                <w:szCs w:val="20"/>
              </w:rPr>
              <w:t>nariadenia</w:t>
            </w:r>
            <w:r w:rsidRPr="00B24A74">
              <w:rPr>
                <w:rFonts w:ascii="Times New Roman" w:hAnsi="Times New Roman" w:cs="Times New Roman"/>
                <w:sz w:val="20"/>
                <w:szCs w:val="20"/>
              </w:rPr>
              <w:t xml:space="preserve"> o</w:t>
            </w:r>
            <w:r>
              <w:rPr>
                <w:rFonts w:ascii="Times New Roman" w:hAnsi="Times New Roman" w:cs="Times New Roman"/>
                <w:sz w:val="20"/>
                <w:szCs w:val="20"/>
              </w:rPr>
              <w:t> </w:t>
            </w:r>
            <w:r w:rsidRPr="00B24A74">
              <w:rPr>
                <w:rFonts w:ascii="Times New Roman" w:hAnsi="Times New Roman" w:cs="Times New Roman"/>
                <w:sz w:val="20"/>
                <w:szCs w:val="20"/>
              </w:rPr>
              <w:t>zahraničných subvenciách</w:t>
            </w:r>
            <w:r>
              <w:rPr>
                <w:rFonts w:ascii="Times New Roman" w:hAnsi="Times New Roman" w:cs="Times New Roman"/>
                <w:sz w:val="20"/>
                <w:szCs w:val="20"/>
              </w:rPr>
              <w:t xml:space="preserve">, ktorá má byť zabezpečená prostredníctvom novelizácie zákona č. 187/2021 Z. z. o ochrane </w:t>
            </w:r>
            <w:r w:rsidRPr="00196AAE">
              <w:rPr>
                <w:rFonts w:ascii="Times New Roman" w:hAnsi="Times New Roman" w:cs="Times New Roman"/>
                <w:sz w:val="20"/>
                <w:szCs w:val="20"/>
              </w:rPr>
              <w:t>hospodárskej súťaže a o zmene a doplnení niektorých zákonov</w:t>
            </w:r>
            <w:r>
              <w:rPr>
                <w:rFonts w:ascii="Times New Roman" w:hAnsi="Times New Roman" w:cs="Times New Roman"/>
                <w:sz w:val="20"/>
                <w:szCs w:val="20"/>
              </w:rPr>
              <w:t xml:space="preserve"> </w:t>
            </w:r>
            <w:r w:rsidRPr="004E1091">
              <w:rPr>
                <w:rFonts w:ascii="Times New Roman" w:hAnsi="Times New Roman" w:cs="Times New Roman"/>
                <w:sz w:val="20"/>
                <w:szCs w:val="20"/>
              </w:rPr>
              <w:t>v znení zákona č. 309/2023 Z. z</w:t>
            </w:r>
            <w:r>
              <w:rPr>
                <w:rFonts w:ascii="Times New Roman" w:hAnsi="Times New Roman" w:cs="Times New Roman"/>
                <w:sz w:val="20"/>
                <w:szCs w:val="20"/>
              </w:rPr>
              <w:t>. Uvedené by malo pravdepodobne za následok iniciovanie postupu podľa čl. 258 a 260 Zmluvy o fungovaní Európskej únie v platnom znení, a teda aj uloženie pokuty alebo penále Slovenskej republike.</w:t>
            </w:r>
          </w:p>
        </w:tc>
      </w:tr>
      <w:tr w:rsidR="00C747AF" w:rsidRPr="0093021F" w14:paraId="4A1DAE2C" w14:textId="77777777" w:rsidTr="002631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F4D78BD"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Vykonávacie predpisy</w:t>
            </w:r>
          </w:p>
        </w:tc>
      </w:tr>
      <w:tr w:rsidR="00C747AF" w:rsidRPr="0093021F" w14:paraId="3579671C" w14:textId="77777777" w:rsidTr="00263110">
        <w:tc>
          <w:tcPr>
            <w:tcW w:w="6203" w:type="dxa"/>
            <w:gridSpan w:val="7"/>
            <w:tcBorders>
              <w:top w:val="single" w:sz="4" w:space="0" w:color="FFFFFF"/>
              <w:left w:val="single" w:sz="4" w:space="0" w:color="auto"/>
              <w:bottom w:val="nil"/>
              <w:right w:val="nil"/>
            </w:tcBorders>
            <w:shd w:val="clear" w:color="auto" w:fill="FFFFFF"/>
          </w:tcPr>
          <w:p w14:paraId="6FAF9AB5" w14:textId="77777777" w:rsidR="00C747AF" w:rsidRPr="0093021F" w:rsidRDefault="00C747AF" w:rsidP="00263110">
            <w:pPr>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ECF11F5" w14:textId="77777777" w:rsidR="00C747AF" w:rsidRPr="0093021F" w:rsidRDefault="00B613D8" w:rsidP="0026311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C747AF" w:rsidRPr="0093021F">
                  <w:rPr>
                    <w:rFonts w:ascii="Segoe UI Symbol" w:eastAsia="MS Gothic" w:hAnsi="Segoe UI Symbol" w:cs="Segoe UI Symbol"/>
                    <w:b/>
                    <w:sz w:val="20"/>
                    <w:szCs w:val="20"/>
                    <w:lang w:eastAsia="sk-SK"/>
                  </w:rPr>
                  <w:t>☐</w:t>
                </w:r>
              </w:sdtContent>
            </w:sdt>
            <w:r w:rsidR="00C747AF" w:rsidRPr="0093021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8F0B5C1" w14:textId="77777777" w:rsidR="00C747AF" w:rsidRPr="0093021F" w:rsidRDefault="00B613D8" w:rsidP="0026311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C747AF" w:rsidRPr="0093021F">
                  <w:rPr>
                    <w:rFonts w:ascii="Segoe UI Symbol" w:eastAsia="MS Gothic" w:hAnsi="Segoe UI Symbol" w:cs="Segoe UI Symbol"/>
                    <w:b/>
                    <w:sz w:val="20"/>
                    <w:szCs w:val="20"/>
                    <w:lang w:eastAsia="sk-SK"/>
                  </w:rPr>
                  <w:t>☒</w:t>
                </w:r>
              </w:sdtContent>
            </w:sdt>
            <w:r w:rsidR="00C747AF" w:rsidRPr="0093021F">
              <w:rPr>
                <w:rFonts w:ascii="Times New Roman" w:eastAsia="Times New Roman" w:hAnsi="Times New Roman" w:cs="Times New Roman"/>
                <w:b/>
                <w:sz w:val="20"/>
                <w:szCs w:val="20"/>
                <w:lang w:eastAsia="sk-SK"/>
              </w:rPr>
              <w:t xml:space="preserve">  Nie</w:t>
            </w:r>
          </w:p>
        </w:tc>
      </w:tr>
      <w:tr w:rsidR="00C747AF" w:rsidRPr="0093021F" w14:paraId="04665832" w14:textId="77777777" w:rsidTr="00263110">
        <w:tc>
          <w:tcPr>
            <w:tcW w:w="9180" w:type="dxa"/>
            <w:gridSpan w:val="11"/>
            <w:tcBorders>
              <w:top w:val="nil"/>
              <w:left w:val="single" w:sz="4" w:space="0" w:color="auto"/>
              <w:bottom w:val="single" w:sz="4" w:space="0" w:color="auto"/>
              <w:right w:val="single" w:sz="4" w:space="0" w:color="auto"/>
            </w:tcBorders>
            <w:shd w:val="clear" w:color="auto" w:fill="FFFFFF"/>
          </w:tcPr>
          <w:p w14:paraId="0D756748" w14:textId="77777777" w:rsidR="00C747AF" w:rsidRPr="0093021F" w:rsidRDefault="00C747AF" w:rsidP="00263110">
            <w:pPr>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6C07DAEB" w14:textId="77777777" w:rsidR="00C747AF" w:rsidRPr="0093021F" w:rsidRDefault="00C747AF" w:rsidP="00263110">
            <w:pPr>
              <w:rPr>
                <w:rFonts w:ascii="Times New Roman" w:eastAsia="Times New Roman" w:hAnsi="Times New Roman" w:cs="Times New Roman"/>
                <w:sz w:val="20"/>
                <w:szCs w:val="20"/>
                <w:lang w:eastAsia="sk-SK"/>
              </w:rPr>
            </w:pPr>
          </w:p>
        </w:tc>
      </w:tr>
      <w:tr w:rsidR="00C747AF" w:rsidRPr="0093021F" w14:paraId="1A0EE188" w14:textId="77777777" w:rsidTr="002631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5521C27"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 xml:space="preserve">Transpozícia práva EÚ </w:t>
            </w:r>
          </w:p>
        </w:tc>
      </w:tr>
      <w:tr w:rsidR="00C747AF" w:rsidRPr="0093021F" w14:paraId="1B1596F3" w14:textId="77777777" w:rsidTr="0026311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747AF" w:rsidRPr="0093021F" w14:paraId="31D3C74E" w14:textId="77777777" w:rsidTr="00263110">
              <w:trPr>
                <w:trHeight w:val="90"/>
              </w:trPr>
              <w:tc>
                <w:tcPr>
                  <w:tcW w:w="8643" w:type="dxa"/>
                </w:tcPr>
                <w:p w14:paraId="47EEDE52" w14:textId="77777777" w:rsidR="00C747AF" w:rsidRPr="0093021F" w:rsidRDefault="00C747AF" w:rsidP="00263110">
                  <w:pPr>
                    <w:pStyle w:val="Default"/>
                    <w:rPr>
                      <w:color w:val="auto"/>
                      <w:sz w:val="20"/>
                      <w:szCs w:val="20"/>
                    </w:rPr>
                  </w:pPr>
                  <w:r w:rsidRPr="0093021F">
                    <w:rPr>
                      <w:i/>
                      <w:iCs/>
                      <w:color w:val="auto"/>
                      <w:sz w:val="20"/>
                      <w:szCs w:val="20"/>
                    </w:rPr>
                    <w:t xml:space="preserve">Uveďte, či v predkladanom návrhu právneho predpisu dochádza ku </w:t>
                  </w:r>
                  <w:proofErr w:type="spellStart"/>
                  <w:r w:rsidRPr="0093021F">
                    <w:rPr>
                      <w:i/>
                      <w:iCs/>
                      <w:color w:val="auto"/>
                      <w:sz w:val="20"/>
                      <w:szCs w:val="20"/>
                    </w:rPr>
                    <w:t>goldplatingu</w:t>
                  </w:r>
                  <w:proofErr w:type="spellEnd"/>
                  <w:r w:rsidRPr="0093021F">
                    <w:rPr>
                      <w:i/>
                      <w:iCs/>
                      <w:color w:val="auto"/>
                      <w:sz w:val="20"/>
                      <w:szCs w:val="20"/>
                    </w:rPr>
                    <w:t xml:space="preserve"> podľa tabuľky zhody. </w:t>
                  </w:r>
                </w:p>
              </w:tc>
            </w:tr>
            <w:tr w:rsidR="00C747AF" w:rsidRPr="0093021F" w14:paraId="53819DB3" w14:textId="77777777" w:rsidTr="00263110">
              <w:trPr>
                <w:trHeight w:val="296"/>
              </w:trPr>
              <w:tc>
                <w:tcPr>
                  <w:tcW w:w="8643" w:type="dxa"/>
                </w:tcPr>
                <w:p w14:paraId="2491DB2C" w14:textId="77777777" w:rsidR="00C747AF" w:rsidRPr="0093021F" w:rsidRDefault="00C747AF" w:rsidP="00263110">
                  <w:pPr>
                    <w:pStyle w:val="Default"/>
                    <w:rPr>
                      <w:b/>
                      <w:iCs/>
                      <w:color w:val="auto"/>
                      <w:sz w:val="20"/>
                      <w:szCs w:val="20"/>
                    </w:rPr>
                  </w:pPr>
                  <w:r w:rsidRPr="0093021F">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93021F">
                        <w:rPr>
                          <w:rFonts w:ascii="Segoe UI Symbol" w:eastAsia="MS Gothic" w:hAnsi="Segoe UI Symbol" w:cs="Segoe UI Symbol"/>
                          <w:b/>
                          <w:iCs/>
                          <w:color w:val="auto"/>
                          <w:sz w:val="20"/>
                          <w:szCs w:val="20"/>
                        </w:rPr>
                        <w:t>☐</w:t>
                      </w:r>
                    </w:sdtContent>
                  </w:sdt>
                  <w:r w:rsidRPr="0093021F">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93021F">
                    <w:rPr>
                      <w:b/>
                      <w:iCs/>
                      <w:color w:val="auto"/>
                      <w:sz w:val="20"/>
                      <w:szCs w:val="20"/>
                    </w:rPr>
                    <w:t xml:space="preserve"> Nie</w:t>
                  </w:r>
                </w:p>
                <w:p w14:paraId="0A91E6AD" w14:textId="77777777" w:rsidR="00C747AF" w:rsidRPr="0093021F" w:rsidRDefault="00C747AF" w:rsidP="00263110">
                  <w:pPr>
                    <w:pStyle w:val="Default"/>
                    <w:rPr>
                      <w:i/>
                      <w:iCs/>
                      <w:color w:val="auto"/>
                      <w:sz w:val="20"/>
                      <w:szCs w:val="20"/>
                    </w:rPr>
                  </w:pPr>
                </w:p>
                <w:p w14:paraId="1A4B3D76" w14:textId="77777777" w:rsidR="00C747AF" w:rsidRPr="0093021F" w:rsidRDefault="00C747AF" w:rsidP="00263110">
                  <w:pPr>
                    <w:pStyle w:val="Default"/>
                    <w:rPr>
                      <w:color w:val="auto"/>
                      <w:sz w:val="20"/>
                      <w:szCs w:val="20"/>
                    </w:rPr>
                  </w:pPr>
                  <w:r w:rsidRPr="0093021F">
                    <w:rPr>
                      <w:i/>
                      <w:iCs/>
                      <w:color w:val="auto"/>
                      <w:sz w:val="20"/>
                      <w:szCs w:val="20"/>
                    </w:rPr>
                    <w:t xml:space="preserve">Ak áno, uveďte, ktorých vplyvov podľa bodu 9 sa </w:t>
                  </w:r>
                  <w:proofErr w:type="spellStart"/>
                  <w:r w:rsidRPr="0093021F">
                    <w:rPr>
                      <w:i/>
                      <w:iCs/>
                      <w:color w:val="auto"/>
                      <w:sz w:val="20"/>
                      <w:szCs w:val="20"/>
                    </w:rPr>
                    <w:t>goldplating</w:t>
                  </w:r>
                  <w:proofErr w:type="spellEnd"/>
                  <w:r w:rsidRPr="0093021F">
                    <w:rPr>
                      <w:i/>
                      <w:iCs/>
                      <w:color w:val="auto"/>
                      <w:sz w:val="20"/>
                      <w:szCs w:val="20"/>
                    </w:rPr>
                    <w:t xml:space="preserve"> týka: </w:t>
                  </w:r>
                </w:p>
              </w:tc>
            </w:tr>
            <w:tr w:rsidR="00C747AF" w:rsidRPr="0093021F" w14:paraId="4276442E" w14:textId="77777777" w:rsidTr="00263110">
              <w:trPr>
                <w:trHeight w:val="296"/>
              </w:trPr>
              <w:tc>
                <w:tcPr>
                  <w:tcW w:w="8643" w:type="dxa"/>
                </w:tcPr>
                <w:p w14:paraId="2E8BC0F5" w14:textId="77777777" w:rsidR="00C747AF" w:rsidRPr="0093021F" w:rsidRDefault="00C747AF" w:rsidP="00263110">
                  <w:pPr>
                    <w:pStyle w:val="Default"/>
                    <w:rPr>
                      <w:sz w:val="20"/>
                      <w:szCs w:val="20"/>
                    </w:rPr>
                  </w:pPr>
                </w:p>
              </w:tc>
            </w:tr>
          </w:tbl>
          <w:p w14:paraId="4E2275FF" w14:textId="77777777" w:rsidR="00C747AF" w:rsidRPr="0093021F" w:rsidRDefault="00C747AF" w:rsidP="00263110">
            <w:pPr>
              <w:jc w:val="both"/>
              <w:rPr>
                <w:rFonts w:ascii="Times New Roman" w:eastAsia="Times New Roman" w:hAnsi="Times New Roman" w:cs="Times New Roman"/>
                <w:i/>
                <w:sz w:val="20"/>
                <w:szCs w:val="20"/>
                <w:lang w:eastAsia="sk-SK"/>
              </w:rPr>
            </w:pPr>
          </w:p>
        </w:tc>
      </w:tr>
      <w:tr w:rsidR="00C747AF" w:rsidRPr="0093021F" w14:paraId="644509AE" w14:textId="77777777" w:rsidTr="0026311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64C9D8E" w14:textId="77777777" w:rsidR="00C747AF" w:rsidRPr="0093021F" w:rsidRDefault="00C747AF" w:rsidP="00263110">
            <w:pPr>
              <w:jc w:val="center"/>
              <w:rPr>
                <w:rFonts w:ascii="Times New Roman" w:eastAsia="Times New Roman" w:hAnsi="Times New Roman" w:cs="Times New Roman"/>
                <w:sz w:val="20"/>
                <w:szCs w:val="20"/>
                <w:lang w:eastAsia="sk-SK"/>
              </w:rPr>
            </w:pPr>
          </w:p>
        </w:tc>
      </w:tr>
      <w:tr w:rsidR="00C747AF" w:rsidRPr="0093021F" w14:paraId="2A95933D" w14:textId="77777777" w:rsidTr="002631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79141C9"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Preskúmanie účelnosti</w:t>
            </w:r>
          </w:p>
        </w:tc>
      </w:tr>
      <w:tr w:rsidR="00C747AF" w:rsidRPr="0093021F" w14:paraId="68529816" w14:textId="77777777" w:rsidTr="0026311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73E4F1F" w14:textId="77777777" w:rsidR="00C747AF" w:rsidRPr="0093021F" w:rsidRDefault="00C747AF" w:rsidP="00263110">
            <w:pPr>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3C6E286F" w14:textId="77777777" w:rsidR="00C747AF" w:rsidRPr="0093021F" w:rsidRDefault="00C747AF" w:rsidP="00263110">
            <w:pPr>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Uveďte kritériá, na základe ktorých bude preskúmanie vykonané.</w:t>
            </w:r>
          </w:p>
          <w:p w14:paraId="691211CC" w14:textId="77777777" w:rsidR="00C747AF" w:rsidRDefault="00C747AF" w:rsidP="00263110">
            <w:pPr>
              <w:rPr>
                <w:rFonts w:ascii="Times New Roman" w:eastAsia="Times New Roman" w:hAnsi="Times New Roman" w:cs="Times New Roman"/>
                <w:sz w:val="20"/>
                <w:szCs w:val="20"/>
                <w:lang w:eastAsia="sk-SK"/>
              </w:rPr>
            </w:pPr>
          </w:p>
          <w:p w14:paraId="7541B964" w14:textId="77777777" w:rsidR="00C747AF" w:rsidRPr="00D23F0D" w:rsidRDefault="00C747AF" w:rsidP="00263110">
            <w:pPr>
              <w:jc w:val="both"/>
              <w:rPr>
                <w:rFonts w:ascii="Times New Roman" w:hAnsi="Times New Roman" w:cs="Times New Roman"/>
                <w:sz w:val="20"/>
                <w:szCs w:val="20"/>
              </w:rPr>
            </w:pPr>
            <w:r w:rsidRPr="00D23F0D">
              <w:rPr>
                <w:rFonts w:ascii="Times New Roman" w:hAnsi="Times New Roman" w:cs="Times New Roman"/>
                <w:sz w:val="20"/>
                <w:szCs w:val="20"/>
              </w:rPr>
              <w:t>Čl. 52 nariadenia o zahraničných subvenciách</w:t>
            </w:r>
            <w:r>
              <w:rPr>
                <w:rFonts w:ascii="Times New Roman" w:hAnsi="Times New Roman" w:cs="Times New Roman"/>
                <w:sz w:val="20"/>
                <w:szCs w:val="20"/>
              </w:rPr>
              <w:t xml:space="preserve"> ustanovuje v bode 1 povinnosť Európskej k</w:t>
            </w:r>
            <w:r w:rsidRPr="00D23F0D">
              <w:rPr>
                <w:rFonts w:ascii="Times New Roman" w:hAnsi="Times New Roman" w:cs="Times New Roman"/>
                <w:sz w:val="20"/>
                <w:szCs w:val="20"/>
              </w:rPr>
              <w:t xml:space="preserve">omisie predkladať Európskemu parlamentu a Rade výročnú správu o uplatňovaní a vykonávaní tohto nariadenia. </w:t>
            </w:r>
            <w:r>
              <w:rPr>
                <w:rFonts w:ascii="Times New Roman" w:hAnsi="Times New Roman" w:cs="Times New Roman"/>
                <w:sz w:val="20"/>
                <w:szCs w:val="20"/>
              </w:rPr>
              <w:t>V</w:t>
            </w:r>
            <w:r w:rsidRPr="00D23F0D">
              <w:rPr>
                <w:rFonts w:ascii="Times New Roman" w:hAnsi="Times New Roman" w:cs="Times New Roman"/>
                <w:sz w:val="20"/>
                <w:szCs w:val="20"/>
              </w:rPr>
              <w:t xml:space="preserve"> bode 2 nariadenia</w:t>
            </w:r>
            <w:r>
              <w:rPr>
                <w:rFonts w:ascii="Times New Roman" w:hAnsi="Times New Roman" w:cs="Times New Roman"/>
                <w:sz w:val="20"/>
                <w:szCs w:val="20"/>
              </w:rPr>
              <w:t xml:space="preserve"> </w:t>
            </w:r>
            <w:r w:rsidRPr="00D23F0D">
              <w:rPr>
                <w:rFonts w:ascii="Times New Roman" w:hAnsi="Times New Roman" w:cs="Times New Roman"/>
                <w:sz w:val="20"/>
                <w:szCs w:val="20"/>
              </w:rPr>
              <w:t xml:space="preserve">o zahraničných subvenciách je stanovená povinnosť </w:t>
            </w:r>
            <w:r>
              <w:rPr>
                <w:rFonts w:ascii="Times New Roman" w:hAnsi="Times New Roman" w:cs="Times New Roman"/>
                <w:sz w:val="20"/>
                <w:szCs w:val="20"/>
              </w:rPr>
              <w:t>Európskej k</w:t>
            </w:r>
            <w:r w:rsidRPr="00D23F0D">
              <w:rPr>
                <w:rFonts w:ascii="Times New Roman" w:hAnsi="Times New Roman" w:cs="Times New Roman"/>
                <w:sz w:val="20"/>
                <w:szCs w:val="20"/>
              </w:rPr>
              <w:t>omisie do 13. júla 2026 a potom každé tri roky preskúmať svoju prax vykonávania a presadzovania tohto nariadenia, najmä pokiaľ ide o uplatňovanie článkov 4, 5, 6 a 9 a finančných limitov vymedzujúcich oznamovaciu povinnosť stanovených v článku 20 ods. 3, článku 28 ods. 1 a 2, a</w:t>
            </w:r>
            <w:r>
              <w:rPr>
                <w:rFonts w:ascii="Times New Roman" w:hAnsi="Times New Roman" w:cs="Times New Roman"/>
                <w:sz w:val="20"/>
                <w:szCs w:val="20"/>
              </w:rPr>
              <w:t xml:space="preserve"> zároveň predložiť </w:t>
            </w:r>
            <w:r w:rsidRPr="00D23F0D">
              <w:rPr>
                <w:rFonts w:ascii="Times New Roman" w:hAnsi="Times New Roman" w:cs="Times New Roman"/>
                <w:sz w:val="20"/>
                <w:szCs w:val="20"/>
              </w:rPr>
              <w:t>Euró</w:t>
            </w:r>
            <w:r>
              <w:rPr>
                <w:rFonts w:ascii="Times New Roman" w:hAnsi="Times New Roman" w:cs="Times New Roman"/>
                <w:sz w:val="20"/>
                <w:szCs w:val="20"/>
              </w:rPr>
              <w:t>pskemu parlamentu a Rade správu</w:t>
            </w:r>
            <w:r w:rsidRPr="00D23F0D">
              <w:rPr>
                <w:rFonts w:ascii="Times New Roman" w:hAnsi="Times New Roman" w:cs="Times New Roman"/>
                <w:sz w:val="20"/>
                <w:szCs w:val="20"/>
              </w:rPr>
              <w:t xml:space="preserve">. </w:t>
            </w:r>
          </w:p>
          <w:p w14:paraId="75721BF3" w14:textId="77777777" w:rsidR="00C747AF" w:rsidRPr="00D23F0D" w:rsidRDefault="00C747AF" w:rsidP="00263110">
            <w:pPr>
              <w:jc w:val="both"/>
              <w:rPr>
                <w:rFonts w:ascii="Times New Roman" w:hAnsi="Times New Roman" w:cs="Times New Roman"/>
                <w:sz w:val="20"/>
                <w:szCs w:val="20"/>
              </w:rPr>
            </w:pPr>
            <w:r w:rsidRPr="00D23F0D">
              <w:rPr>
                <w:rFonts w:ascii="Times New Roman" w:hAnsi="Times New Roman" w:cs="Times New Roman"/>
                <w:sz w:val="20"/>
                <w:szCs w:val="20"/>
              </w:rPr>
              <w:t xml:space="preserve">Čl. 53 </w:t>
            </w:r>
            <w:r>
              <w:rPr>
                <w:rFonts w:ascii="Times New Roman" w:hAnsi="Times New Roman" w:cs="Times New Roman"/>
                <w:sz w:val="20"/>
                <w:szCs w:val="20"/>
              </w:rPr>
              <w:t xml:space="preserve">nariadenia </w:t>
            </w:r>
            <w:r w:rsidRPr="00D23F0D">
              <w:rPr>
                <w:rFonts w:ascii="Times New Roman" w:hAnsi="Times New Roman" w:cs="Times New Roman"/>
                <w:sz w:val="20"/>
                <w:szCs w:val="20"/>
              </w:rPr>
              <w:t xml:space="preserve">DMA ustanovuje v bode 1 povinnosť </w:t>
            </w:r>
            <w:r>
              <w:rPr>
                <w:rFonts w:ascii="Times New Roman" w:hAnsi="Times New Roman" w:cs="Times New Roman"/>
                <w:sz w:val="20"/>
                <w:szCs w:val="20"/>
              </w:rPr>
              <w:t>Európskej k</w:t>
            </w:r>
            <w:r w:rsidRPr="00D23F0D">
              <w:rPr>
                <w:rFonts w:ascii="Times New Roman" w:hAnsi="Times New Roman" w:cs="Times New Roman"/>
                <w:sz w:val="20"/>
                <w:szCs w:val="20"/>
              </w:rPr>
              <w:t>omisie do 3. mája 2026 a následne každé tri roky vyhodnot</w:t>
            </w:r>
            <w:r>
              <w:rPr>
                <w:rFonts w:ascii="Times New Roman" w:hAnsi="Times New Roman" w:cs="Times New Roman"/>
                <w:sz w:val="20"/>
                <w:szCs w:val="20"/>
              </w:rPr>
              <w:t>iť toto nariadenie a predložiť</w:t>
            </w:r>
            <w:r w:rsidRPr="00D23F0D">
              <w:rPr>
                <w:rFonts w:ascii="Times New Roman" w:hAnsi="Times New Roman" w:cs="Times New Roman"/>
                <w:sz w:val="20"/>
                <w:szCs w:val="20"/>
              </w:rPr>
              <w:t xml:space="preserve"> správu Európskemu parlamentu, Rade a Európskemu hospodárskemu a sociálnemu výboru.</w:t>
            </w:r>
          </w:p>
          <w:p w14:paraId="35A72566" w14:textId="77777777" w:rsidR="00C747AF" w:rsidRPr="009C049F" w:rsidRDefault="00C747AF" w:rsidP="00263110">
            <w:pPr>
              <w:jc w:val="both"/>
              <w:rPr>
                <w:rFonts w:ascii="Times New Roman" w:eastAsia="Times New Roman" w:hAnsi="Times New Roman" w:cs="Times New Roman"/>
                <w:sz w:val="20"/>
                <w:szCs w:val="20"/>
                <w:lang w:eastAsia="sk-SK"/>
              </w:rPr>
            </w:pPr>
            <w:r w:rsidRPr="00D23F0D">
              <w:rPr>
                <w:rFonts w:ascii="Times New Roman" w:hAnsi="Times New Roman" w:cs="Times New Roman"/>
                <w:sz w:val="20"/>
                <w:szCs w:val="20"/>
              </w:rPr>
              <w:t>Vzhľadom na skutočnosť, že v zmysle príslušných ustanovení predmetných nariadení bude preskúmavaná ich účelnosť, k čomu bude Európska komisia povinná vyhotoviť správu, úrad nie je oprávnený sám preskúmavať ich účelnosť. Možno predpokladať, že SR, resp. úrad bude zapojený do preskúmania účelnosti z hľadiska efektivity a účelnosti spolupráce</w:t>
            </w:r>
            <w:r>
              <w:rPr>
                <w:rFonts w:ascii="Times New Roman" w:hAnsi="Times New Roman" w:cs="Times New Roman"/>
                <w:sz w:val="20"/>
                <w:szCs w:val="20"/>
              </w:rPr>
              <w:t>.</w:t>
            </w:r>
          </w:p>
        </w:tc>
      </w:tr>
      <w:tr w:rsidR="00C747AF" w:rsidRPr="0093021F" w14:paraId="30B24420" w14:textId="77777777" w:rsidTr="00263110">
        <w:tc>
          <w:tcPr>
            <w:tcW w:w="9180" w:type="dxa"/>
            <w:gridSpan w:val="11"/>
            <w:tcBorders>
              <w:top w:val="nil"/>
              <w:left w:val="nil"/>
              <w:bottom w:val="single" w:sz="4" w:space="0" w:color="auto"/>
              <w:right w:val="nil"/>
            </w:tcBorders>
            <w:shd w:val="clear" w:color="auto" w:fill="FFFFFF"/>
          </w:tcPr>
          <w:p w14:paraId="43A1829F" w14:textId="77777777" w:rsidR="00C747AF" w:rsidRPr="0093021F" w:rsidRDefault="00C747AF" w:rsidP="00263110">
            <w:pPr>
              <w:jc w:val="both"/>
              <w:rPr>
                <w:rFonts w:ascii="Times New Roman" w:eastAsia="Times New Roman" w:hAnsi="Times New Roman" w:cs="Times New Roman"/>
                <w:b/>
                <w:sz w:val="20"/>
                <w:szCs w:val="20"/>
                <w:lang w:eastAsia="sk-SK"/>
              </w:rPr>
            </w:pPr>
          </w:p>
          <w:p w14:paraId="261CE68E" w14:textId="77777777" w:rsidR="00C747AF" w:rsidRPr="0093021F" w:rsidRDefault="00C747AF" w:rsidP="00263110">
            <w:pPr>
              <w:jc w:val="both"/>
              <w:rPr>
                <w:rFonts w:ascii="Times New Roman" w:eastAsia="Times New Roman" w:hAnsi="Times New Roman" w:cs="Times New Roman"/>
                <w:b/>
                <w:sz w:val="20"/>
                <w:szCs w:val="20"/>
                <w:lang w:eastAsia="sk-SK"/>
              </w:rPr>
            </w:pPr>
          </w:p>
          <w:p w14:paraId="3DC5926E" w14:textId="77777777" w:rsidR="00C747AF" w:rsidRPr="0093021F" w:rsidRDefault="00C747AF" w:rsidP="00263110">
            <w:pPr>
              <w:ind w:left="142" w:hanging="142"/>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F8F4C51" w14:textId="77777777" w:rsidR="00C747AF" w:rsidRPr="0093021F" w:rsidRDefault="00C747AF" w:rsidP="00263110">
            <w:pPr>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176FAEC6" w14:textId="77777777" w:rsidR="00C747AF" w:rsidRPr="0093021F" w:rsidRDefault="00C747AF" w:rsidP="00263110">
            <w:pPr>
              <w:jc w:val="both"/>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2909242" w14:textId="77777777" w:rsidR="00C747AF" w:rsidRPr="0093021F" w:rsidRDefault="00C747AF" w:rsidP="00263110">
            <w:pPr>
              <w:jc w:val="both"/>
              <w:rPr>
                <w:rFonts w:ascii="Times New Roman" w:eastAsia="Times New Roman" w:hAnsi="Times New Roman" w:cs="Times New Roman"/>
                <w:sz w:val="20"/>
                <w:szCs w:val="20"/>
                <w:lang w:eastAsia="sk-SK"/>
              </w:rPr>
            </w:pPr>
          </w:p>
          <w:p w14:paraId="6F47CDE2" w14:textId="77777777" w:rsidR="00C747AF" w:rsidRPr="0093021F" w:rsidRDefault="00C747AF" w:rsidP="00263110">
            <w:pPr>
              <w:jc w:val="both"/>
              <w:rPr>
                <w:rFonts w:ascii="Times New Roman" w:eastAsia="Times New Roman" w:hAnsi="Times New Roman" w:cs="Times New Roman"/>
                <w:b/>
                <w:sz w:val="20"/>
                <w:szCs w:val="20"/>
                <w:lang w:eastAsia="sk-SK"/>
              </w:rPr>
            </w:pPr>
          </w:p>
        </w:tc>
      </w:tr>
      <w:tr w:rsidR="00C747AF" w:rsidRPr="0093021F" w14:paraId="1F1AAAFB" w14:textId="77777777" w:rsidTr="0026311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1EC3E31"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lastRenderedPageBreak/>
              <w:t>Vybrané vplyvy  materiálu</w:t>
            </w:r>
          </w:p>
        </w:tc>
      </w:tr>
      <w:tr w:rsidR="00C747AF" w:rsidRPr="0093021F" w14:paraId="277AEEBC" w14:textId="77777777" w:rsidTr="00263110">
        <w:tc>
          <w:tcPr>
            <w:tcW w:w="3812" w:type="dxa"/>
            <w:tcBorders>
              <w:top w:val="single" w:sz="4" w:space="0" w:color="auto"/>
              <w:left w:val="single" w:sz="4" w:space="0" w:color="auto"/>
              <w:bottom w:val="nil"/>
              <w:right w:val="single" w:sz="4" w:space="0" w:color="auto"/>
            </w:tcBorders>
            <w:shd w:val="clear" w:color="auto" w:fill="E2E2E2"/>
          </w:tcPr>
          <w:p w14:paraId="5D1E161B"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642E91E"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FF5FF89"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B590A3B"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1EA3CA4"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2255D28" w14:textId="77777777" w:rsidR="00C747AF" w:rsidRPr="0093021F" w:rsidRDefault="00C747AF" w:rsidP="00263110">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E73B1DB" w14:textId="77777777" w:rsidR="00C747AF" w:rsidRPr="0093021F" w:rsidRDefault="00C747AF" w:rsidP="00263110">
            <w:pPr>
              <w:ind w:left="3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6D8C24F4" w14:textId="77777777" w:rsidTr="00263110">
        <w:tc>
          <w:tcPr>
            <w:tcW w:w="3812" w:type="dxa"/>
            <w:tcBorders>
              <w:top w:val="nil"/>
              <w:left w:val="single" w:sz="4" w:space="0" w:color="auto"/>
              <w:bottom w:val="nil"/>
              <w:right w:val="single" w:sz="4" w:space="0" w:color="auto"/>
            </w:tcBorders>
            <w:shd w:val="clear" w:color="auto" w:fill="E2E2E2"/>
          </w:tcPr>
          <w:p w14:paraId="32256369"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z toho rozpočtovo zabezpečené vplyvy,         </w:t>
            </w:r>
          </w:p>
          <w:p w14:paraId="5F638710"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v prípade identifikovaného negatívneho </w:t>
            </w:r>
          </w:p>
          <w:p w14:paraId="08415B70"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E5D9D5F"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86B1C80"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0315648" w14:textId="77777777" w:rsidR="00C747AF" w:rsidRPr="0093021F" w:rsidRDefault="00C747AF" w:rsidP="0026311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FC7E4B1"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9D40A6" w14:textId="77777777" w:rsidR="00C747AF" w:rsidRPr="0093021F" w:rsidRDefault="00C747AF" w:rsidP="00263110">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5C62528" w14:textId="77777777" w:rsidR="00C747AF" w:rsidRPr="0093021F" w:rsidRDefault="00C747AF" w:rsidP="00263110">
            <w:pPr>
              <w:ind w:left="34"/>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Čiastočne</w:t>
            </w:r>
          </w:p>
        </w:tc>
      </w:tr>
      <w:tr w:rsidR="00C747AF" w:rsidRPr="0093021F" w14:paraId="73D7CF6D" w14:textId="77777777" w:rsidTr="00263110">
        <w:tc>
          <w:tcPr>
            <w:tcW w:w="3812" w:type="dxa"/>
            <w:tcBorders>
              <w:top w:val="nil"/>
              <w:left w:val="single" w:sz="4" w:space="0" w:color="auto"/>
              <w:bottom w:val="nil"/>
              <w:right w:val="single" w:sz="4" w:space="0" w:color="auto"/>
            </w:tcBorders>
            <w:shd w:val="clear" w:color="auto" w:fill="E2E2E2"/>
          </w:tcPr>
          <w:p w14:paraId="34729209"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A59449A"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DA99FE9"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F6890ED"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98CA16C"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3199776" w14:textId="77777777" w:rsidR="00C747AF" w:rsidRPr="0093021F" w:rsidRDefault="00C747AF" w:rsidP="00263110">
                <w:pPr>
                  <w:ind w:left="-107" w:right="-108"/>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7D43A93" w14:textId="77777777" w:rsidR="00C747AF" w:rsidRPr="0093021F" w:rsidRDefault="00C747AF" w:rsidP="00263110">
            <w:pPr>
              <w:ind w:left="3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260AA1CF" w14:textId="77777777" w:rsidTr="00263110">
        <w:tc>
          <w:tcPr>
            <w:tcW w:w="3812" w:type="dxa"/>
            <w:tcBorders>
              <w:top w:val="nil"/>
              <w:left w:val="single" w:sz="4" w:space="0" w:color="auto"/>
              <w:bottom w:val="single" w:sz="4" w:space="0" w:color="auto"/>
              <w:right w:val="single" w:sz="4" w:space="0" w:color="auto"/>
            </w:tcBorders>
            <w:shd w:val="clear" w:color="auto" w:fill="E2E2E2"/>
          </w:tcPr>
          <w:p w14:paraId="393D7802" w14:textId="77777777" w:rsidR="00C747AF" w:rsidRPr="0093021F" w:rsidRDefault="00C747AF" w:rsidP="00263110">
            <w:pPr>
              <w:ind w:left="171"/>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z toho rozpočtovo zabezpečené vplyvy,</w:t>
            </w:r>
          </w:p>
          <w:p w14:paraId="0631B32E" w14:textId="77777777" w:rsidR="00C747AF" w:rsidRPr="0093021F" w:rsidRDefault="00C747AF" w:rsidP="00263110">
            <w:pPr>
              <w:ind w:left="171"/>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BB3A601"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5F45A56"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A3A9D9D" w14:textId="77777777" w:rsidR="00C747AF" w:rsidRPr="0093021F" w:rsidRDefault="00C747AF" w:rsidP="0026311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5BD59FD"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C322376" w14:textId="77777777" w:rsidR="00C747AF" w:rsidRPr="0093021F" w:rsidRDefault="00C747AF" w:rsidP="00263110">
                <w:pPr>
                  <w:ind w:left="-107" w:right="-108"/>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A875D14" w14:textId="77777777" w:rsidR="00C747AF" w:rsidRPr="0093021F" w:rsidRDefault="00C747AF" w:rsidP="00263110">
            <w:pPr>
              <w:ind w:left="34"/>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Čiastočne</w:t>
            </w:r>
          </w:p>
        </w:tc>
      </w:tr>
      <w:tr w:rsidR="00C747AF" w:rsidRPr="0093021F" w14:paraId="08919FAC" w14:textId="77777777" w:rsidTr="00263110">
        <w:tc>
          <w:tcPr>
            <w:tcW w:w="3812" w:type="dxa"/>
            <w:tcBorders>
              <w:top w:val="single" w:sz="4" w:space="0" w:color="auto"/>
              <w:left w:val="single" w:sz="4" w:space="0" w:color="auto"/>
              <w:bottom w:val="single" w:sz="4" w:space="0" w:color="auto"/>
              <w:right w:val="single" w:sz="4" w:space="0" w:color="auto"/>
            </w:tcBorders>
            <w:shd w:val="clear" w:color="auto" w:fill="E2E2E2"/>
          </w:tcPr>
          <w:p w14:paraId="00EE3800" w14:textId="77777777" w:rsidR="00C747AF" w:rsidRPr="0093021F" w:rsidRDefault="00C747AF" w:rsidP="00263110">
            <w:pPr>
              <w:ind w:left="171"/>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DE71B83"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6173D52"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49831BB" w14:textId="77777777" w:rsidR="00C747AF" w:rsidRPr="0093021F" w:rsidRDefault="00C747AF" w:rsidP="00263110">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4DB89C96" w14:textId="77777777" w:rsidR="00C747AF" w:rsidRPr="0093021F" w:rsidRDefault="00C747AF" w:rsidP="0026311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E5C1589" w14:textId="77777777" w:rsidR="00C747AF" w:rsidRPr="0093021F" w:rsidRDefault="00C747AF" w:rsidP="00263110">
                <w:pPr>
                  <w:ind w:left="-107" w:right="-108"/>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DB309F3" w14:textId="77777777" w:rsidR="00C747AF" w:rsidRPr="0093021F" w:rsidRDefault="00C747AF" w:rsidP="00263110">
            <w:pPr>
              <w:ind w:left="34"/>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Nie</w:t>
            </w:r>
          </w:p>
        </w:tc>
      </w:tr>
      <w:tr w:rsidR="00C747AF" w:rsidRPr="0093021F" w14:paraId="548D9E7D" w14:textId="77777777" w:rsidTr="00263110">
        <w:tc>
          <w:tcPr>
            <w:tcW w:w="3812" w:type="dxa"/>
            <w:tcBorders>
              <w:top w:val="single" w:sz="4" w:space="0" w:color="auto"/>
              <w:left w:val="single" w:sz="4" w:space="0" w:color="auto"/>
              <w:bottom w:val="nil"/>
              <w:right w:val="single" w:sz="4" w:space="0" w:color="auto"/>
            </w:tcBorders>
            <w:shd w:val="clear" w:color="auto" w:fill="E2E2E2"/>
          </w:tcPr>
          <w:p w14:paraId="55A74EA4"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E80DC85"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098A639"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B2D8C41"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Segoe UI Symbol"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D6A989F"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D6DC648"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75C8CAE"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695A89FD" w14:textId="77777777" w:rsidTr="00263110">
        <w:tc>
          <w:tcPr>
            <w:tcW w:w="3812" w:type="dxa"/>
            <w:tcBorders>
              <w:top w:val="nil"/>
              <w:left w:val="single" w:sz="4" w:space="0" w:color="000000"/>
              <w:bottom w:val="nil"/>
              <w:right w:val="single" w:sz="4" w:space="0" w:color="000000"/>
            </w:tcBorders>
            <w:shd w:val="clear" w:color="auto" w:fill="E2E2E2"/>
          </w:tcPr>
          <w:p w14:paraId="580612DA"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z toho vplyvy na MSP</w:t>
            </w:r>
          </w:p>
          <w:p w14:paraId="7C0E0F2E" w14:textId="77777777" w:rsidR="00C747AF" w:rsidRPr="0093021F" w:rsidRDefault="00C747AF" w:rsidP="0026311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2695DAF" w14:textId="77777777" w:rsidR="00C747AF" w:rsidRPr="0093021F" w:rsidRDefault="00C747AF" w:rsidP="0026311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F3BD3B8" w14:textId="77777777" w:rsidR="00C747AF" w:rsidRPr="0093021F" w:rsidRDefault="00C747AF" w:rsidP="00263110">
            <w:pPr>
              <w:ind w:right="-108"/>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5362F2F"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ABCE2C8"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B550227" w14:textId="77777777" w:rsidR="00C747AF" w:rsidRPr="0093021F" w:rsidRDefault="00C747AF" w:rsidP="00263110">
                <w:pPr>
                  <w:jc w:val="center"/>
                  <w:rPr>
                    <w:rFonts w:ascii="Times New Roman" w:eastAsia="Times New Roman" w:hAnsi="Times New Roman" w:cs="Times New Roman"/>
                    <w:sz w:val="20"/>
                    <w:szCs w:val="20"/>
                    <w:lang w:eastAsia="sk-SK"/>
                  </w:rPr>
                </w:pPr>
                <w:r w:rsidRPr="0093021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740506F" w14:textId="77777777" w:rsidR="00C747AF" w:rsidRPr="0093021F" w:rsidRDefault="00C747AF" w:rsidP="00263110">
            <w:pPr>
              <w:ind w:left="54"/>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Negatívne</w:t>
            </w:r>
          </w:p>
        </w:tc>
      </w:tr>
      <w:tr w:rsidR="00C747AF" w:rsidRPr="0093021F" w14:paraId="51F58B65" w14:textId="77777777" w:rsidTr="00263110">
        <w:tc>
          <w:tcPr>
            <w:tcW w:w="3812" w:type="dxa"/>
            <w:tcBorders>
              <w:top w:val="nil"/>
              <w:left w:val="single" w:sz="4" w:space="0" w:color="auto"/>
              <w:bottom w:val="single" w:sz="4" w:space="0" w:color="auto"/>
              <w:right w:val="single" w:sz="4" w:space="0" w:color="auto"/>
            </w:tcBorders>
            <w:shd w:val="clear" w:color="auto" w:fill="E2E2E2"/>
          </w:tcPr>
          <w:p w14:paraId="516C9CAE" w14:textId="77777777" w:rsidR="00C747AF" w:rsidRPr="0093021F" w:rsidRDefault="00C747AF" w:rsidP="00263110">
            <w:pPr>
              <w:rPr>
                <w:rFonts w:ascii="Times New Roman" w:eastAsia="Times New Roman" w:hAnsi="Times New Roman" w:cs="Times New Roman"/>
                <w:sz w:val="20"/>
                <w:szCs w:val="20"/>
                <w:lang w:eastAsia="sk-SK"/>
              </w:rPr>
            </w:pPr>
            <w:r w:rsidRPr="0093021F">
              <w:rPr>
                <w:rFonts w:ascii="Times New Roman" w:eastAsia="Times New Roman" w:hAnsi="Times New Roman" w:cs="Times New Roman"/>
                <w:sz w:val="20"/>
                <w:szCs w:val="20"/>
                <w:lang w:eastAsia="sk-SK"/>
              </w:rPr>
              <w:t xml:space="preserve">    Mechanizmus znižovania byrokracie    </w:t>
            </w:r>
          </w:p>
          <w:p w14:paraId="4EC39D05"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16BB28A"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BAD3D49"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014FB9A" w14:textId="77777777" w:rsidR="00C747AF" w:rsidRPr="0093021F" w:rsidRDefault="00C747AF" w:rsidP="00263110">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00513DE" w14:textId="77777777" w:rsidR="00C747AF" w:rsidRPr="0093021F" w:rsidRDefault="00C747AF" w:rsidP="00263110">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DD80C15"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45452B4"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sz w:val="20"/>
                <w:szCs w:val="20"/>
                <w:lang w:eastAsia="sk-SK"/>
              </w:rPr>
              <w:t>Nie</w:t>
            </w:r>
          </w:p>
        </w:tc>
      </w:tr>
      <w:tr w:rsidR="00C747AF" w:rsidRPr="0093021F" w14:paraId="48204D2A" w14:textId="77777777" w:rsidTr="00263110">
        <w:tc>
          <w:tcPr>
            <w:tcW w:w="3812" w:type="dxa"/>
            <w:tcBorders>
              <w:top w:val="single" w:sz="4" w:space="0" w:color="000000"/>
              <w:left w:val="single" w:sz="4" w:space="0" w:color="auto"/>
              <w:bottom w:val="single" w:sz="4" w:space="0" w:color="auto"/>
              <w:right w:val="single" w:sz="4" w:space="0" w:color="auto"/>
            </w:tcBorders>
            <w:shd w:val="clear" w:color="auto" w:fill="E2E2E2"/>
          </w:tcPr>
          <w:p w14:paraId="53F190E2"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5501D38"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D7DD57F"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742F31"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74364A3"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F78822D"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D26E4B2"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3C01BF8A" w14:textId="77777777" w:rsidTr="00263110">
        <w:tc>
          <w:tcPr>
            <w:tcW w:w="3812" w:type="dxa"/>
            <w:tcBorders>
              <w:top w:val="single" w:sz="4" w:space="0" w:color="auto"/>
              <w:left w:val="single" w:sz="4" w:space="0" w:color="auto"/>
              <w:bottom w:val="single" w:sz="4" w:space="0" w:color="auto"/>
              <w:right w:val="single" w:sz="4" w:space="0" w:color="auto"/>
            </w:tcBorders>
            <w:shd w:val="clear" w:color="auto" w:fill="E2E2E2"/>
          </w:tcPr>
          <w:p w14:paraId="1A3D2F8F"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856389F"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EC70407"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3F25956"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359F515"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D1C135A"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91F2CAC"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674BB8F8" w14:textId="77777777" w:rsidTr="00263110">
        <w:tc>
          <w:tcPr>
            <w:tcW w:w="3812" w:type="dxa"/>
            <w:tcBorders>
              <w:top w:val="single" w:sz="4" w:space="0" w:color="auto"/>
              <w:left w:val="single" w:sz="4" w:space="0" w:color="auto"/>
              <w:bottom w:val="single" w:sz="4" w:space="0" w:color="auto"/>
              <w:right w:val="single" w:sz="4" w:space="0" w:color="auto"/>
            </w:tcBorders>
            <w:shd w:val="clear" w:color="auto" w:fill="E2E2E2"/>
          </w:tcPr>
          <w:p w14:paraId="2A1DF11E"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9B7D986"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D20CA69"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E020B16"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F704F64"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2A287AA"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03B8AE1"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747AF" w:rsidRPr="0093021F" w14:paraId="78C035F1" w14:textId="77777777" w:rsidTr="00263110">
        <w:tc>
          <w:tcPr>
            <w:tcW w:w="3812" w:type="dxa"/>
            <w:tcBorders>
              <w:top w:val="single" w:sz="4" w:space="0" w:color="auto"/>
              <w:left w:val="single" w:sz="4" w:space="0" w:color="auto"/>
              <w:bottom w:val="nil"/>
              <w:right w:val="single" w:sz="4" w:space="0" w:color="auto"/>
            </w:tcBorders>
            <w:shd w:val="clear" w:color="auto" w:fill="E2E2E2"/>
          </w:tcPr>
          <w:p w14:paraId="5F03FD20" w14:textId="77777777" w:rsidR="00C747AF" w:rsidRPr="0093021F" w:rsidRDefault="00C747AF" w:rsidP="00263110">
            <w:pPr>
              <w:spacing w:after="0" w:line="240" w:lineRule="auto"/>
              <w:rPr>
                <w:rFonts w:ascii="Times New Roman" w:eastAsia="Times New Roman" w:hAnsi="Times New Roman" w:cs="Times New Roman"/>
                <w:b/>
                <w:sz w:val="20"/>
                <w:szCs w:val="20"/>
                <w:lang w:eastAsia="sk-SK"/>
              </w:rPr>
            </w:pPr>
            <w:r w:rsidRPr="0093021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7129835" w14:textId="77777777" w:rsidR="00C747AF" w:rsidRPr="0093021F" w:rsidRDefault="00C747AF" w:rsidP="00263110">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5F65EC17" w14:textId="77777777" w:rsidR="00C747AF" w:rsidRPr="0093021F" w:rsidRDefault="00C747AF" w:rsidP="00263110">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641F0917" w14:textId="77777777" w:rsidR="00C747AF" w:rsidRPr="0093021F" w:rsidRDefault="00C747AF" w:rsidP="00263110">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15ACB649" w14:textId="77777777" w:rsidR="00C747AF" w:rsidRPr="0093021F" w:rsidRDefault="00C747AF" w:rsidP="00263110">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DD9DCD2" w14:textId="77777777" w:rsidR="00C747AF" w:rsidRPr="0093021F" w:rsidRDefault="00C747AF" w:rsidP="00263110">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9F93702" w14:textId="77777777" w:rsidR="00C747AF" w:rsidRPr="0093021F" w:rsidRDefault="00C747AF" w:rsidP="00263110">
            <w:pPr>
              <w:spacing w:after="0" w:line="240" w:lineRule="auto"/>
              <w:ind w:left="54"/>
              <w:rPr>
                <w:rFonts w:ascii="Times New Roman" w:eastAsia="Times New Roman" w:hAnsi="Times New Roman" w:cs="Times New Roman"/>
                <w:b/>
                <w:sz w:val="20"/>
                <w:szCs w:val="20"/>
                <w:lang w:eastAsia="sk-SK"/>
              </w:rPr>
            </w:pPr>
          </w:p>
        </w:tc>
      </w:tr>
      <w:tr w:rsidR="00C747AF" w:rsidRPr="0093021F" w14:paraId="49902D2D" w14:textId="77777777" w:rsidTr="00263110">
        <w:tc>
          <w:tcPr>
            <w:tcW w:w="3812" w:type="dxa"/>
            <w:tcBorders>
              <w:top w:val="nil"/>
              <w:left w:val="single" w:sz="4" w:space="0" w:color="auto"/>
              <w:bottom w:val="nil"/>
              <w:right w:val="single" w:sz="4" w:space="0" w:color="auto"/>
            </w:tcBorders>
            <w:shd w:val="clear" w:color="auto" w:fill="E2E2E2"/>
          </w:tcPr>
          <w:p w14:paraId="00E2662D" w14:textId="77777777" w:rsidR="00C747AF" w:rsidRPr="0093021F" w:rsidRDefault="00C747AF" w:rsidP="00263110">
            <w:pPr>
              <w:spacing w:after="0" w:line="240" w:lineRule="auto"/>
              <w:ind w:left="196" w:hanging="196"/>
              <w:rPr>
                <w:rFonts w:ascii="Times New Roman" w:eastAsia="Calibri" w:hAnsi="Times New Roman" w:cs="Times New Roman"/>
                <w:b/>
                <w:sz w:val="20"/>
                <w:szCs w:val="20"/>
              </w:rPr>
            </w:pPr>
            <w:r w:rsidRPr="0093021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8767723"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3C52254" w14:textId="77777777" w:rsidR="00C747AF" w:rsidRPr="0093021F" w:rsidRDefault="00C747AF" w:rsidP="00263110">
            <w:pPr>
              <w:spacing w:after="0" w:line="240" w:lineRule="auto"/>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CC2C0B9"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6687763" w14:textId="77777777" w:rsidR="00C747AF" w:rsidRPr="0093021F" w:rsidRDefault="00C747AF" w:rsidP="00263110">
            <w:pPr>
              <w:spacing w:after="0" w:line="240" w:lineRule="auto"/>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0B8E650"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0683A44" w14:textId="77777777" w:rsidR="00C747AF" w:rsidRPr="0093021F" w:rsidRDefault="00C747AF" w:rsidP="00263110">
            <w:pPr>
              <w:spacing w:after="0" w:line="240" w:lineRule="auto"/>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r w:rsidR="00C747AF" w:rsidRPr="0093021F" w14:paraId="0802A033" w14:textId="77777777" w:rsidTr="00263110">
        <w:tc>
          <w:tcPr>
            <w:tcW w:w="3812" w:type="dxa"/>
            <w:tcBorders>
              <w:top w:val="nil"/>
              <w:left w:val="single" w:sz="4" w:space="0" w:color="auto"/>
              <w:bottom w:val="nil"/>
              <w:right w:val="single" w:sz="4" w:space="0" w:color="auto"/>
            </w:tcBorders>
            <w:shd w:val="clear" w:color="auto" w:fill="E2E2E2"/>
          </w:tcPr>
          <w:p w14:paraId="3B2200EC" w14:textId="77777777" w:rsidR="00C747AF" w:rsidRPr="0093021F" w:rsidRDefault="00C747AF" w:rsidP="00263110">
            <w:pPr>
              <w:spacing w:after="0" w:line="240" w:lineRule="auto"/>
              <w:ind w:left="168" w:hanging="168"/>
              <w:rPr>
                <w:rFonts w:ascii="Times New Roman" w:eastAsia="Calibri" w:hAnsi="Times New Roman" w:cs="Times New Roman"/>
                <w:b/>
                <w:sz w:val="20"/>
                <w:szCs w:val="20"/>
              </w:rPr>
            </w:pPr>
            <w:r w:rsidRPr="0093021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28A34F4"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B1E389A" w14:textId="77777777" w:rsidR="00C747AF" w:rsidRPr="0093021F" w:rsidRDefault="00C747AF" w:rsidP="00263110">
            <w:pPr>
              <w:spacing w:after="0" w:line="240" w:lineRule="auto"/>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16E3C1E"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D053260" w14:textId="77777777" w:rsidR="00C747AF" w:rsidRPr="0093021F" w:rsidRDefault="00C747AF" w:rsidP="00263110">
            <w:pPr>
              <w:spacing w:after="0" w:line="240" w:lineRule="auto"/>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B6A60CC" w14:textId="77777777" w:rsidR="00C747AF" w:rsidRPr="0093021F" w:rsidRDefault="00C747AF" w:rsidP="00263110">
                <w:pPr>
                  <w:spacing w:after="0" w:line="240" w:lineRule="auto"/>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B10365F" w14:textId="77777777" w:rsidR="00C747AF" w:rsidRPr="0093021F" w:rsidRDefault="00C747AF" w:rsidP="00263110">
            <w:pPr>
              <w:spacing w:after="0" w:line="240" w:lineRule="auto"/>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747AF" w:rsidRPr="0093021F" w14:paraId="7E07A5D7" w14:textId="77777777" w:rsidTr="00263110">
        <w:tc>
          <w:tcPr>
            <w:tcW w:w="3812" w:type="dxa"/>
            <w:tcBorders>
              <w:top w:val="single" w:sz="4" w:space="0" w:color="000000"/>
              <w:left w:val="single" w:sz="4" w:space="0" w:color="auto"/>
              <w:bottom w:val="single" w:sz="4" w:space="0" w:color="auto"/>
              <w:right w:val="single" w:sz="4" w:space="0" w:color="auto"/>
            </w:tcBorders>
            <w:shd w:val="clear" w:color="auto" w:fill="E2E2E2"/>
          </w:tcPr>
          <w:p w14:paraId="67C87527"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04354F4"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21ECAD1" w14:textId="77777777" w:rsidR="00C747AF" w:rsidRPr="0093021F" w:rsidRDefault="00C747AF" w:rsidP="00263110">
            <w:pPr>
              <w:ind w:right="-108"/>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25773E9" w14:textId="77777777" w:rsidR="00C747AF" w:rsidRPr="0093021F" w:rsidRDefault="00C747AF" w:rsidP="0026311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006B67F" w14:textId="77777777" w:rsidR="00C747AF" w:rsidRPr="0093021F" w:rsidRDefault="00C747AF" w:rsidP="00263110">
            <w:pPr>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C93F27D" w14:textId="77777777" w:rsidR="00C747AF" w:rsidRPr="0093021F" w:rsidRDefault="00C747AF" w:rsidP="00263110">
                <w:pPr>
                  <w:jc w:val="center"/>
                  <w:rPr>
                    <w:rFonts w:ascii="Times New Roman" w:eastAsia="Times New Roman" w:hAnsi="Times New Roman" w:cs="Times New Roman"/>
                    <w:b/>
                    <w:sz w:val="20"/>
                    <w:szCs w:val="20"/>
                    <w:lang w:eastAsia="sk-SK"/>
                  </w:rPr>
                </w:pPr>
                <w:r w:rsidRPr="0093021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CA82C6" w14:textId="77777777" w:rsidR="00C747AF" w:rsidRPr="0093021F" w:rsidRDefault="00C747AF" w:rsidP="00263110">
            <w:pPr>
              <w:ind w:left="54"/>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Negatívne</w:t>
            </w:r>
          </w:p>
        </w:tc>
      </w:tr>
    </w:tbl>
    <w:p w14:paraId="067226FD" w14:textId="77777777" w:rsidR="00C747AF" w:rsidRPr="0093021F" w:rsidRDefault="00C747AF" w:rsidP="00C747A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C747AF" w:rsidRPr="0093021F" w14:paraId="30607C4B" w14:textId="77777777" w:rsidTr="00263110">
        <w:tc>
          <w:tcPr>
            <w:tcW w:w="9176" w:type="dxa"/>
            <w:tcBorders>
              <w:top w:val="single" w:sz="4" w:space="0" w:color="auto"/>
              <w:left w:val="single" w:sz="4" w:space="0" w:color="auto"/>
              <w:bottom w:val="nil"/>
              <w:right w:val="single" w:sz="4" w:space="0" w:color="auto"/>
            </w:tcBorders>
            <w:shd w:val="clear" w:color="auto" w:fill="E2E2E2"/>
          </w:tcPr>
          <w:p w14:paraId="644E7161"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Poznámky</w:t>
            </w:r>
          </w:p>
        </w:tc>
      </w:tr>
      <w:tr w:rsidR="00C747AF" w:rsidRPr="0093021F" w14:paraId="157D2982" w14:textId="77777777" w:rsidTr="0026311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08D0BDD" w14:textId="77777777" w:rsidR="00C747AF" w:rsidRPr="0093021F" w:rsidRDefault="00C747AF" w:rsidP="00263110">
            <w:pPr>
              <w:jc w:val="both"/>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3E0CBCC1" w14:textId="77777777" w:rsidR="00C747AF" w:rsidRPr="0093021F" w:rsidRDefault="00C747AF" w:rsidP="00263110">
            <w:pPr>
              <w:jc w:val="both"/>
              <w:rPr>
                <w:rFonts w:ascii="Times New Roman" w:eastAsia="Times New Roman" w:hAnsi="Times New Roman" w:cs="Times New Roman"/>
                <w:i/>
                <w:sz w:val="20"/>
                <w:szCs w:val="20"/>
                <w:lang w:eastAsia="sk-SK"/>
              </w:rPr>
            </w:pPr>
          </w:p>
          <w:p w14:paraId="09B21D0C" w14:textId="77777777" w:rsidR="00C747AF" w:rsidRDefault="00C747AF" w:rsidP="00263110">
            <w:pPr>
              <w:jc w:val="both"/>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11107A4" w14:textId="77777777" w:rsidR="00C747AF" w:rsidRPr="00B969F3" w:rsidRDefault="00C747AF" w:rsidP="0026311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Úrad síce získava nové právomoci, tie sa však s ohľadom na ich uplatnenie podnikateľov so sídlom v Slovenskej republike významnejšie nedotknú. </w:t>
            </w:r>
          </w:p>
          <w:p w14:paraId="555ECD7B" w14:textId="77777777" w:rsidR="00C747AF" w:rsidRPr="0093021F" w:rsidRDefault="00C747AF" w:rsidP="00263110">
            <w:pPr>
              <w:jc w:val="both"/>
              <w:rPr>
                <w:rFonts w:ascii="Times New Roman" w:eastAsia="Times New Roman" w:hAnsi="Times New Roman" w:cs="Times New Roman"/>
                <w:i/>
                <w:sz w:val="20"/>
                <w:szCs w:val="20"/>
                <w:lang w:eastAsia="sk-SK"/>
              </w:rPr>
            </w:pPr>
          </w:p>
          <w:p w14:paraId="30FDDCA6" w14:textId="77777777" w:rsidR="00C747AF" w:rsidRPr="0093021F" w:rsidRDefault="00C747AF" w:rsidP="00263110">
            <w:pPr>
              <w:jc w:val="both"/>
              <w:rPr>
                <w:rFonts w:ascii="Times New Roman" w:eastAsia="Times New Roman" w:hAnsi="Times New Roman" w:cs="Times New Roman"/>
                <w:i/>
                <w:sz w:val="20"/>
                <w:szCs w:val="20"/>
                <w:lang w:eastAsia="sk-SK"/>
              </w:rPr>
            </w:pPr>
            <w:r w:rsidRPr="0093021F">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1606948A" w14:textId="77777777" w:rsidR="00C747AF" w:rsidRPr="0093021F" w:rsidRDefault="00C747AF" w:rsidP="00263110">
            <w:pPr>
              <w:ind w:left="426"/>
              <w:contextualSpacing/>
              <w:rPr>
                <w:rFonts w:ascii="Times New Roman" w:eastAsia="Calibri" w:hAnsi="Times New Roman" w:cs="Times New Roman"/>
                <w:b/>
              </w:rPr>
            </w:pPr>
          </w:p>
        </w:tc>
      </w:tr>
      <w:tr w:rsidR="00C747AF" w:rsidRPr="0093021F" w14:paraId="1B8CC2AD" w14:textId="77777777" w:rsidTr="002631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7DAE1C9E"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Kontakt na spracovateľa</w:t>
            </w:r>
          </w:p>
        </w:tc>
      </w:tr>
      <w:tr w:rsidR="00C747AF" w:rsidRPr="0093021F" w14:paraId="4F11D6F2" w14:textId="77777777" w:rsidTr="0026311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2152245" w14:textId="77777777" w:rsidR="00C747AF" w:rsidRDefault="00C747AF" w:rsidP="0026311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Mgr. Michaela Nosa, PhD.</w:t>
            </w:r>
          </w:p>
          <w:p w14:paraId="7FD0661D" w14:textId="77777777" w:rsidR="00C747AF" w:rsidRDefault="00C747AF" w:rsidP="0026311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riaditeľka </w:t>
            </w:r>
            <w:r w:rsidRPr="00130D48">
              <w:rPr>
                <w:rFonts w:ascii="Times New Roman" w:eastAsia="Times New Roman" w:hAnsi="Times New Roman" w:cs="Times New Roman"/>
                <w:sz w:val="20"/>
                <w:szCs w:val="20"/>
                <w:lang w:eastAsia="sk-SK"/>
              </w:rPr>
              <w:t>odbor</w:t>
            </w:r>
            <w:r>
              <w:rPr>
                <w:rFonts w:ascii="Times New Roman" w:eastAsia="Times New Roman" w:hAnsi="Times New Roman" w:cs="Times New Roman"/>
                <w:sz w:val="20"/>
                <w:szCs w:val="20"/>
                <w:lang w:eastAsia="sk-SK"/>
              </w:rPr>
              <w:t>u</w:t>
            </w:r>
            <w:r w:rsidRPr="00130D48">
              <w:rPr>
                <w:rFonts w:ascii="Times New Roman" w:eastAsia="Times New Roman" w:hAnsi="Times New Roman" w:cs="Times New Roman"/>
                <w:sz w:val="20"/>
                <w:szCs w:val="20"/>
                <w:lang w:eastAsia="sk-SK"/>
              </w:rPr>
              <w:t xml:space="preserve"> legislatívno-právny a zahraničných vzťahov</w:t>
            </w:r>
          </w:p>
          <w:p w14:paraId="78EA5774" w14:textId="77777777" w:rsidR="00C747AF" w:rsidRPr="00130D48" w:rsidRDefault="00C747AF" w:rsidP="0026311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telefón: +421/2/22 12 21 46</w:t>
            </w:r>
          </w:p>
          <w:p w14:paraId="5129E3B7" w14:textId="77777777" w:rsidR="00C747AF" w:rsidRPr="0093021F" w:rsidRDefault="00C747AF" w:rsidP="00263110">
            <w:pPr>
              <w:rPr>
                <w:rFonts w:ascii="Times New Roman" w:eastAsia="Times New Roman" w:hAnsi="Times New Roman" w:cs="Times New Roman"/>
                <w:i/>
                <w:sz w:val="20"/>
                <w:szCs w:val="20"/>
                <w:lang w:eastAsia="sk-SK"/>
              </w:rPr>
            </w:pPr>
            <w:r w:rsidRPr="00130D48">
              <w:rPr>
                <w:rFonts w:ascii="Times New Roman" w:eastAsia="Times New Roman" w:hAnsi="Times New Roman" w:cs="Times New Roman"/>
                <w:sz w:val="20"/>
                <w:szCs w:val="20"/>
                <w:lang w:eastAsia="sk-SK"/>
              </w:rPr>
              <w:t xml:space="preserve">email: </w:t>
            </w:r>
            <w:hyperlink r:id="rId7" w:history="1">
              <w:r w:rsidRPr="00877104">
                <w:rPr>
                  <w:rStyle w:val="Hypertextovprepojenie"/>
                  <w:rFonts w:ascii="Times New Roman" w:eastAsia="Times New Roman" w:hAnsi="Times New Roman" w:cs="Times New Roman"/>
                  <w:sz w:val="20"/>
                  <w:szCs w:val="20"/>
                  <w:lang w:eastAsia="sk-SK"/>
                </w:rPr>
                <w:t>olp</w:t>
              </w:r>
              <w:r w:rsidRPr="00130D48">
                <w:rPr>
                  <w:rStyle w:val="Hypertextovprepojenie"/>
                  <w:rFonts w:ascii="Times New Roman" w:eastAsia="Times New Roman" w:hAnsi="Times New Roman" w:cs="Times New Roman"/>
                  <w:sz w:val="20"/>
                  <w:szCs w:val="20"/>
                  <w:lang w:eastAsia="sk-SK"/>
                </w:rPr>
                <w:t>zv@antimon.gov.sk</w:t>
              </w:r>
            </w:hyperlink>
          </w:p>
        </w:tc>
      </w:tr>
      <w:tr w:rsidR="00C747AF" w:rsidRPr="0093021F" w14:paraId="2FC732DD" w14:textId="77777777" w:rsidTr="002631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7A6FD83A" w14:textId="77777777" w:rsidR="00C747AF" w:rsidRPr="0093021F" w:rsidRDefault="00C747AF" w:rsidP="00C747AF">
            <w:pPr>
              <w:numPr>
                <w:ilvl w:val="0"/>
                <w:numId w:val="2"/>
              </w:numPr>
              <w:ind w:left="426"/>
              <w:contextualSpacing/>
              <w:rPr>
                <w:rFonts w:ascii="Times New Roman" w:eastAsia="Calibri" w:hAnsi="Times New Roman" w:cs="Times New Roman"/>
                <w:b/>
              </w:rPr>
            </w:pPr>
            <w:r w:rsidRPr="0093021F">
              <w:rPr>
                <w:rFonts w:ascii="Times New Roman" w:eastAsia="Calibri" w:hAnsi="Times New Roman" w:cs="Times New Roman"/>
                <w:b/>
              </w:rPr>
              <w:t>Zdroje</w:t>
            </w:r>
          </w:p>
        </w:tc>
      </w:tr>
      <w:tr w:rsidR="00C747AF" w:rsidRPr="0093021F" w14:paraId="73002A47" w14:textId="77777777" w:rsidTr="0026311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7F723A0" w14:textId="77777777" w:rsidR="00C747AF" w:rsidRDefault="00C747AF" w:rsidP="00263110">
            <w:pPr>
              <w:jc w:val="both"/>
              <w:rPr>
                <w:rFonts w:ascii="Times New Roman" w:eastAsia="Calibri" w:hAnsi="Times New Roman" w:cs="Times New Roman"/>
                <w:sz w:val="24"/>
                <w:szCs w:val="24"/>
              </w:rPr>
            </w:pPr>
            <w:r w:rsidRPr="0093021F">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93021F">
              <w:rPr>
                <w:rFonts w:ascii="Times New Roman" w:eastAsia="Calibri" w:hAnsi="Times New Roman" w:cs="Times New Roman"/>
                <w:sz w:val="24"/>
                <w:szCs w:val="24"/>
              </w:rPr>
              <w:t xml:space="preserve"> </w:t>
            </w:r>
          </w:p>
          <w:p w14:paraId="2F1E74B6" w14:textId="77777777" w:rsidR="00C747AF" w:rsidRDefault="00C747AF" w:rsidP="00263110">
            <w:pPr>
              <w:rPr>
                <w:rFonts w:ascii="Times New Roman" w:eastAsia="Times New Roman" w:hAnsi="Times New Roman" w:cs="Times New Roman"/>
                <w:sz w:val="20"/>
                <w:szCs w:val="20"/>
                <w:lang w:eastAsia="sk-SK"/>
              </w:rPr>
            </w:pPr>
          </w:p>
          <w:p w14:paraId="3E703DD0" w14:textId="77777777" w:rsidR="00C747AF" w:rsidRPr="0093021F" w:rsidRDefault="00C747AF" w:rsidP="00263110">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Nariadenie DMA, nariadenie o zahraničných subvenciách a sprievodná dokumentácia k nim.</w:t>
            </w:r>
          </w:p>
        </w:tc>
      </w:tr>
      <w:tr w:rsidR="00C747AF" w:rsidRPr="0093021F" w14:paraId="16F14055" w14:textId="77777777" w:rsidTr="002631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6862DE33" w14:textId="77777777" w:rsidR="00C747AF" w:rsidRPr="0093021F" w:rsidRDefault="00C747AF" w:rsidP="00C747AF">
            <w:pPr>
              <w:numPr>
                <w:ilvl w:val="0"/>
                <w:numId w:val="2"/>
              </w:numPr>
              <w:ind w:left="447" w:hanging="425"/>
              <w:contextualSpacing/>
              <w:rPr>
                <w:rFonts w:ascii="Times New Roman" w:eastAsia="Calibri" w:hAnsi="Times New Roman" w:cs="Times New Roman"/>
                <w:b/>
              </w:rPr>
            </w:pPr>
            <w:r w:rsidRPr="0093021F">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108/2023</w:t>
            </w:r>
            <w:r w:rsidRPr="0093021F">
              <w:rPr>
                <w:rFonts w:ascii="Times New Roman" w:eastAsia="Calibri" w:hAnsi="Times New Roman" w:cs="Times New Roman"/>
              </w:rPr>
              <w:t xml:space="preserve"> </w:t>
            </w:r>
          </w:p>
          <w:p w14:paraId="33F346D6" w14:textId="77777777" w:rsidR="00C747AF" w:rsidRPr="0093021F" w:rsidRDefault="00C747AF" w:rsidP="00263110">
            <w:pPr>
              <w:ind w:left="502"/>
              <w:rPr>
                <w:rFonts w:ascii="Times New Roman" w:eastAsia="Times New Roman" w:hAnsi="Times New Roman" w:cs="Times New Roman"/>
                <w:b/>
                <w:sz w:val="20"/>
                <w:szCs w:val="20"/>
                <w:lang w:eastAsia="sk-SK"/>
              </w:rPr>
            </w:pPr>
            <w:r w:rsidRPr="0093021F">
              <w:rPr>
                <w:rFonts w:ascii="Times New Roman" w:eastAsia="Calibri" w:hAnsi="Times New Roman" w:cs="Times New Roman"/>
              </w:rPr>
              <w:t>(v prípade, ak sa uskutočnilo v zmysle bodu 8.1 Jednotnej metodiky)</w:t>
            </w:r>
          </w:p>
        </w:tc>
      </w:tr>
      <w:tr w:rsidR="00C747AF" w:rsidRPr="0093021F" w14:paraId="40EB31F7" w14:textId="77777777" w:rsidTr="0026311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03DC662" w14:textId="77777777" w:rsidR="00C747AF" w:rsidRPr="009C049F" w:rsidRDefault="00C747AF" w:rsidP="0026311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747AF" w:rsidRPr="009C049F" w14:paraId="423D3C7A" w14:textId="77777777" w:rsidTr="00263110">
              <w:trPr>
                <w:trHeight w:val="396"/>
              </w:trPr>
              <w:tc>
                <w:tcPr>
                  <w:tcW w:w="2552" w:type="dxa"/>
                </w:tcPr>
                <w:p w14:paraId="1CF07EB6" w14:textId="77777777" w:rsidR="00C747AF" w:rsidRPr="009C049F" w:rsidRDefault="00B613D8" w:rsidP="0026311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C747AF" w:rsidRPr="009C049F">
                        <w:rPr>
                          <w:rFonts w:ascii="Segoe UI Symbol" w:eastAsia="MS Gothic" w:hAnsi="Segoe UI Symbol" w:cs="Segoe UI Symbol"/>
                          <w:b/>
                          <w:sz w:val="20"/>
                          <w:szCs w:val="20"/>
                          <w:lang w:eastAsia="sk-SK"/>
                        </w:rPr>
                        <w:t>☐</w:t>
                      </w:r>
                    </w:sdtContent>
                  </w:sdt>
                  <w:r w:rsidR="00C747AF" w:rsidRPr="009C049F">
                    <w:rPr>
                      <w:rFonts w:ascii="Times New Roman" w:eastAsia="Times New Roman" w:hAnsi="Times New Roman" w:cs="Times New Roman"/>
                      <w:b/>
                      <w:sz w:val="20"/>
                      <w:szCs w:val="20"/>
                      <w:lang w:eastAsia="sk-SK"/>
                    </w:rPr>
                    <w:t xml:space="preserve">  Súhlasné </w:t>
                  </w:r>
                </w:p>
              </w:tc>
              <w:tc>
                <w:tcPr>
                  <w:tcW w:w="3827" w:type="dxa"/>
                </w:tcPr>
                <w:p w14:paraId="5139CF2D" w14:textId="77777777" w:rsidR="00C747AF" w:rsidRPr="009C049F" w:rsidRDefault="00B613D8" w:rsidP="0026311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C747AF" w:rsidRPr="009C049F">
                        <w:rPr>
                          <w:rFonts w:ascii="Segoe UI Symbol" w:eastAsia="MS Gothic" w:hAnsi="Segoe UI Symbol" w:cs="Segoe UI Symbol"/>
                          <w:b/>
                          <w:sz w:val="20"/>
                          <w:szCs w:val="20"/>
                          <w:lang w:eastAsia="sk-SK"/>
                        </w:rPr>
                        <w:t>☐</w:t>
                      </w:r>
                    </w:sdtContent>
                  </w:sdt>
                  <w:r w:rsidR="00C747AF" w:rsidRPr="009C049F">
                    <w:rPr>
                      <w:rFonts w:ascii="Times New Roman" w:eastAsia="Times New Roman" w:hAnsi="Times New Roman" w:cs="Times New Roman"/>
                      <w:b/>
                      <w:sz w:val="20"/>
                      <w:szCs w:val="20"/>
                      <w:lang w:eastAsia="sk-SK"/>
                    </w:rPr>
                    <w:t xml:space="preserve">  Súhlasné s návrhom na dopracovanie</w:t>
                  </w:r>
                </w:p>
              </w:tc>
              <w:tc>
                <w:tcPr>
                  <w:tcW w:w="2534" w:type="dxa"/>
                </w:tcPr>
                <w:p w14:paraId="31CDE0FE" w14:textId="77777777" w:rsidR="00C747AF" w:rsidRPr="009C049F" w:rsidRDefault="00B613D8" w:rsidP="0026311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C747AF" w:rsidRPr="009C049F">
                        <w:rPr>
                          <w:rFonts w:ascii="Segoe UI Symbol" w:eastAsia="MS Gothic" w:hAnsi="Segoe UI Symbol" w:cs="Segoe UI Symbol"/>
                          <w:b/>
                          <w:sz w:val="20"/>
                          <w:szCs w:val="20"/>
                          <w:lang w:eastAsia="sk-SK"/>
                        </w:rPr>
                        <w:t>☒</w:t>
                      </w:r>
                    </w:sdtContent>
                  </w:sdt>
                  <w:r w:rsidR="00C747AF" w:rsidRPr="009C049F">
                    <w:rPr>
                      <w:rFonts w:ascii="Times New Roman" w:eastAsia="Times New Roman" w:hAnsi="Times New Roman" w:cs="Times New Roman"/>
                      <w:b/>
                      <w:sz w:val="20"/>
                      <w:szCs w:val="20"/>
                      <w:lang w:eastAsia="sk-SK"/>
                    </w:rPr>
                    <w:t xml:space="preserve">  Nesúhlasné</w:t>
                  </w:r>
                </w:p>
              </w:tc>
            </w:tr>
          </w:tbl>
          <w:p w14:paraId="4245E3BF" w14:textId="77777777" w:rsidR="00C747AF" w:rsidRPr="009C049F" w:rsidRDefault="00C747AF" w:rsidP="00263110">
            <w:pPr>
              <w:jc w:val="both"/>
              <w:rPr>
                <w:rFonts w:ascii="Times New Roman" w:eastAsia="Times New Roman" w:hAnsi="Times New Roman" w:cs="Times New Roman"/>
                <w:b/>
                <w:sz w:val="20"/>
                <w:szCs w:val="20"/>
                <w:lang w:eastAsia="sk-SK"/>
              </w:rPr>
            </w:pPr>
            <w:r w:rsidRPr="009C049F">
              <w:rPr>
                <w:rFonts w:ascii="Times New Roman" w:eastAsia="Times New Roman" w:hAnsi="Times New Roman" w:cs="Times New Roman"/>
                <w:b/>
                <w:sz w:val="20"/>
                <w:szCs w:val="20"/>
                <w:lang w:eastAsia="sk-SK"/>
              </w:rPr>
              <w:t>Uveďte pripomienky zo stanoviska Komisie z časti II. spolu s Vaším vyhodnotením:</w:t>
            </w:r>
          </w:p>
          <w:p w14:paraId="0E3EDE8C" w14:textId="77777777" w:rsidR="00C747AF" w:rsidRPr="009C049F" w:rsidRDefault="00C747AF" w:rsidP="00263110">
            <w:pPr>
              <w:rPr>
                <w:rFonts w:ascii="Times New Roman" w:eastAsia="Times New Roman" w:hAnsi="Times New Roman" w:cs="Times New Roman"/>
                <w:b/>
                <w:sz w:val="20"/>
                <w:szCs w:val="20"/>
                <w:lang w:eastAsia="sk-SK"/>
              </w:rPr>
            </w:pPr>
          </w:p>
          <w:p w14:paraId="1CEC5144" w14:textId="77777777" w:rsidR="00C747AF" w:rsidRPr="009C049F" w:rsidRDefault="00C747AF" w:rsidP="00263110">
            <w:pPr>
              <w:jc w:val="both"/>
              <w:rPr>
                <w:rFonts w:ascii="Times New Roman" w:hAnsi="Times New Roman" w:cs="Times New Roman"/>
                <w:b/>
                <w:sz w:val="20"/>
                <w:szCs w:val="20"/>
                <w:lang w:eastAsia="sk-SK"/>
              </w:rPr>
            </w:pPr>
            <w:r w:rsidRPr="009C049F">
              <w:rPr>
                <w:rFonts w:ascii="Times New Roman" w:hAnsi="Times New Roman" w:cs="Times New Roman"/>
                <w:b/>
                <w:sz w:val="20"/>
                <w:szCs w:val="20"/>
                <w:lang w:eastAsia="sk-SK"/>
              </w:rPr>
              <w:t>K doložke vybraných vplyvov</w:t>
            </w:r>
          </w:p>
          <w:p w14:paraId="30F65E38" w14:textId="77777777" w:rsidR="00C747AF" w:rsidRDefault="00C747AF" w:rsidP="00263110">
            <w:pPr>
              <w:pStyle w:val="xxxmsonormal"/>
              <w:jc w:val="both"/>
              <w:rPr>
                <w:sz w:val="20"/>
                <w:szCs w:val="20"/>
              </w:rPr>
            </w:pPr>
          </w:p>
          <w:p w14:paraId="76894CE1" w14:textId="77777777" w:rsidR="00C747AF" w:rsidRPr="009C049F" w:rsidRDefault="00C747AF" w:rsidP="00263110">
            <w:pPr>
              <w:pStyle w:val="xxxmsonormal"/>
              <w:jc w:val="both"/>
              <w:rPr>
                <w:sz w:val="20"/>
                <w:szCs w:val="20"/>
              </w:rPr>
            </w:pPr>
            <w:r w:rsidRPr="009C049F">
              <w:rPr>
                <w:sz w:val="20"/>
                <w:szCs w:val="20"/>
              </w:rPr>
              <w:t>Komisia odporúča predkladateľovi v Doložke vybraných vplyvov v časti 5. Alternatívne riešenia doplniť alternatívne riešenia a/alebo nulový variant.</w:t>
            </w:r>
          </w:p>
          <w:p w14:paraId="0C5738F8" w14:textId="77777777" w:rsidR="00C747AF" w:rsidRDefault="00C747AF" w:rsidP="00263110">
            <w:pPr>
              <w:pStyle w:val="xxxmsonormal"/>
              <w:jc w:val="both"/>
              <w:rPr>
                <w:sz w:val="20"/>
                <w:szCs w:val="20"/>
                <w:u w:val="single"/>
              </w:rPr>
            </w:pPr>
          </w:p>
          <w:p w14:paraId="093144DC" w14:textId="77777777" w:rsidR="00C747AF" w:rsidRPr="009C049F" w:rsidRDefault="00C747AF" w:rsidP="00263110">
            <w:pPr>
              <w:pStyle w:val="xxxmsonormal"/>
              <w:jc w:val="both"/>
              <w:rPr>
                <w:sz w:val="20"/>
                <w:szCs w:val="20"/>
              </w:rPr>
            </w:pPr>
            <w:r w:rsidRPr="009C049F">
              <w:rPr>
                <w:sz w:val="20"/>
                <w:szCs w:val="20"/>
                <w:u w:val="single"/>
              </w:rPr>
              <w:t>Odôvodnenie:</w:t>
            </w:r>
            <w:r w:rsidRPr="009C049F">
              <w:rPr>
                <w:sz w:val="20"/>
                <w:szCs w:val="20"/>
              </w:rPr>
              <w:t xml:space="preserve"> V rámci alternatívnych riešení je potrebné uviesť minimálne nulový variant, t. j. analýzu súčasného stavu, v rámci ktorej sa uvedú dôsledky vyplývajúce z dôvodu absencie právnej úpravy alebo nelegislatívneho materiálu, resp. z dôvodu ich neprijatia.</w:t>
            </w:r>
          </w:p>
          <w:p w14:paraId="422B5954" w14:textId="77777777" w:rsidR="00C747AF" w:rsidRDefault="00C747AF" w:rsidP="00263110">
            <w:pPr>
              <w:pStyle w:val="xxxmsonormal"/>
              <w:jc w:val="both"/>
              <w:rPr>
                <w:sz w:val="20"/>
                <w:szCs w:val="20"/>
              </w:rPr>
            </w:pPr>
          </w:p>
          <w:p w14:paraId="140EC834" w14:textId="77777777" w:rsidR="00C747AF" w:rsidRPr="00814923" w:rsidRDefault="00C747AF" w:rsidP="00263110">
            <w:pPr>
              <w:pStyle w:val="xxxmsonormal"/>
              <w:jc w:val="both"/>
              <w:rPr>
                <w:sz w:val="20"/>
                <w:szCs w:val="20"/>
              </w:rPr>
            </w:pPr>
            <w:r w:rsidRPr="00FF0773">
              <w:rPr>
                <w:sz w:val="20"/>
                <w:szCs w:val="20"/>
                <w:u w:val="single"/>
              </w:rPr>
              <w:t xml:space="preserve">Vyhodnotenie </w:t>
            </w:r>
            <w:r>
              <w:rPr>
                <w:sz w:val="20"/>
                <w:szCs w:val="20"/>
                <w:u w:val="single"/>
              </w:rPr>
              <w:t>pripomienky</w:t>
            </w:r>
            <w:r w:rsidRPr="00FF0773">
              <w:rPr>
                <w:sz w:val="20"/>
                <w:szCs w:val="20"/>
                <w:u w:val="single"/>
              </w:rPr>
              <w:t>:</w:t>
            </w:r>
            <w:r>
              <w:rPr>
                <w:sz w:val="20"/>
                <w:szCs w:val="20"/>
              </w:rPr>
              <w:t xml:space="preserve"> Pripomienka bola akceptovaná, časť</w:t>
            </w:r>
            <w:r w:rsidRPr="00FF0773">
              <w:rPr>
                <w:sz w:val="20"/>
                <w:szCs w:val="20"/>
              </w:rPr>
              <w:t xml:space="preserve"> 5. Alternatívne riešenia</w:t>
            </w:r>
            <w:r>
              <w:rPr>
                <w:sz w:val="20"/>
                <w:szCs w:val="20"/>
              </w:rPr>
              <w:t xml:space="preserve"> bola v zmysle pripomienky doplnená.</w:t>
            </w:r>
          </w:p>
          <w:p w14:paraId="162340D2" w14:textId="77777777" w:rsidR="00C747AF" w:rsidRPr="009C049F" w:rsidRDefault="00C747AF" w:rsidP="00263110">
            <w:pPr>
              <w:pStyle w:val="xxxmsonormal"/>
              <w:jc w:val="both"/>
              <w:rPr>
                <w:sz w:val="20"/>
                <w:szCs w:val="20"/>
              </w:rPr>
            </w:pPr>
          </w:p>
          <w:p w14:paraId="617A682B" w14:textId="77777777" w:rsidR="00C747AF" w:rsidRPr="009C049F" w:rsidRDefault="00C747AF" w:rsidP="00263110">
            <w:pPr>
              <w:pStyle w:val="xxxmsonormal"/>
              <w:jc w:val="both"/>
              <w:rPr>
                <w:sz w:val="20"/>
                <w:szCs w:val="20"/>
              </w:rPr>
            </w:pPr>
            <w:r w:rsidRPr="009C049F">
              <w:rPr>
                <w:sz w:val="20"/>
                <w:szCs w:val="20"/>
              </w:rPr>
              <w:t>Komisia odporúča predkladateľovi v Doložke vybraných vplyvov v časti 8. Preskúmanie účelnosti doplniť dátum a kritéria hodnotenia účelnosti predkladaného materiálu.</w:t>
            </w:r>
          </w:p>
          <w:p w14:paraId="2FFB1615" w14:textId="77777777" w:rsidR="00C747AF" w:rsidRPr="009C049F" w:rsidRDefault="00C747AF" w:rsidP="00263110">
            <w:pPr>
              <w:pStyle w:val="xxxmsonormal"/>
              <w:jc w:val="both"/>
              <w:rPr>
                <w:sz w:val="20"/>
                <w:szCs w:val="20"/>
              </w:rPr>
            </w:pPr>
            <w:r w:rsidRPr="009C049F">
              <w:rPr>
                <w:sz w:val="20"/>
                <w:szCs w:val="20"/>
                <w:u w:val="single"/>
              </w:rPr>
              <w:t>Odôvodnenie:</w:t>
            </w:r>
            <w:r w:rsidRPr="009C049F">
              <w:rPr>
                <w:sz w:val="20"/>
                <w:szCs w:val="20"/>
              </w:rPr>
              <w:t xml:space="preserve"> Preskúmanie účelnosti sa nastavuje po určitom čase, aby sa zhodnotilo, či a na základe akých kritérií bol cieľ naplnený.</w:t>
            </w:r>
          </w:p>
          <w:p w14:paraId="4E8B0303" w14:textId="77777777" w:rsidR="00C747AF" w:rsidRDefault="00C747AF" w:rsidP="00263110">
            <w:pPr>
              <w:jc w:val="both"/>
              <w:rPr>
                <w:rFonts w:ascii="Times New Roman" w:hAnsi="Times New Roman" w:cs="Times New Roman"/>
                <w:b/>
                <w:sz w:val="20"/>
                <w:szCs w:val="20"/>
                <w:lang w:eastAsia="sk-SK"/>
              </w:rPr>
            </w:pPr>
          </w:p>
          <w:p w14:paraId="45FF6CB2" w14:textId="77777777" w:rsidR="00C747AF" w:rsidRPr="00814923" w:rsidRDefault="00C747AF" w:rsidP="00263110">
            <w:pPr>
              <w:pStyle w:val="xxxmsonormal"/>
              <w:jc w:val="both"/>
              <w:rPr>
                <w:sz w:val="20"/>
                <w:szCs w:val="20"/>
              </w:rPr>
            </w:pPr>
            <w:r w:rsidRPr="00FF0773">
              <w:rPr>
                <w:sz w:val="20"/>
                <w:szCs w:val="20"/>
                <w:u w:val="single"/>
              </w:rPr>
              <w:t xml:space="preserve">Vyhodnotenie </w:t>
            </w:r>
            <w:r>
              <w:rPr>
                <w:sz w:val="20"/>
                <w:szCs w:val="20"/>
                <w:u w:val="single"/>
              </w:rPr>
              <w:t>pripomienky</w:t>
            </w:r>
            <w:r w:rsidRPr="00FF0773">
              <w:rPr>
                <w:sz w:val="20"/>
                <w:szCs w:val="20"/>
                <w:u w:val="single"/>
              </w:rPr>
              <w:t>:</w:t>
            </w:r>
            <w:r>
              <w:rPr>
                <w:sz w:val="20"/>
                <w:szCs w:val="20"/>
              </w:rPr>
              <w:t xml:space="preserve"> Pripomienka bola akceptovaná, časť </w:t>
            </w:r>
            <w:r w:rsidRPr="00662E18">
              <w:rPr>
                <w:i/>
                <w:sz w:val="20"/>
                <w:szCs w:val="20"/>
              </w:rPr>
              <w:t>8. Preskúmanie účelnosti</w:t>
            </w:r>
            <w:r w:rsidRPr="00553398">
              <w:rPr>
                <w:sz w:val="20"/>
                <w:szCs w:val="20"/>
              </w:rPr>
              <w:t xml:space="preserve"> </w:t>
            </w:r>
            <w:r>
              <w:rPr>
                <w:sz w:val="20"/>
                <w:szCs w:val="20"/>
              </w:rPr>
              <w:t>bola v zmysle pripomienky doplnená.</w:t>
            </w:r>
          </w:p>
          <w:p w14:paraId="72F9C400" w14:textId="77777777" w:rsidR="00C747AF" w:rsidRPr="00FF0773" w:rsidRDefault="00C747AF" w:rsidP="00263110">
            <w:pPr>
              <w:jc w:val="both"/>
              <w:rPr>
                <w:rFonts w:ascii="Times New Roman" w:hAnsi="Times New Roman" w:cs="Times New Roman"/>
                <w:sz w:val="20"/>
                <w:szCs w:val="20"/>
                <w:lang w:eastAsia="sk-SK"/>
              </w:rPr>
            </w:pPr>
          </w:p>
          <w:p w14:paraId="72E11DF2" w14:textId="77777777" w:rsidR="00C747AF" w:rsidRPr="009C049F" w:rsidRDefault="00C747AF" w:rsidP="00263110">
            <w:pPr>
              <w:jc w:val="both"/>
              <w:rPr>
                <w:rFonts w:ascii="Times New Roman" w:hAnsi="Times New Roman" w:cs="Times New Roman"/>
                <w:b/>
                <w:sz w:val="20"/>
                <w:szCs w:val="20"/>
                <w:lang w:eastAsia="sk-SK"/>
              </w:rPr>
            </w:pPr>
          </w:p>
          <w:p w14:paraId="4146C71F" w14:textId="77777777" w:rsidR="00C747AF" w:rsidRPr="009C049F" w:rsidRDefault="00C747AF" w:rsidP="00263110">
            <w:pPr>
              <w:jc w:val="both"/>
              <w:rPr>
                <w:rFonts w:ascii="Times New Roman" w:hAnsi="Times New Roman" w:cs="Times New Roman"/>
                <w:b/>
                <w:sz w:val="20"/>
                <w:szCs w:val="20"/>
                <w:lang w:eastAsia="sk-SK"/>
              </w:rPr>
            </w:pPr>
            <w:r w:rsidRPr="009C049F">
              <w:rPr>
                <w:rFonts w:ascii="Times New Roman" w:hAnsi="Times New Roman" w:cs="Times New Roman"/>
                <w:b/>
                <w:sz w:val="20"/>
                <w:szCs w:val="20"/>
                <w:lang w:eastAsia="sk-SK"/>
              </w:rPr>
              <w:t>K vplyvom na rozpočet verejnej správy</w:t>
            </w:r>
          </w:p>
          <w:p w14:paraId="5351D3FE" w14:textId="77777777" w:rsidR="00C747AF" w:rsidRPr="009C049F" w:rsidRDefault="00C747AF" w:rsidP="00263110">
            <w:pPr>
              <w:jc w:val="both"/>
              <w:rPr>
                <w:rFonts w:ascii="Times New Roman" w:hAnsi="Times New Roman" w:cs="Times New Roman"/>
                <w:b/>
                <w:sz w:val="20"/>
                <w:szCs w:val="20"/>
                <w:lang w:eastAsia="sk-SK"/>
              </w:rPr>
            </w:pPr>
            <w:r w:rsidRPr="009C049F">
              <w:rPr>
                <w:rFonts w:ascii="Times New Roman" w:hAnsi="Times New Roman" w:cs="Times New Roman"/>
                <w:sz w:val="20"/>
                <w:szCs w:val="20"/>
              </w:rPr>
              <w:t>V doložke vybraných vplyvov sú označené negatívne vplyvy na rozpočet verejnej správy, čiastočne rozpočtovo zabezpečené. V analýze vplyvov na rozpočet verejnej správy sú kvantifikované výdavky na rok „r“ v sume 135 902,69 eur, v roku „r+1“ v sume 246 105,59 eur, v roku „r+2“ v sume 262 163,45 eur a v roku „r+3“ v sume 279 345,36 eur. Kvantifikované výdavky sú určené pre 6 nových zamestnancov, ktorí by mali vykonávať nové úlohy, ktoré vyplývajú z nariadenia DMA (nariadenie EP a Rady (EÚ) 2022/1925 o </w:t>
            </w:r>
            <w:proofErr w:type="spellStart"/>
            <w:r w:rsidRPr="009C049F">
              <w:rPr>
                <w:rFonts w:ascii="Times New Roman" w:hAnsi="Times New Roman" w:cs="Times New Roman"/>
                <w:sz w:val="20"/>
                <w:szCs w:val="20"/>
              </w:rPr>
              <w:t>súťažeschopných</w:t>
            </w:r>
            <w:proofErr w:type="spellEnd"/>
            <w:r w:rsidRPr="009C049F">
              <w:rPr>
                <w:rFonts w:ascii="Times New Roman" w:hAnsi="Times New Roman" w:cs="Times New Roman"/>
                <w:sz w:val="20"/>
                <w:szCs w:val="20"/>
              </w:rPr>
              <w:t xml:space="preserve"> a spravodlivých trhoch digitálneho sektora a o zmene smerníc (EÚ) 2019/1937 a (EÚ) 2020/1828 (akt o digitálnych trhoch) a nariadenia Európskeho parlamentu a Rady (EÚ) 2022/2560 zo 14. decembra 2022 o zahraničných subvenciách narúšajúcich vnútorný trh (Ú. v. EÚ L 330, 23.12.2022) (nariadenie o zahraničných subvenciách) a na vybavenie kancelárií a ďalšie prevádzkové náklady.</w:t>
            </w:r>
          </w:p>
          <w:p w14:paraId="053E880D" w14:textId="77777777" w:rsidR="00C747AF" w:rsidRPr="009C049F" w:rsidRDefault="00C747AF" w:rsidP="00263110">
            <w:pPr>
              <w:pStyle w:val="Normlnywebov"/>
              <w:spacing w:line="0" w:lineRule="atLeast"/>
              <w:jc w:val="both"/>
              <w:rPr>
                <w:rFonts w:ascii="Times New Roman" w:hAnsi="Times New Roman" w:cs="Times New Roman"/>
                <w:sz w:val="20"/>
                <w:szCs w:val="20"/>
              </w:rPr>
            </w:pPr>
            <w:r w:rsidRPr="009C049F">
              <w:rPr>
                <w:rFonts w:ascii="Times New Roman" w:hAnsi="Times New Roman" w:cs="Times New Roman"/>
                <w:sz w:val="20"/>
                <w:szCs w:val="20"/>
              </w:rPr>
              <w:t>V tabuľke č. 1 je rozpočtovo nekrytý vplyv uvedený 0. V časti 2.1.1. Financovanie návrhu sa uvádza, že „Financovanie návrhu nie je zabezpečené v rozpočte Protimonopolného úradu Slovenskej republiky v programe 084 Hospodárska súťaž (podprogram 08401 Hospodárska súťaž – riadenie, kontrola a podpora činnosti úradu) a vznikne rozpočtovo nekrytý vplyv v hlavnej kategórii 600 Bežné výdavky. Limit počtu zamestnancov bude navýšený o 6 osôb.“.</w:t>
            </w:r>
          </w:p>
          <w:p w14:paraId="4AF606DB" w14:textId="77777777" w:rsidR="00C747AF" w:rsidRPr="009C049F" w:rsidRDefault="00C747AF" w:rsidP="00263110">
            <w:pPr>
              <w:jc w:val="both"/>
              <w:rPr>
                <w:rFonts w:ascii="Times New Roman" w:hAnsi="Times New Roman" w:cs="Times New Roman"/>
                <w:sz w:val="20"/>
                <w:szCs w:val="20"/>
              </w:rPr>
            </w:pPr>
            <w:r w:rsidRPr="009C049F">
              <w:rPr>
                <w:rFonts w:ascii="Times New Roman" w:hAnsi="Times New Roman" w:cs="Times New Roman"/>
                <w:sz w:val="20"/>
                <w:szCs w:val="20"/>
              </w:rPr>
              <w:t xml:space="preserve">Komisia žiada zosúladiť doložku s analýzou vplyvov (doložka uvádza negatívny, čiastočne zabezpečený vplyv na rozpočet verejnej správy, avšak analýza vplyvov v bode 2.1.1., že financovanie návrhu nie je zabezpečené v rozpočte PMÚ SR). Zároveň Komisia žiada v analýze zosúladiť tabuľku č. 1 s konštatovaním uvedeným v bode 2.1.1. Roky v záhlaví tabuliek označené ako „r“ až „r+3“ žiada Komisia nahradiť konkrétnymi rokmi. </w:t>
            </w:r>
          </w:p>
          <w:p w14:paraId="5B71D8DF" w14:textId="77777777" w:rsidR="00C747AF" w:rsidRPr="009C049F" w:rsidRDefault="00C747AF" w:rsidP="00263110">
            <w:pPr>
              <w:jc w:val="both"/>
              <w:rPr>
                <w:rFonts w:ascii="Times New Roman" w:hAnsi="Times New Roman" w:cs="Times New Roman"/>
                <w:sz w:val="20"/>
                <w:szCs w:val="20"/>
              </w:rPr>
            </w:pPr>
          </w:p>
          <w:p w14:paraId="3999D0A2" w14:textId="77777777" w:rsidR="00C747AF" w:rsidRPr="009C049F" w:rsidRDefault="00C747AF" w:rsidP="00263110">
            <w:pPr>
              <w:jc w:val="both"/>
              <w:rPr>
                <w:rFonts w:ascii="Times New Roman" w:hAnsi="Times New Roman" w:cs="Times New Roman"/>
                <w:sz w:val="20"/>
                <w:szCs w:val="20"/>
              </w:rPr>
            </w:pPr>
            <w:r w:rsidRPr="009C049F">
              <w:rPr>
                <w:rFonts w:ascii="Times New Roman" w:hAnsi="Times New Roman" w:cs="Times New Roman"/>
                <w:sz w:val="20"/>
                <w:szCs w:val="20"/>
              </w:rPr>
              <w:t>Vzhľadom na navrhovanú účinnosť novely predmetného zákona od 1. 2. 2024 žiada Komisia, aby analýza bola vypracovaná na rok 2023 bez vplyvu na rozpočet verejnej správy. V analýze žiada Komisia uviesť zdrojové krytie.</w:t>
            </w:r>
          </w:p>
          <w:p w14:paraId="5CE5A6B9" w14:textId="77777777" w:rsidR="00C747AF" w:rsidRPr="009C049F" w:rsidRDefault="00C747AF" w:rsidP="00263110">
            <w:pPr>
              <w:jc w:val="both"/>
              <w:rPr>
                <w:rFonts w:ascii="Times New Roman" w:hAnsi="Times New Roman" w:cs="Times New Roman"/>
                <w:sz w:val="20"/>
                <w:szCs w:val="20"/>
              </w:rPr>
            </w:pPr>
            <w:r w:rsidRPr="009C049F">
              <w:rPr>
                <w:rFonts w:ascii="Times New Roman" w:hAnsi="Times New Roman" w:cs="Times New Roman"/>
                <w:sz w:val="20"/>
                <w:szCs w:val="20"/>
              </w:rPr>
              <w:t xml:space="preserve">Komisia zásadne žiada materiál prepracovať tak, aby všetky výdavky, vrátane počtov zamestnancov a výdavkov za oblasť zamestnanosti, boli  zabezpečené v rámci schválených limitov kapitoly PMÚ SR a z materiálu nevyplýval nekrytý vplyv na rozpočet verejnej správy. </w:t>
            </w:r>
          </w:p>
          <w:p w14:paraId="7139F92C" w14:textId="77777777" w:rsidR="00C747AF" w:rsidRPr="009C049F" w:rsidRDefault="00C747AF" w:rsidP="00263110">
            <w:pPr>
              <w:pStyle w:val="Odsekzoznamu"/>
              <w:jc w:val="both"/>
              <w:rPr>
                <w:rFonts w:ascii="Times New Roman" w:hAnsi="Times New Roman" w:cs="Times New Roman"/>
                <w:sz w:val="20"/>
                <w:szCs w:val="20"/>
              </w:rPr>
            </w:pPr>
          </w:p>
          <w:p w14:paraId="5818F163" w14:textId="77777777" w:rsidR="00C747AF" w:rsidRPr="009C049F" w:rsidRDefault="00C747AF" w:rsidP="00263110">
            <w:pPr>
              <w:jc w:val="both"/>
              <w:rPr>
                <w:rFonts w:ascii="Times New Roman" w:hAnsi="Times New Roman" w:cs="Times New Roman"/>
                <w:sz w:val="20"/>
                <w:szCs w:val="20"/>
              </w:rPr>
            </w:pPr>
            <w:r w:rsidRPr="009C049F">
              <w:rPr>
                <w:rFonts w:ascii="Times New Roman" w:hAnsi="Times New Roman" w:cs="Times New Roman"/>
                <w:sz w:val="20"/>
                <w:szCs w:val="20"/>
              </w:rPr>
              <w:t>Vzhľadom na skutočnosť, že valorizácia platov vo verejnej správe na rok 2024 a nasledujúce roky nebola doposiaľ dohodnutá v rámci kolektívneho vyjednávania, Komisia žiada v analýze vplyv na mzdové výdavky uviesť bez započítania 7 % valorizácie platov.</w:t>
            </w:r>
          </w:p>
          <w:p w14:paraId="4FF14C17" w14:textId="77777777" w:rsidR="00C747AF" w:rsidRDefault="00C747AF" w:rsidP="00263110">
            <w:pPr>
              <w:rPr>
                <w:rFonts w:ascii="Times New Roman" w:eastAsia="Times New Roman" w:hAnsi="Times New Roman" w:cs="Times New Roman"/>
                <w:b/>
                <w:sz w:val="20"/>
                <w:szCs w:val="20"/>
                <w:lang w:eastAsia="sk-SK"/>
              </w:rPr>
            </w:pPr>
          </w:p>
          <w:p w14:paraId="7700E21F" w14:textId="77777777" w:rsidR="00C747AF" w:rsidRDefault="00C747AF" w:rsidP="00263110">
            <w:pPr>
              <w:jc w:val="both"/>
              <w:rPr>
                <w:rFonts w:ascii="Times New Roman" w:hAnsi="Times New Roman" w:cs="Times New Roman"/>
                <w:sz w:val="20"/>
                <w:szCs w:val="20"/>
                <w:lang w:eastAsia="sk-SK"/>
              </w:rPr>
            </w:pPr>
            <w:r w:rsidRPr="00CD603A">
              <w:rPr>
                <w:rFonts w:ascii="Times New Roman" w:hAnsi="Times New Roman" w:cs="Times New Roman"/>
                <w:sz w:val="20"/>
                <w:szCs w:val="20"/>
                <w:u w:val="single"/>
                <w:lang w:eastAsia="sk-SK"/>
              </w:rPr>
              <w:t xml:space="preserve">Vyhodnotenie </w:t>
            </w:r>
            <w:r>
              <w:rPr>
                <w:rFonts w:ascii="Times New Roman" w:hAnsi="Times New Roman" w:cs="Times New Roman"/>
                <w:sz w:val="20"/>
                <w:szCs w:val="20"/>
                <w:u w:val="single"/>
                <w:lang w:eastAsia="sk-SK"/>
              </w:rPr>
              <w:t>pripomienky</w:t>
            </w:r>
            <w:r w:rsidRPr="00CD603A">
              <w:rPr>
                <w:rFonts w:ascii="Times New Roman" w:hAnsi="Times New Roman" w:cs="Times New Roman"/>
                <w:sz w:val="20"/>
                <w:szCs w:val="20"/>
                <w:u w:val="single"/>
                <w:lang w:eastAsia="sk-SK"/>
              </w:rPr>
              <w:t>:</w:t>
            </w:r>
            <w:r>
              <w:rPr>
                <w:rFonts w:ascii="Times New Roman" w:hAnsi="Times New Roman" w:cs="Times New Roman"/>
                <w:sz w:val="20"/>
                <w:szCs w:val="20"/>
                <w:lang w:eastAsia="sk-SK"/>
              </w:rPr>
              <w:t xml:space="preserve"> </w:t>
            </w:r>
          </w:p>
          <w:p w14:paraId="77EFC24F" w14:textId="77777777" w:rsidR="00C747AF" w:rsidRDefault="00C747AF" w:rsidP="00263110">
            <w:pPr>
              <w:jc w:val="both"/>
              <w:rPr>
                <w:rFonts w:ascii="Times New Roman" w:hAnsi="Times New Roman" w:cs="Times New Roman"/>
                <w:sz w:val="20"/>
                <w:szCs w:val="20"/>
                <w:lang w:eastAsia="sk-SK"/>
              </w:rPr>
            </w:pPr>
          </w:p>
          <w:p w14:paraId="43FE4510" w14:textId="77777777" w:rsidR="00C747AF" w:rsidRPr="002836C5" w:rsidRDefault="00C747AF" w:rsidP="00263110">
            <w:pPr>
              <w:jc w:val="both"/>
              <w:rPr>
                <w:rFonts w:ascii="Times New Roman" w:hAnsi="Times New Roman" w:cs="Times New Roman"/>
                <w:sz w:val="20"/>
                <w:szCs w:val="20"/>
                <w:lang w:eastAsia="sk-SK"/>
              </w:rPr>
            </w:pPr>
            <w:r w:rsidRPr="002836C5">
              <w:rPr>
                <w:rFonts w:ascii="Times New Roman" w:hAnsi="Times New Roman" w:cs="Times New Roman"/>
                <w:sz w:val="20"/>
                <w:szCs w:val="20"/>
                <w:lang w:eastAsia="sk-SK"/>
              </w:rPr>
              <w:t>Formálne pripomienky z hľadiska zosúladenia textu a úprava výpočtov bez započítania valorizácie platov boli akceptované a upravené.</w:t>
            </w:r>
          </w:p>
          <w:p w14:paraId="0CAC541A" w14:textId="77777777" w:rsidR="00C747AF" w:rsidRDefault="00C747AF" w:rsidP="00263110">
            <w:pPr>
              <w:jc w:val="both"/>
              <w:rPr>
                <w:rFonts w:ascii="Times New Roman" w:hAnsi="Times New Roman" w:cs="Times New Roman"/>
                <w:sz w:val="20"/>
                <w:szCs w:val="20"/>
                <w:lang w:eastAsia="sk-SK"/>
              </w:rPr>
            </w:pPr>
            <w:r w:rsidRPr="002836C5">
              <w:rPr>
                <w:rFonts w:ascii="Times New Roman" w:hAnsi="Times New Roman" w:cs="Times New Roman"/>
                <w:sz w:val="20"/>
                <w:szCs w:val="20"/>
                <w:lang w:eastAsia="sk-SK"/>
              </w:rPr>
              <w:lastRenderedPageBreak/>
              <w:t xml:space="preserve">Úrad však nemôže akceptovať pripomienku z hľadiska krytia výdavkov v rámci schválených limitov kapitoly úradu.  Úrad na uvedené povinnosti upozornil MF SR už počas rokovaní o rozpočte úradu, ktoré stále prebiehajú. Je potrebné uviesť, že úrad je nezávislý orgán na ochranu a podporu hospodárskej súťaže  a nariadenie DMA zavádza nové kompetencie pre úrad a novú reguláciu digitálnych trhov v rámci EÚ, ako aj sveta; ide o dlhodobú očakávanú, významnú právnu úpravu. Európska komisia síce je jediným oprávneným orgánom z hľadiska výkonu právomocí voči strážcom prístupu podľa nariadenia DMA, avšak členské štáty </w:t>
            </w:r>
            <w:r w:rsidRPr="003B3B04">
              <w:rPr>
                <w:rFonts w:ascii="Times New Roman" w:hAnsi="Times New Roman" w:cs="Times New Roman"/>
                <w:sz w:val="20"/>
                <w:szCs w:val="20"/>
                <w:lang w:eastAsia="sk-SK"/>
              </w:rPr>
              <w:t>Európskej únie a štát</w:t>
            </w:r>
            <w:r>
              <w:rPr>
                <w:rFonts w:ascii="Times New Roman" w:hAnsi="Times New Roman" w:cs="Times New Roman"/>
                <w:sz w:val="20"/>
                <w:szCs w:val="20"/>
                <w:lang w:eastAsia="sk-SK"/>
              </w:rPr>
              <w:t>y</w:t>
            </w:r>
            <w:r w:rsidRPr="003B3B04">
              <w:rPr>
                <w:rFonts w:ascii="Times New Roman" w:hAnsi="Times New Roman" w:cs="Times New Roman"/>
                <w:sz w:val="20"/>
                <w:szCs w:val="20"/>
                <w:lang w:eastAsia="sk-SK"/>
              </w:rPr>
              <w:t>, ktoré sú zmluvnou stranou Dohody o Európskom hospodárskom priestore</w:t>
            </w:r>
            <w:r>
              <w:rPr>
                <w:rFonts w:ascii="Times New Roman" w:hAnsi="Times New Roman" w:cs="Times New Roman"/>
                <w:sz w:val="20"/>
                <w:szCs w:val="20"/>
                <w:lang w:eastAsia="sk-SK"/>
              </w:rPr>
              <w:t xml:space="preserve"> (ďalej len „členský štát“)</w:t>
            </w:r>
            <w:r w:rsidRPr="003B3B04">
              <w:rPr>
                <w:rFonts w:ascii="Times New Roman" w:hAnsi="Times New Roman" w:cs="Times New Roman"/>
                <w:sz w:val="20"/>
                <w:szCs w:val="20"/>
                <w:lang w:eastAsia="sk-SK"/>
              </w:rPr>
              <w:t xml:space="preserve"> </w:t>
            </w:r>
            <w:r w:rsidRPr="002836C5">
              <w:rPr>
                <w:rFonts w:ascii="Times New Roman" w:hAnsi="Times New Roman" w:cs="Times New Roman"/>
                <w:sz w:val="20"/>
                <w:szCs w:val="20"/>
                <w:lang w:eastAsia="sk-SK"/>
              </w:rPr>
              <w:t>majú rôzne povinnosti, ako aj právomoci. Úrad, ako kompetentný orgán bude mať právomoc a súčasne aj povinnosť v rámci spolupráce pravidelne a včas vymieňať si informácie s Európskou komisiou a ďalšími členskými štátmi, spracovávať a vyhodnocovať prípadné podnety v danej oblasti a vykonávať prešetrovanie. Zároveň z hľadiska regulácie a z hľadiska dopadov na podnikateľov/spotrebiteľov na území SR sa bude vyžadovať stanovisko za Slovenskú republiku v praktických prípadoch alebo aj prípadných legislatívnych zmenách nariadenia DMA. Pokiaľ však úrad nebude mať kapacity na to, aby poznal situáciu na trhu v SR, nebude môcť efektívne prezentovať potreby a skúsenosti z pohľadu subjektov na území SR. Slovenská republika má niekoľko strategických dokumentov k digitálnej transformácii, pričom sa sledujú aj dopady nariadení EÚ v rámci digitalizácie. Napríklad, v rámci špeciálnej pracovnej skupiny pre Digitálny „</w:t>
            </w:r>
            <w:proofErr w:type="spellStart"/>
            <w:r w:rsidRPr="002836C5">
              <w:rPr>
                <w:rFonts w:ascii="Times New Roman" w:hAnsi="Times New Roman" w:cs="Times New Roman"/>
                <w:sz w:val="20"/>
                <w:szCs w:val="20"/>
                <w:lang w:eastAsia="sk-SK"/>
              </w:rPr>
              <w:t>governance</w:t>
            </w:r>
            <w:proofErr w:type="spellEnd"/>
            <w:r w:rsidRPr="002836C5">
              <w:rPr>
                <w:rFonts w:ascii="Times New Roman" w:hAnsi="Times New Roman" w:cs="Times New Roman"/>
                <w:sz w:val="20"/>
                <w:szCs w:val="20"/>
                <w:lang w:eastAsia="sk-SK"/>
              </w:rPr>
              <w:t>“ Slovenska bola prezentovaná analýza dopadov na finančné výdavky a personálne kapacity, osobitne napríklad pre nariadenie Európskeho parlamentu a Rady (EÚ) 2022/2065 z 19. októbra 2022 o jednotnom trhu s digitálnymi službami a o zmene smernice 2000/31/ES (akt o digitálnych službách). Nariadenie DMA je rovnako dôležitým aktom, pričom  v rámci SR ustanovením úradu ako kompetentného orgánu pre všetky povinnosti vyplývajúce členským štátom z tohto nariadenia nedochádza k prekrývaniu už existujúcej agendy s inými rezortmi. S ohľadom na činnosti úradu sa predpokladá náročnosť 5,9 FTE, čo predstavuje potrebu šiestich nových pracovných miest, a teda v zmysle požiadavky úradu ide o minimum, ktoré úrad žiada aj s ohľadom na skutočnosť, že v minulých rokoch dochádzalo k opakovanej  redukcii finančných a personálnych kapacít úradu. Taktiež pripomíname, že ide o implementáciu dvoch nariadení, pričom pre pôsobnosť nariadenia FSR úrad nepožaduje navýšenie personálnych kapacít a rozpočtu.</w:t>
            </w:r>
          </w:p>
          <w:p w14:paraId="4A232264" w14:textId="77777777" w:rsidR="00C747AF" w:rsidRPr="009C049F" w:rsidRDefault="00C747AF" w:rsidP="00263110">
            <w:pPr>
              <w:jc w:val="both"/>
              <w:rPr>
                <w:rFonts w:ascii="Times New Roman" w:eastAsia="Times New Roman" w:hAnsi="Times New Roman" w:cs="Times New Roman"/>
                <w:b/>
                <w:sz w:val="20"/>
                <w:szCs w:val="20"/>
                <w:lang w:eastAsia="sk-SK"/>
              </w:rPr>
            </w:pPr>
            <w:r>
              <w:rPr>
                <w:rFonts w:ascii="Times New Roman" w:hAnsi="Times New Roman" w:cs="Times New Roman"/>
                <w:sz w:val="20"/>
                <w:szCs w:val="20"/>
                <w:lang w:eastAsia="sk-SK"/>
              </w:rPr>
              <w:t xml:space="preserve">V rámci rozporových konaní bola táto otázka opätovne prerokovaná, pričom rozpor bol odstránený akceptovaním navýšenia o 3 štátnozamestnanecké miesta, ktoré </w:t>
            </w:r>
            <w:r w:rsidRPr="00DD0396" w:rsidDel="00D2577A">
              <w:rPr>
                <w:rFonts w:ascii="Times New Roman" w:hAnsi="Times New Roman" w:cs="Times New Roman"/>
                <w:sz w:val="20"/>
                <w:szCs w:val="20"/>
                <w:lang w:eastAsia="sk-SK"/>
              </w:rPr>
              <w:t xml:space="preserve"> </w:t>
            </w:r>
            <w:r>
              <w:rPr>
                <w:rFonts w:ascii="Times New Roman" w:hAnsi="Times New Roman" w:cs="Times New Roman"/>
                <w:sz w:val="20"/>
                <w:szCs w:val="20"/>
                <w:lang w:eastAsia="sk-SK"/>
              </w:rPr>
              <w:t xml:space="preserve">nie sú zabezpečené v rozpočtovej kapitole </w:t>
            </w:r>
            <w:r w:rsidRPr="00003DCD">
              <w:rPr>
                <w:rFonts w:ascii="Times New Roman" w:eastAsia="Times New Roman" w:hAnsi="Times New Roman" w:cs="Times New Roman"/>
                <w:sz w:val="20"/>
                <w:szCs w:val="20"/>
                <w:lang w:eastAsia="sk-SK"/>
              </w:rPr>
              <w:t>úradu.</w:t>
            </w:r>
            <w:r>
              <w:rPr>
                <w:rFonts w:ascii="Times New Roman" w:eastAsia="Times New Roman" w:hAnsi="Times New Roman" w:cs="Times New Roman"/>
                <w:sz w:val="20"/>
                <w:szCs w:val="20"/>
                <w:lang w:eastAsia="sk-SK"/>
              </w:rPr>
              <w:t xml:space="preserve"> V nadväznosti na uvedené bola pozmenená aj analýza vplyvov.</w:t>
            </w:r>
            <w:r w:rsidRPr="00003DCD">
              <w:rPr>
                <w:rFonts w:ascii="Times New Roman" w:eastAsia="Times New Roman" w:hAnsi="Times New Roman" w:cs="Times New Roman"/>
                <w:sz w:val="20"/>
                <w:szCs w:val="20"/>
                <w:lang w:eastAsia="sk-SK"/>
              </w:rPr>
              <w:t xml:space="preserve"> Úrad uvedené akceptoval, avšak</w:t>
            </w:r>
            <w:r>
              <w:rPr>
                <w:rFonts w:ascii="Times New Roman" w:eastAsia="Times New Roman" w:hAnsi="Times New Roman" w:cs="Times New Roman"/>
                <w:sz w:val="20"/>
                <w:szCs w:val="20"/>
                <w:lang w:eastAsia="sk-SK"/>
              </w:rPr>
              <w:t xml:space="preserve"> je</w:t>
            </w:r>
            <w:r w:rsidRPr="00003DCD">
              <w:rPr>
                <w:rFonts w:ascii="Times New Roman" w:eastAsia="Times New Roman" w:hAnsi="Times New Roman" w:cs="Times New Roman"/>
                <w:sz w:val="20"/>
                <w:szCs w:val="20"/>
                <w:lang w:eastAsia="sk-SK"/>
              </w:rPr>
              <w:t xml:space="preserve"> potrebné upozorniť, že navýšenie o tri </w:t>
            </w:r>
            <w:r>
              <w:rPr>
                <w:rFonts w:ascii="Times New Roman" w:hAnsi="Times New Roman" w:cs="Times New Roman"/>
                <w:sz w:val="20"/>
                <w:szCs w:val="20"/>
                <w:lang w:eastAsia="sk-SK"/>
              </w:rPr>
              <w:t xml:space="preserve">štátnozamestnanecké </w:t>
            </w:r>
            <w:r w:rsidRPr="00003DCD">
              <w:rPr>
                <w:rFonts w:ascii="Times New Roman" w:eastAsia="Times New Roman" w:hAnsi="Times New Roman" w:cs="Times New Roman"/>
                <w:sz w:val="20"/>
                <w:szCs w:val="20"/>
                <w:lang w:eastAsia="sk-SK"/>
              </w:rPr>
              <w:t xml:space="preserve">miesta </w:t>
            </w:r>
            <w:r>
              <w:rPr>
                <w:rFonts w:ascii="Times New Roman" w:eastAsia="Times New Roman" w:hAnsi="Times New Roman" w:cs="Times New Roman"/>
                <w:sz w:val="20"/>
                <w:szCs w:val="20"/>
                <w:lang w:eastAsia="sk-SK"/>
              </w:rPr>
              <w:t>nezodpovedajú potrebám</w:t>
            </w:r>
            <w:r w:rsidRPr="00003DCD">
              <w:rPr>
                <w:rFonts w:ascii="Times New Roman" w:eastAsia="Times New Roman" w:hAnsi="Times New Roman" w:cs="Times New Roman"/>
                <w:sz w:val="20"/>
                <w:szCs w:val="20"/>
                <w:lang w:eastAsia="sk-SK"/>
              </w:rPr>
              <w:t xml:space="preserve"> na zabezpečenie všetkých činností a úloh s návrhom spojených.</w:t>
            </w:r>
          </w:p>
        </w:tc>
      </w:tr>
      <w:tr w:rsidR="00C747AF" w:rsidRPr="0093021F" w14:paraId="0EBC0B04" w14:textId="77777777" w:rsidTr="0026311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9E8B031" w14:textId="77777777" w:rsidR="00C747AF" w:rsidRPr="0093021F" w:rsidRDefault="00C747AF" w:rsidP="00C747AF">
            <w:pPr>
              <w:numPr>
                <w:ilvl w:val="0"/>
                <w:numId w:val="2"/>
              </w:numPr>
              <w:contextualSpacing/>
              <w:jc w:val="both"/>
              <w:rPr>
                <w:rFonts w:ascii="Times New Roman" w:eastAsia="Calibri" w:hAnsi="Times New Roman" w:cs="Times New Roman"/>
                <w:b/>
              </w:rPr>
            </w:pPr>
            <w:r w:rsidRPr="0093021F">
              <w:rPr>
                <w:rFonts w:ascii="Times New Roman" w:eastAsia="Calibri" w:hAnsi="Times New Roman" w:cs="Times New Roman"/>
                <w:b/>
              </w:rPr>
              <w:lastRenderedPageBreak/>
              <w:t>Stanovisko Komisie na posudzovanie vybraných vplyvov zo záverečného posúdenia č.</w:t>
            </w:r>
            <w:r>
              <w:rPr>
                <w:rFonts w:ascii="Times New Roman" w:eastAsia="Calibri" w:hAnsi="Times New Roman" w:cs="Times New Roman"/>
                <w:b/>
              </w:rPr>
              <w:t> </w:t>
            </w:r>
            <w:r w:rsidRPr="00102B45">
              <w:rPr>
                <w:rFonts w:ascii="Times New Roman" w:eastAsia="Calibri" w:hAnsi="Times New Roman" w:cs="Times New Roman"/>
                <w:b/>
              </w:rPr>
              <w:t>108_2/2023</w:t>
            </w:r>
            <w:r w:rsidRPr="0093021F">
              <w:rPr>
                <w:rFonts w:ascii="Times New Roman" w:eastAsia="Calibri" w:hAnsi="Times New Roman" w:cs="Times New Roman"/>
              </w:rPr>
              <w:t xml:space="preserve"> (v prípade, ak sa uskutočnilo v zmysle bodu 9.1. Jednotnej metodiky) </w:t>
            </w:r>
          </w:p>
        </w:tc>
      </w:tr>
      <w:tr w:rsidR="00C747AF" w:rsidRPr="0093021F" w14:paraId="6DE94067" w14:textId="77777777" w:rsidTr="00263110">
        <w:tblPrEx>
          <w:tblBorders>
            <w:insideH w:val="single" w:sz="4" w:space="0" w:color="FFFFFF"/>
            <w:insideV w:val="single" w:sz="4" w:space="0" w:color="FFFFFF"/>
          </w:tblBorders>
        </w:tblPrEx>
        <w:tc>
          <w:tcPr>
            <w:tcW w:w="9176" w:type="dxa"/>
            <w:shd w:val="clear" w:color="auto" w:fill="FFFFFF"/>
          </w:tcPr>
          <w:p w14:paraId="5EFF494E" w14:textId="77777777" w:rsidR="00C747AF" w:rsidRPr="0093021F" w:rsidRDefault="00C747AF" w:rsidP="0026311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747AF" w:rsidRPr="0093021F" w14:paraId="4310B317" w14:textId="77777777" w:rsidTr="00263110">
              <w:trPr>
                <w:trHeight w:val="396"/>
              </w:trPr>
              <w:tc>
                <w:tcPr>
                  <w:tcW w:w="2552" w:type="dxa"/>
                </w:tcPr>
                <w:p w14:paraId="02AC1FAA" w14:textId="77777777" w:rsidR="00C747AF" w:rsidRPr="0093021F" w:rsidRDefault="00B613D8" w:rsidP="0026311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1"/>
                        <w14:checkedState w14:val="2612" w14:font="MS Gothic"/>
                        <w14:uncheckedState w14:val="2610" w14:font="MS Gothic"/>
                      </w14:checkbox>
                    </w:sdtPr>
                    <w:sdtEndPr/>
                    <w:sdtContent>
                      <w:r w:rsidR="00C747AF">
                        <w:rPr>
                          <w:rFonts w:ascii="MS Gothic" w:eastAsia="MS Gothic" w:hAnsi="MS Gothic" w:cs="Segoe UI Symbol" w:hint="eastAsia"/>
                          <w:b/>
                          <w:sz w:val="20"/>
                          <w:szCs w:val="20"/>
                          <w:lang w:eastAsia="sk-SK"/>
                        </w:rPr>
                        <w:t>☒</w:t>
                      </w:r>
                    </w:sdtContent>
                  </w:sdt>
                  <w:r w:rsidR="00C747AF" w:rsidRPr="0093021F">
                    <w:rPr>
                      <w:rFonts w:ascii="Times New Roman" w:eastAsia="Times New Roman" w:hAnsi="Times New Roman" w:cs="Times New Roman"/>
                      <w:b/>
                      <w:sz w:val="20"/>
                      <w:szCs w:val="20"/>
                      <w:lang w:eastAsia="sk-SK"/>
                    </w:rPr>
                    <w:t xml:space="preserve">   Súhlasné </w:t>
                  </w:r>
                </w:p>
              </w:tc>
              <w:tc>
                <w:tcPr>
                  <w:tcW w:w="3827" w:type="dxa"/>
                </w:tcPr>
                <w:p w14:paraId="20476692" w14:textId="77777777" w:rsidR="00C747AF" w:rsidRPr="0093021F" w:rsidRDefault="00B613D8" w:rsidP="0026311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C747AF" w:rsidRPr="0093021F">
                        <w:rPr>
                          <w:rFonts w:ascii="Segoe UI Symbol" w:eastAsia="MS Gothic" w:hAnsi="Segoe UI Symbol" w:cs="Segoe UI Symbol"/>
                          <w:b/>
                          <w:sz w:val="20"/>
                          <w:szCs w:val="20"/>
                          <w:lang w:eastAsia="sk-SK"/>
                        </w:rPr>
                        <w:t>☐</w:t>
                      </w:r>
                    </w:sdtContent>
                  </w:sdt>
                  <w:r w:rsidR="00C747AF" w:rsidRPr="0093021F">
                    <w:rPr>
                      <w:rFonts w:ascii="Times New Roman" w:eastAsia="Times New Roman" w:hAnsi="Times New Roman" w:cs="Times New Roman"/>
                      <w:b/>
                      <w:sz w:val="20"/>
                      <w:szCs w:val="20"/>
                      <w:lang w:eastAsia="sk-SK"/>
                    </w:rPr>
                    <w:t xml:space="preserve">  Súhlasné s  návrhom na dopracovanie</w:t>
                  </w:r>
                </w:p>
              </w:tc>
              <w:tc>
                <w:tcPr>
                  <w:tcW w:w="2534" w:type="dxa"/>
                </w:tcPr>
                <w:p w14:paraId="6E36B027" w14:textId="77777777" w:rsidR="00C747AF" w:rsidRPr="0093021F" w:rsidRDefault="00B613D8" w:rsidP="0026311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C747AF">
                        <w:rPr>
                          <w:rFonts w:ascii="MS Gothic" w:eastAsia="MS Gothic" w:hAnsi="MS Gothic" w:cs="Times New Roman" w:hint="eastAsia"/>
                          <w:b/>
                          <w:sz w:val="20"/>
                          <w:szCs w:val="20"/>
                          <w:lang w:eastAsia="sk-SK"/>
                        </w:rPr>
                        <w:t>☐</w:t>
                      </w:r>
                    </w:sdtContent>
                  </w:sdt>
                  <w:r w:rsidR="00C747AF" w:rsidRPr="0093021F">
                    <w:rPr>
                      <w:rFonts w:ascii="Times New Roman" w:eastAsia="Times New Roman" w:hAnsi="Times New Roman" w:cs="Times New Roman"/>
                      <w:b/>
                      <w:sz w:val="20"/>
                      <w:szCs w:val="20"/>
                      <w:lang w:eastAsia="sk-SK"/>
                    </w:rPr>
                    <w:t xml:space="preserve">  Nesúhlasné</w:t>
                  </w:r>
                </w:p>
              </w:tc>
            </w:tr>
          </w:tbl>
          <w:p w14:paraId="72B35AFC" w14:textId="77777777" w:rsidR="00C747AF" w:rsidRPr="0093021F" w:rsidRDefault="00C747AF" w:rsidP="00263110">
            <w:pPr>
              <w:jc w:val="both"/>
              <w:rPr>
                <w:rFonts w:ascii="Times New Roman" w:eastAsia="Times New Roman" w:hAnsi="Times New Roman" w:cs="Times New Roman"/>
                <w:b/>
                <w:sz w:val="20"/>
                <w:szCs w:val="20"/>
                <w:lang w:eastAsia="sk-SK"/>
              </w:rPr>
            </w:pPr>
            <w:r w:rsidRPr="0093021F">
              <w:rPr>
                <w:rFonts w:ascii="Times New Roman" w:eastAsia="Times New Roman" w:hAnsi="Times New Roman" w:cs="Times New Roman"/>
                <w:b/>
                <w:sz w:val="20"/>
                <w:szCs w:val="20"/>
                <w:lang w:eastAsia="sk-SK"/>
              </w:rPr>
              <w:t>Uveďte pripomienky zo stanoviska Komisie z časti II. spolu s Vaším vyhodnotením:</w:t>
            </w:r>
          </w:p>
          <w:p w14:paraId="65B66962" w14:textId="77777777" w:rsidR="00C747AF" w:rsidRPr="0093021F" w:rsidRDefault="00C747AF" w:rsidP="00263110">
            <w:pPr>
              <w:rPr>
                <w:rFonts w:ascii="Times New Roman" w:eastAsia="Times New Roman" w:hAnsi="Times New Roman" w:cs="Times New Roman"/>
                <w:b/>
                <w:sz w:val="20"/>
                <w:szCs w:val="20"/>
                <w:lang w:eastAsia="sk-SK"/>
              </w:rPr>
            </w:pPr>
          </w:p>
          <w:p w14:paraId="21F5CDEA" w14:textId="77777777" w:rsidR="00C747AF" w:rsidRPr="00975949" w:rsidRDefault="00C747AF" w:rsidP="00263110">
            <w:pPr>
              <w:rPr>
                <w:rFonts w:ascii="Times New Roman" w:eastAsia="Times New Roman" w:hAnsi="Times New Roman" w:cs="Times New Roman"/>
                <w:sz w:val="20"/>
                <w:szCs w:val="20"/>
                <w:lang w:eastAsia="sk-SK"/>
              </w:rPr>
            </w:pPr>
          </w:p>
        </w:tc>
      </w:tr>
    </w:tbl>
    <w:p w14:paraId="2858AAAD" w14:textId="77777777" w:rsidR="00C747AF" w:rsidRPr="0093021F" w:rsidRDefault="00C747AF" w:rsidP="00C747AF">
      <w:pPr>
        <w:rPr>
          <w:rFonts w:ascii="Times New Roman" w:hAnsi="Times New Roman" w:cs="Times New Roman"/>
        </w:rPr>
      </w:pPr>
    </w:p>
    <w:p w14:paraId="6C98810B" w14:textId="77777777" w:rsidR="00C747AF" w:rsidRDefault="00C747AF">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19B66CD" w14:textId="77777777" w:rsidR="00C747AF" w:rsidRPr="00B14AD5" w:rsidRDefault="00C747AF" w:rsidP="00C747AF">
      <w:pPr>
        <w:spacing w:after="0" w:line="240" w:lineRule="auto"/>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lastRenderedPageBreak/>
        <w:t>Analýza vplyvov na rozpočet verejnej správy,</w:t>
      </w:r>
    </w:p>
    <w:p w14:paraId="31C39E37" w14:textId="77777777" w:rsidR="00C747AF" w:rsidRPr="00B14AD5" w:rsidRDefault="00C747AF" w:rsidP="00C747AF">
      <w:pPr>
        <w:spacing w:after="0" w:line="240" w:lineRule="auto"/>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t>na zamestnanosť vo verejnej správe a financovanie návrhu</w:t>
      </w:r>
    </w:p>
    <w:p w14:paraId="3899725B" w14:textId="77777777" w:rsidR="00C747AF" w:rsidRPr="00B14AD5" w:rsidRDefault="00C747AF" w:rsidP="00C747AF">
      <w:pPr>
        <w:spacing w:after="0" w:line="240" w:lineRule="auto"/>
        <w:jc w:val="right"/>
        <w:rPr>
          <w:rFonts w:ascii="Times New Roman" w:eastAsia="Times New Roman" w:hAnsi="Times New Roman" w:cs="Times New Roman"/>
          <w:b/>
          <w:bCs/>
          <w:sz w:val="24"/>
          <w:szCs w:val="24"/>
          <w:lang w:eastAsia="sk-SK"/>
        </w:rPr>
      </w:pPr>
    </w:p>
    <w:p w14:paraId="71C4E6BF" w14:textId="77777777" w:rsidR="00C747AF" w:rsidRPr="00B14AD5" w:rsidRDefault="00C747AF" w:rsidP="00C747AF">
      <w:pPr>
        <w:spacing w:after="0" w:line="240" w:lineRule="auto"/>
        <w:jc w:val="right"/>
        <w:rPr>
          <w:rFonts w:ascii="Times New Roman" w:eastAsia="Times New Roman" w:hAnsi="Times New Roman" w:cs="Times New Roman"/>
          <w:b/>
          <w:bCs/>
          <w:sz w:val="24"/>
          <w:szCs w:val="24"/>
          <w:lang w:eastAsia="sk-SK"/>
        </w:rPr>
      </w:pPr>
    </w:p>
    <w:p w14:paraId="29D5177D"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2.1 Zhrnutie vplyvov na rozpočet verejnej správy v návrhu</w:t>
      </w:r>
    </w:p>
    <w:p w14:paraId="6EF2D1AD" w14:textId="77777777" w:rsidR="00C747AF" w:rsidRDefault="00C747AF" w:rsidP="00C747AF">
      <w:pPr>
        <w:spacing w:after="0" w:line="240" w:lineRule="auto"/>
        <w:jc w:val="right"/>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Tabuľka č. 1 </w:t>
      </w:r>
    </w:p>
    <w:p w14:paraId="7462CDAF" w14:textId="77777777" w:rsidR="00C747AF" w:rsidRDefault="00C747AF" w:rsidP="00C747AF">
      <w:pPr>
        <w:spacing w:after="0" w:line="240" w:lineRule="auto"/>
        <w:jc w:val="right"/>
        <w:rPr>
          <w:rFonts w:ascii="Times New Roman" w:eastAsia="Times New Roman" w:hAnsi="Times New Roman" w:cs="Times New Roman"/>
          <w:sz w:val="20"/>
          <w:szCs w:val="20"/>
          <w:lang w:eastAsia="sk-SK"/>
        </w:rPr>
      </w:pPr>
    </w:p>
    <w:p w14:paraId="0D79ABE3" w14:textId="77777777" w:rsidR="00C747AF" w:rsidRDefault="00C747AF" w:rsidP="00C747AF">
      <w:pPr>
        <w:spacing w:after="0" w:line="240" w:lineRule="auto"/>
        <w:jc w:val="right"/>
        <w:rPr>
          <w:rFonts w:ascii="Times New Roman" w:eastAsia="Times New Roman" w:hAnsi="Times New Roman" w:cs="Times New Roman"/>
          <w:sz w:val="20"/>
          <w:szCs w:val="20"/>
          <w:lang w:eastAsia="sk-SK"/>
        </w:rPr>
      </w:pP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tblGrid>
      <w:tr w:rsidR="00C747AF" w:rsidRPr="00B14AD5" w14:paraId="1A17C8BA" w14:textId="77777777" w:rsidTr="00263110">
        <w:trPr>
          <w:cantSplit/>
          <w:trHeight w:val="70"/>
          <w:jc w:val="center"/>
        </w:trPr>
        <w:tc>
          <w:tcPr>
            <w:tcW w:w="4661" w:type="dxa"/>
            <w:vMerge w:val="restart"/>
            <w:shd w:val="clear" w:color="auto" w:fill="BFBFBF" w:themeFill="background1" w:themeFillShade="BF"/>
            <w:vAlign w:val="center"/>
          </w:tcPr>
          <w:p w14:paraId="0FC3D9F1"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bookmarkStart w:id="0" w:name="OLE_LINK1"/>
            <w:r w:rsidRPr="004122FF">
              <w:rPr>
                <w:rFonts w:ascii="Times New Roman" w:eastAsia="Times New Roman" w:hAnsi="Times New Roman" w:cs="Times New Roman"/>
                <w:b/>
                <w:bCs/>
                <w:sz w:val="24"/>
                <w:szCs w:val="24"/>
                <w:lang w:eastAsia="sk-SK"/>
              </w:rPr>
              <w:t>Vplyvy na rozpočet verejnej správy</w:t>
            </w:r>
          </w:p>
        </w:tc>
        <w:tc>
          <w:tcPr>
            <w:tcW w:w="3801" w:type="dxa"/>
            <w:gridSpan w:val="3"/>
            <w:shd w:val="clear" w:color="auto" w:fill="BFBFBF" w:themeFill="background1" w:themeFillShade="BF"/>
            <w:vAlign w:val="center"/>
          </w:tcPr>
          <w:p w14:paraId="678CA80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 (v eurách)</w:t>
            </w:r>
          </w:p>
        </w:tc>
      </w:tr>
      <w:tr w:rsidR="00C747AF" w:rsidRPr="00B14AD5" w14:paraId="60483319" w14:textId="77777777" w:rsidTr="00263110">
        <w:trPr>
          <w:cantSplit/>
          <w:trHeight w:val="70"/>
          <w:jc w:val="center"/>
        </w:trPr>
        <w:tc>
          <w:tcPr>
            <w:tcW w:w="4661" w:type="dxa"/>
            <w:vMerge/>
            <w:shd w:val="clear" w:color="auto" w:fill="BFBFBF" w:themeFill="background1" w:themeFillShade="BF"/>
            <w:vAlign w:val="center"/>
          </w:tcPr>
          <w:p w14:paraId="1D7C3E6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42736736" w14:textId="77777777" w:rsidR="00C747AF"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604B6260" w14:textId="77777777" w:rsidR="00C747AF"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4709DBF5" w14:textId="77777777" w:rsidR="00C747AF"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C747AF" w:rsidRPr="00B14AD5" w14:paraId="22FD3AEE" w14:textId="77777777" w:rsidTr="00263110">
        <w:trPr>
          <w:cantSplit/>
          <w:trHeight w:val="70"/>
          <w:jc w:val="center"/>
        </w:trPr>
        <w:tc>
          <w:tcPr>
            <w:tcW w:w="4661" w:type="dxa"/>
            <w:shd w:val="clear" w:color="auto" w:fill="C0C0C0"/>
            <w:vAlign w:val="center"/>
          </w:tcPr>
          <w:p w14:paraId="4CDD31E7"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5CD0535E"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3F1B1EEE"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E7E6BE0"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r>
      <w:tr w:rsidR="00C747AF" w:rsidRPr="00B14AD5" w14:paraId="7B3EBD01" w14:textId="77777777" w:rsidTr="00263110">
        <w:trPr>
          <w:trHeight w:val="70"/>
          <w:jc w:val="center"/>
        </w:trPr>
        <w:tc>
          <w:tcPr>
            <w:tcW w:w="4661" w:type="dxa"/>
            <w:noWrap/>
            <w:vAlign w:val="center"/>
          </w:tcPr>
          <w:p w14:paraId="67CA8C08"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 tom: za každý subjekt verejnej správy zvlášť</w:t>
            </w:r>
          </w:p>
        </w:tc>
        <w:tc>
          <w:tcPr>
            <w:tcW w:w="1267" w:type="dxa"/>
            <w:vAlign w:val="center"/>
          </w:tcPr>
          <w:p w14:paraId="606B0B5C"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c>
          <w:tcPr>
            <w:tcW w:w="1267" w:type="dxa"/>
            <w:vAlign w:val="center"/>
          </w:tcPr>
          <w:p w14:paraId="059FBD50"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c>
          <w:tcPr>
            <w:tcW w:w="1267" w:type="dxa"/>
            <w:vAlign w:val="center"/>
          </w:tcPr>
          <w:p w14:paraId="5C2E6753"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4C025358" w14:textId="77777777" w:rsidTr="00263110">
        <w:trPr>
          <w:trHeight w:val="132"/>
          <w:jc w:val="center"/>
        </w:trPr>
        <w:tc>
          <w:tcPr>
            <w:tcW w:w="4661" w:type="dxa"/>
            <w:noWrap/>
            <w:vAlign w:val="center"/>
          </w:tcPr>
          <w:p w14:paraId="30E5D81C"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7CA070AD"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14:paraId="320F9A21"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14:paraId="1B98B271"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r>
      <w:tr w:rsidR="00C747AF" w:rsidRPr="00B14AD5" w14:paraId="72CBBA78" w14:textId="77777777" w:rsidTr="00263110">
        <w:trPr>
          <w:trHeight w:val="70"/>
          <w:jc w:val="center"/>
        </w:trPr>
        <w:tc>
          <w:tcPr>
            <w:tcW w:w="4661" w:type="dxa"/>
            <w:noWrap/>
            <w:vAlign w:val="center"/>
          </w:tcPr>
          <w:p w14:paraId="10443CF3"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14:paraId="24E2F1EC"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167B4B1"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728BA87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228E9E57" w14:textId="77777777" w:rsidTr="00263110">
        <w:trPr>
          <w:trHeight w:val="125"/>
          <w:jc w:val="center"/>
        </w:trPr>
        <w:tc>
          <w:tcPr>
            <w:tcW w:w="4661" w:type="dxa"/>
            <w:noWrap/>
            <w:vAlign w:val="center"/>
          </w:tcPr>
          <w:p w14:paraId="0CBD7F90"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Rozpočtové prostriedky</w:t>
            </w:r>
          </w:p>
        </w:tc>
        <w:tc>
          <w:tcPr>
            <w:tcW w:w="1267" w:type="dxa"/>
            <w:noWrap/>
            <w:vAlign w:val="center"/>
          </w:tcPr>
          <w:p w14:paraId="5CD3756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74CC6B1"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176F43F4"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4ADCD4C1" w14:textId="77777777" w:rsidTr="00263110">
        <w:trPr>
          <w:trHeight w:val="125"/>
          <w:jc w:val="center"/>
        </w:trPr>
        <w:tc>
          <w:tcPr>
            <w:tcW w:w="4661" w:type="dxa"/>
            <w:noWrap/>
            <w:vAlign w:val="center"/>
          </w:tcPr>
          <w:p w14:paraId="545D3A02" w14:textId="77777777" w:rsidR="00C747AF" w:rsidRPr="00B14AD5" w:rsidRDefault="00C747AF" w:rsidP="00263110">
            <w:pPr>
              <w:spacing w:after="0" w:line="240" w:lineRule="auto"/>
              <w:ind w:left="259"/>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EÚ zdroje</w:t>
            </w:r>
          </w:p>
        </w:tc>
        <w:tc>
          <w:tcPr>
            <w:tcW w:w="1267" w:type="dxa"/>
            <w:noWrap/>
            <w:vAlign w:val="center"/>
          </w:tcPr>
          <w:p w14:paraId="178746BB"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3BB12BE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16EE310F"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07CE5769" w14:textId="77777777" w:rsidTr="00263110">
        <w:trPr>
          <w:trHeight w:val="125"/>
          <w:jc w:val="center"/>
        </w:trPr>
        <w:tc>
          <w:tcPr>
            <w:tcW w:w="4661" w:type="dxa"/>
            <w:noWrap/>
            <w:vAlign w:val="center"/>
          </w:tcPr>
          <w:p w14:paraId="14DAD4D2" w14:textId="77777777" w:rsidR="00C747AF" w:rsidRPr="00B14AD5" w:rsidRDefault="00C747AF" w:rsidP="00263110">
            <w:pPr>
              <w:spacing w:after="0" w:line="240" w:lineRule="auto"/>
              <w:ind w:left="259"/>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14:paraId="2A233490"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23A43B9A"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6E8F3AC4"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0CD6A1C1" w14:textId="77777777" w:rsidTr="00263110">
        <w:trPr>
          <w:trHeight w:val="125"/>
          <w:jc w:val="center"/>
        </w:trPr>
        <w:tc>
          <w:tcPr>
            <w:tcW w:w="4661" w:type="dxa"/>
            <w:noWrap/>
            <w:vAlign w:val="center"/>
          </w:tcPr>
          <w:p w14:paraId="11FC0155"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BCBD779"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2615FC46"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47BCF90"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111BE15D" w14:textId="77777777" w:rsidTr="00263110">
        <w:trPr>
          <w:trHeight w:val="125"/>
          <w:jc w:val="center"/>
        </w:trPr>
        <w:tc>
          <w:tcPr>
            <w:tcW w:w="4661" w:type="dxa"/>
            <w:noWrap/>
            <w:vAlign w:val="center"/>
          </w:tcPr>
          <w:p w14:paraId="210825CF"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09F2E9F"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05CC5AF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0BCB4B7E"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256630E2" w14:textId="77777777" w:rsidTr="00263110">
        <w:trPr>
          <w:trHeight w:val="543"/>
          <w:jc w:val="center"/>
        </w:trPr>
        <w:tc>
          <w:tcPr>
            <w:tcW w:w="4661" w:type="dxa"/>
            <w:shd w:val="clear" w:color="auto" w:fill="C0C0C0"/>
            <w:noWrap/>
            <w:vAlign w:val="center"/>
          </w:tcPr>
          <w:p w14:paraId="75A17649"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4E43D5F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122 749,35 </w:t>
            </w:r>
          </w:p>
        </w:tc>
        <w:tc>
          <w:tcPr>
            <w:tcW w:w="1267" w:type="dxa"/>
            <w:shd w:val="clear" w:color="auto" w:fill="C0C0C0"/>
            <w:noWrap/>
            <w:vAlign w:val="center"/>
          </w:tcPr>
          <w:p w14:paraId="1B753456" w14:textId="77777777" w:rsidR="00C747AF" w:rsidRPr="006C089E" w:rsidRDefault="00C747AF" w:rsidP="00263110">
            <w:pPr>
              <w:spacing w:after="0" w:line="240" w:lineRule="auto"/>
              <w:jc w:val="right"/>
            </w:pPr>
            <w:r>
              <w:rPr>
                <w:rFonts w:ascii="Times New Roman" w:eastAsia="Times New Roman" w:hAnsi="Times New Roman" w:cs="Times New Roman"/>
                <w:b/>
                <w:bCs/>
                <w:iCs/>
                <w:sz w:val="24"/>
                <w:szCs w:val="24"/>
                <w:lang w:eastAsia="sk-SK"/>
              </w:rPr>
              <w:fldChar w:fldCharType="begin"/>
            </w:r>
            <w:r>
              <w:rPr>
                <w:rFonts w:ascii="Times New Roman" w:eastAsia="Times New Roman" w:hAnsi="Times New Roman" w:cs="Times New Roman"/>
                <w:b/>
                <w:bCs/>
                <w:iCs/>
                <w:sz w:val="24"/>
                <w:szCs w:val="24"/>
                <w:lang w:eastAsia="sk-SK"/>
              </w:rPr>
              <w:instrText xml:space="preserve"> LINK Excel.Sheet.12 "\\\\fserver2\\data\\08. OEaKU\\Jana Hrašková\\DMA\\DMA_bez valorizacie_MPK_6FTE.xlsx" "NRVS_DMA_MPK_bez valorizacie!R5C3" \a \f 5 \h  \* MERGEFORMAT </w:instrText>
            </w:r>
            <w:r>
              <w:rPr>
                <w:rFonts w:ascii="Times New Roman" w:eastAsia="Times New Roman" w:hAnsi="Times New Roman" w:cs="Times New Roman"/>
                <w:b/>
                <w:bCs/>
                <w:iCs/>
                <w:sz w:val="24"/>
                <w:szCs w:val="24"/>
                <w:lang w:eastAsia="sk-SK"/>
              </w:rPr>
              <w:fldChar w:fldCharType="separate"/>
            </w:r>
            <w:r>
              <w:rPr>
                <w:rFonts w:ascii="Times New Roman" w:eastAsia="Times New Roman" w:hAnsi="Times New Roman" w:cs="Times New Roman"/>
                <w:b/>
                <w:bCs/>
                <w:iCs/>
                <w:sz w:val="24"/>
                <w:szCs w:val="24"/>
                <w:lang w:eastAsia="sk-SK"/>
              </w:rPr>
              <w:t xml:space="preserve">119 944,35 </w:t>
            </w:r>
            <w:r>
              <w:rPr>
                <w:rFonts w:ascii="Times New Roman" w:eastAsia="Times New Roman" w:hAnsi="Times New Roman" w:cs="Times New Roman"/>
                <w:b/>
                <w:bCs/>
                <w:iCs/>
                <w:sz w:val="24"/>
                <w:szCs w:val="24"/>
                <w:lang w:eastAsia="sk-SK"/>
              </w:rPr>
              <w:fldChar w:fldCharType="end"/>
            </w:r>
          </w:p>
        </w:tc>
        <w:tc>
          <w:tcPr>
            <w:tcW w:w="1267" w:type="dxa"/>
            <w:shd w:val="clear" w:color="auto" w:fill="C0C0C0"/>
            <w:noWrap/>
            <w:vAlign w:val="center"/>
          </w:tcPr>
          <w:p w14:paraId="7A659085"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6C089E">
              <w:rPr>
                <w:rFonts w:ascii="Times New Roman" w:eastAsia="Times New Roman" w:hAnsi="Times New Roman" w:cs="Times New Roman"/>
                <w:b/>
                <w:bCs/>
                <w:iCs/>
                <w:sz w:val="24"/>
                <w:szCs w:val="24"/>
                <w:lang w:eastAsia="sk-SK"/>
              </w:rPr>
              <w:t>119 944,35</w:t>
            </w:r>
          </w:p>
        </w:tc>
      </w:tr>
      <w:tr w:rsidR="00C747AF" w:rsidRPr="00B14AD5" w14:paraId="6440C887" w14:textId="77777777" w:rsidTr="00263110">
        <w:trPr>
          <w:trHeight w:val="125"/>
          <w:jc w:val="center"/>
        </w:trPr>
        <w:tc>
          <w:tcPr>
            <w:tcW w:w="4661" w:type="dxa"/>
            <w:noWrap/>
            <w:vAlign w:val="center"/>
          </w:tcPr>
          <w:p w14:paraId="5C6E1D99"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07726C13" w14:textId="77777777" w:rsidR="00C747AF" w:rsidRPr="003C0E8B"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4BA8C12F" w14:textId="77777777" w:rsidR="00C747AF" w:rsidRPr="003C0E8B"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24080F54" w14:textId="77777777" w:rsidR="00C747AF" w:rsidRPr="003C0E8B"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383DB3BF" w14:textId="77777777" w:rsidTr="00263110">
        <w:trPr>
          <w:trHeight w:val="70"/>
          <w:jc w:val="center"/>
        </w:trPr>
        <w:tc>
          <w:tcPr>
            <w:tcW w:w="4661" w:type="dxa"/>
            <w:noWrap/>
            <w:vAlign w:val="center"/>
          </w:tcPr>
          <w:p w14:paraId="2459DA08"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260E2978"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14:paraId="08599BCA"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c>
          <w:tcPr>
            <w:tcW w:w="1267" w:type="dxa"/>
            <w:noWrap/>
            <w:vAlign w:val="center"/>
          </w:tcPr>
          <w:p w14:paraId="70BA5AE3"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p>
        </w:tc>
      </w:tr>
      <w:tr w:rsidR="00C747AF" w:rsidRPr="00B14AD5" w14:paraId="4C4973F6" w14:textId="77777777" w:rsidTr="00263110">
        <w:trPr>
          <w:trHeight w:val="70"/>
          <w:jc w:val="center"/>
        </w:trPr>
        <w:tc>
          <w:tcPr>
            <w:tcW w:w="4661" w:type="dxa"/>
            <w:noWrap/>
            <w:vAlign w:val="center"/>
          </w:tcPr>
          <w:p w14:paraId="322574D6"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14:paraId="62001666"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122 74</w:t>
            </w:r>
            <w:r w:rsidRPr="006C089E">
              <w:rPr>
                <w:rFonts w:ascii="Times New Roman" w:eastAsia="Times New Roman" w:hAnsi="Times New Roman" w:cs="Times New Roman"/>
                <w:b/>
                <w:bCs/>
                <w:iCs/>
                <w:sz w:val="24"/>
                <w:szCs w:val="24"/>
                <w:lang w:eastAsia="sk-SK"/>
              </w:rPr>
              <w:t>9,35</w:t>
            </w:r>
          </w:p>
        </w:tc>
        <w:tc>
          <w:tcPr>
            <w:tcW w:w="1267" w:type="dxa"/>
            <w:noWrap/>
            <w:vAlign w:val="center"/>
          </w:tcPr>
          <w:p w14:paraId="38682D0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6C089E">
              <w:rPr>
                <w:rFonts w:ascii="Times New Roman" w:eastAsia="Times New Roman" w:hAnsi="Times New Roman" w:cs="Times New Roman"/>
                <w:b/>
                <w:bCs/>
                <w:iCs/>
                <w:sz w:val="24"/>
                <w:szCs w:val="24"/>
                <w:lang w:eastAsia="sk-SK"/>
              </w:rPr>
              <w:t>119 944,35</w:t>
            </w:r>
          </w:p>
        </w:tc>
        <w:tc>
          <w:tcPr>
            <w:tcW w:w="1267" w:type="dxa"/>
            <w:noWrap/>
            <w:vAlign w:val="center"/>
          </w:tcPr>
          <w:p w14:paraId="0F946DEA"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6C089E">
              <w:rPr>
                <w:rFonts w:ascii="Times New Roman" w:eastAsia="Times New Roman" w:hAnsi="Times New Roman" w:cs="Times New Roman"/>
                <w:b/>
                <w:bCs/>
                <w:iCs/>
                <w:sz w:val="24"/>
                <w:szCs w:val="24"/>
                <w:lang w:eastAsia="sk-SK"/>
              </w:rPr>
              <w:t>119 944,35</w:t>
            </w:r>
          </w:p>
        </w:tc>
      </w:tr>
      <w:tr w:rsidR="00C747AF" w:rsidRPr="00B14AD5" w14:paraId="3C0CF8BC" w14:textId="77777777" w:rsidTr="00263110">
        <w:trPr>
          <w:trHeight w:val="70"/>
          <w:jc w:val="center"/>
        </w:trPr>
        <w:tc>
          <w:tcPr>
            <w:tcW w:w="4661" w:type="dxa"/>
            <w:noWrap/>
            <w:vAlign w:val="center"/>
          </w:tcPr>
          <w:p w14:paraId="38F288EC"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B7B966F"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5F46EBDA"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ED2E7A2"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6043A489" w14:textId="77777777" w:rsidTr="00263110">
        <w:trPr>
          <w:trHeight w:val="70"/>
          <w:jc w:val="center"/>
        </w:trPr>
        <w:tc>
          <w:tcPr>
            <w:tcW w:w="4661" w:type="dxa"/>
            <w:noWrap/>
            <w:vAlign w:val="center"/>
          </w:tcPr>
          <w:p w14:paraId="58AF17B1" w14:textId="77777777" w:rsidR="00C747AF" w:rsidRPr="00B14AD5" w:rsidRDefault="00C747AF" w:rsidP="00263110">
            <w:pPr>
              <w:spacing w:after="0" w:line="240" w:lineRule="auto"/>
              <w:ind w:left="259"/>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502CC182"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60087AC1"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405A38D9"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1A6F22E2" w14:textId="77777777" w:rsidTr="00263110">
        <w:trPr>
          <w:trHeight w:val="70"/>
          <w:jc w:val="center"/>
        </w:trPr>
        <w:tc>
          <w:tcPr>
            <w:tcW w:w="4661" w:type="dxa"/>
            <w:noWrap/>
            <w:vAlign w:val="center"/>
          </w:tcPr>
          <w:p w14:paraId="1E0C1575" w14:textId="77777777" w:rsidR="00C747AF" w:rsidRPr="00B14AD5" w:rsidRDefault="00C747AF" w:rsidP="00263110">
            <w:pPr>
              <w:spacing w:after="0" w:line="240" w:lineRule="auto"/>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509FDC61"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1FD65BE4"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7D900DD2"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7A6457E5" w14:textId="77777777" w:rsidTr="00263110">
        <w:trPr>
          <w:trHeight w:val="70"/>
          <w:jc w:val="center"/>
        </w:trPr>
        <w:tc>
          <w:tcPr>
            <w:tcW w:w="4661" w:type="dxa"/>
            <w:noWrap/>
            <w:vAlign w:val="center"/>
          </w:tcPr>
          <w:p w14:paraId="3499F9AA" w14:textId="77777777" w:rsidR="00C747AF" w:rsidRPr="00B14AD5" w:rsidRDefault="00C747AF" w:rsidP="00263110">
            <w:pPr>
              <w:spacing w:after="0" w:line="240" w:lineRule="auto"/>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14:paraId="120BC621"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68BC8B85"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24415B9D"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1085C2B7" w14:textId="77777777" w:rsidTr="00263110">
        <w:trPr>
          <w:trHeight w:val="125"/>
          <w:jc w:val="center"/>
        </w:trPr>
        <w:tc>
          <w:tcPr>
            <w:tcW w:w="4661" w:type="dxa"/>
            <w:noWrap/>
            <w:vAlign w:val="center"/>
          </w:tcPr>
          <w:p w14:paraId="768CDF6E" w14:textId="77777777" w:rsidR="00C747AF" w:rsidRPr="00B14AD5" w:rsidRDefault="00C747AF" w:rsidP="00263110">
            <w:pPr>
              <w:spacing w:after="0" w:line="240" w:lineRule="auto"/>
              <w:ind w:left="203"/>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156466E4"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7CBE9E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74D94225"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4DCB6F9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68DA24E5" w14:textId="77777777" w:rsidTr="00263110">
        <w:trPr>
          <w:trHeight w:val="125"/>
          <w:jc w:val="center"/>
        </w:trPr>
        <w:tc>
          <w:tcPr>
            <w:tcW w:w="4661" w:type="dxa"/>
            <w:noWrap/>
            <w:vAlign w:val="center"/>
          </w:tcPr>
          <w:p w14:paraId="768B9070" w14:textId="77777777" w:rsidR="00C747AF" w:rsidRPr="00B14AD5" w:rsidRDefault="00C747AF" w:rsidP="00263110">
            <w:pPr>
              <w:spacing w:after="0" w:line="240" w:lineRule="auto"/>
              <w:ind w:left="203"/>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3310E19"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6BF6C732"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7544BB80"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6FF480A1" w14:textId="77777777" w:rsidTr="00263110">
        <w:trPr>
          <w:trHeight w:val="125"/>
          <w:jc w:val="center"/>
        </w:trPr>
        <w:tc>
          <w:tcPr>
            <w:tcW w:w="4661" w:type="dxa"/>
            <w:noWrap/>
            <w:vAlign w:val="center"/>
          </w:tcPr>
          <w:p w14:paraId="13C647BA" w14:textId="77777777" w:rsidR="00C747AF" w:rsidRPr="00B14AD5" w:rsidRDefault="00C747AF" w:rsidP="00263110">
            <w:pPr>
              <w:spacing w:after="0" w:line="240" w:lineRule="auto"/>
              <w:ind w:left="203"/>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38BA5894"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5FE4ED7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6C770E46"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2E6B9309"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5DCAF524" w14:textId="77777777" w:rsidTr="00263110">
        <w:trPr>
          <w:trHeight w:val="125"/>
          <w:jc w:val="center"/>
        </w:trPr>
        <w:tc>
          <w:tcPr>
            <w:tcW w:w="4661" w:type="dxa"/>
            <w:noWrap/>
            <w:vAlign w:val="center"/>
          </w:tcPr>
          <w:p w14:paraId="11F7A1D1" w14:textId="77777777" w:rsidR="00C747AF" w:rsidRPr="00B14AD5" w:rsidRDefault="00C747AF" w:rsidP="00263110">
            <w:pPr>
              <w:spacing w:after="0" w:line="240" w:lineRule="auto"/>
              <w:ind w:left="203"/>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407962E"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121958F3"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71762DE1"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1B6989B4" w14:textId="77777777" w:rsidTr="00263110">
        <w:trPr>
          <w:trHeight w:val="70"/>
          <w:jc w:val="center"/>
        </w:trPr>
        <w:tc>
          <w:tcPr>
            <w:tcW w:w="4661" w:type="dxa"/>
            <w:shd w:val="clear" w:color="auto" w:fill="BFBFBF" w:themeFill="background1" w:themeFillShade="BF"/>
            <w:noWrap/>
            <w:vAlign w:val="center"/>
          </w:tcPr>
          <w:p w14:paraId="4E2B4F34"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6E8A51A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3</w:t>
            </w:r>
          </w:p>
        </w:tc>
        <w:tc>
          <w:tcPr>
            <w:tcW w:w="1267" w:type="dxa"/>
            <w:shd w:val="clear" w:color="auto" w:fill="BFBFBF" w:themeFill="background1" w:themeFillShade="BF"/>
            <w:noWrap/>
            <w:vAlign w:val="center"/>
          </w:tcPr>
          <w:p w14:paraId="4B6B9D15"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3</w:t>
            </w:r>
          </w:p>
        </w:tc>
        <w:tc>
          <w:tcPr>
            <w:tcW w:w="1267" w:type="dxa"/>
            <w:shd w:val="clear" w:color="auto" w:fill="BFBFBF" w:themeFill="background1" w:themeFillShade="BF"/>
            <w:noWrap/>
            <w:vAlign w:val="center"/>
          </w:tcPr>
          <w:p w14:paraId="7A75FCA0"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sz w:val="24"/>
                <w:szCs w:val="24"/>
                <w:lang w:eastAsia="sk-SK"/>
              </w:rPr>
              <w:t>3</w:t>
            </w:r>
          </w:p>
        </w:tc>
      </w:tr>
      <w:tr w:rsidR="00C747AF" w:rsidRPr="00B14AD5" w14:paraId="17C4DA8E" w14:textId="77777777" w:rsidTr="00263110">
        <w:trPr>
          <w:trHeight w:val="70"/>
          <w:jc w:val="center"/>
        </w:trPr>
        <w:tc>
          <w:tcPr>
            <w:tcW w:w="4661" w:type="dxa"/>
            <w:noWrap/>
            <w:vAlign w:val="center"/>
          </w:tcPr>
          <w:p w14:paraId="3AD4705E"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14:paraId="02E7A5E9"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3</w:t>
            </w:r>
          </w:p>
        </w:tc>
        <w:tc>
          <w:tcPr>
            <w:tcW w:w="1267" w:type="dxa"/>
            <w:noWrap/>
            <w:vAlign w:val="center"/>
          </w:tcPr>
          <w:p w14:paraId="0BD4945E"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3</w:t>
            </w:r>
          </w:p>
        </w:tc>
        <w:tc>
          <w:tcPr>
            <w:tcW w:w="1267" w:type="dxa"/>
            <w:noWrap/>
            <w:vAlign w:val="center"/>
          </w:tcPr>
          <w:p w14:paraId="754CA0E1"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3</w:t>
            </w:r>
          </w:p>
        </w:tc>
      </w:tr>
      <w:tr w:rsidR="00C747AF" w:rsidRPr="00B14AD5" w14:paraId="683B6A3C" w14:textId="77777777" w:rsidTr="00263110">
        <w:trPr>
          <w:trHeight w:val="70"/>
          <w:jc w:val="center"/>
        </w:trPr>
        <w:tc>
          <w:tcPr>
            <w:tcW w:w="4661" w:type="dxa"/>
            <w:noWrap/>
            <w:vAlign w:val="center"/>
          </w:tcPr>
          <w:p w14:paraId="760149D5"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14:paraId="2A7A5ED3"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394949A"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6615AA84"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2AFAA5A3" w14:textId="77777777" w:rsidTr="00263110">
        <w:trPr>
          <w:trHeight w:val="70"/>
          <w:jc w:val="center"/>
        </w:trPr>
        <w:tc>
          <w:tcPr>
            <w:tcW w:w="4661" w:type="dxa"/>
            <w:noWrap/>
            <w:vAlign w:val="center"/>
          </w:tcPr>
          <w:p w14:paraId="4A67694C"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C3F58DB"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2540B801"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3EDFCE50"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7BAA50EF" w14:textId="77777777" w:rsidTr="00263110">
        <w:trPr>
          <w:trHeight w:val="70"/>
          <w:jc w:val="center"/>
        </w:trPr>
        <w:tc>
          <w:tcPr>
            <w:tcW w:w="4661" w:type="dxa"/>
            <w:noWrap/>
            <w:vAlign w:val="center"/>
          </w:tcPr>
          <w:p w14:paraId="6CB11822"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0F7B9D9"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1AA1B072"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47FACD7F"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5F46C0FC" w14:textId="77777777" w:rsidTr="00263110">
        <w:trPr>
          <w:trHeight w:val="556"/>
          <w:jc w:val="center"/>
        </w:trPr>
        <w:tc>
          <w:tcPr>
            <w:tcW w:w="4661" w:type="dxa"/>
            <w:shd w:val="clear" w:color="auto" w:fill="BFBFBF" w:themeFill="background1" w:themeFillShade="BF"/>
            <w:noWrap/>
            <w:vAlign w:val="center"/>
          </w:tcPr>
          <w:p w14:paraId="4FEFCBD2"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3D6B1FD1" w14:textId="77777777" w:rsidR="00C747AF" w:rsidRPr="006C089E" w:rsidRDefault="00C747AF" w:rsidP="00263110">
            <w:pPr>
              <w:spacing w:after="0" w:line="240" w:lineRule="auto"/>
              <w:jc w:val="right"/>
            </w:pPr>
            <w:r w:rsidRPr="009D63A6">
              <w:rPr>
                <w:rFonts w:ascii="Times New Roman" w:eastAsia="Times New Roman" w:hAnsi="Times New Roman" w:cs="Times New Roman"/>
                <w:b/>
                <w:bCs/>
                <w:iCs/>
                <w:sz w:val="24"/>
                <w:szCs w:val="24"/>
                <w:lang w:eastAsia="sk-SK"/>
              </w:rPr>
              <w:t>76 500,00</w:t>
            </w:r>
          </w:p>
        </w:tc>
        <w:tc>
          <w:tcPr>
            <w:tcW w:w="1267" w:type="dxa"/>
            <w:shd w:val="clear" w:color="auto" w:fill="BFBFBF" w:themeFill="background1" w:themeFillShade="BF"/>
            <w:noWrap/>
            <w:vAlign w:val="center"/>
          </w:tcPr>
          <w:p w14:paraId="51B05750" w14:textId="77777777" w:rsidR="00C747AF" w:rsidRPr="006C089E" w:rsidRDefault="00C747AF" w:rsidP="00263110">
            <w:pPr>
              <w:spacing w:after="0" w:line="240" w:lineRule="auto"/>
              <w:jc w:val="right"/>
            </w:pPr>
            <w:r w:rsidRPr="009D63A6">
              <w:rPr>
                <w:rFonts w:ascii="Times New Roman" w:eastAsia="Times New Roman" w:hAnsi="Times New Roman" w:cs="Times New Roman"/>
                <w:b/>
                <w:bCs/>
                <w:iCs/>
                <w:sz w:val="24"/>
                <w:szCs w:val="24"/>
                <w:lang w:eastAsia="sk-SK"/>
              </w:rPr>
              <w:t>76 500,00</w:t>
            </w:r>
          </w:p>
        </w:tc>
        <w:tc>
          <w:tcPr>
            <w:tcW w:w="1267" w:type="dxa"/>
            <w:shd w:val="clear" w:color="auto" w:fill="BFBFBF" w:themeFill="background1" w:themeFillShade="BF"/>
            <w:noWrap/>
            <w:vAlign w:val="center"/>
          </w:tcPr>
          <w:p w14:paraId="75126F5A" w14:textId="77777777" w:rsidR="00C747AF" w:rsidRPr="009D63A6" w:rsidRDefault="00C747AF" w:rsidP="00263110">
            <w:pPr>
              <w:spacing w:after="0" w:line="240" w:lineRule="auto"/>
              <w:jc w:val="right"/>
            </w:pPr>
            <w:r>
              <w:rPr>
                <w:rFonts w:ascii="Times New Roman" w:eastAsia="Times New Roman" w:hAnsi="Times New Roman" w:cs="Times New Roman"/>
                <w:b/>
                <w:bCs/>
                <w:iCs/>
                <w:sz w:val="24"/>
                <w:szCs w:val="24"/>
                <w:lang w:eastAsia="sk-SK"/>
              </w:rPr>
              <w:fldChar w:fldCharType="begin"/>
            </w:r>
            <w:r>
              <w:rPr>
                <w:rFonts w:ascii="Times New Roman" w:eastAsia="Times New Roman" w:hAnsi="Times New Roman" w:cs="Times New Roman"/>
                <w:b/>
                <w:bCs/>
                <w:iCs/>
                <w:sz w:val="24"/>
                <w:szCs w:val="24"/>
                <w:lang w:eastAsia="sk-SK"/>
              </w:rPr>
              <w:instrText xml:space="preserve"> LINK Excel.Sheet.12 "\\\\fserver2\\data\\08. OEaKU\\Jana Hrašková\\DMA\\DMA_bez valorizacie_MPK_6FTE.xlsx" "NRVS_DMA_MPK_bez valorizacie!R6C2" \a \f 5 \h  \* MERGEFORMAT </w:instrText>
            </w:r>
            <w:r>
              <w:rPr>
                <w:rFonts w:ascii="Times New Roman" w:eastAsia="Times New Roman" w:hAnsi="Times New Roman" w:cs="Times New Roman"/>
                <w:b/>
                <w:bCs/>
                <w:iCs/>
                <w:sz w:val="24"/>
                <w:szCs w:val="24"/>
                <w:lang w:eastAsia="sk-SK"/>
              </w:rPr>
              <w:fldChar w:fldCharType="separate"/>
            </w:r>
            <w:r w:rsidRPr="009D63A6">
              <w:rPr>
                <w:rFonts w:ascii="Times New Roman" w:eastAsia="Times New Roman" w:hAnsi="Times New Roman" w:cs="Times New Roman"/>
                <w:b/>
                <w:bCs/>
                <w:iCs/>
                <w:sz w:val="24"/>
                <w:szCs w:val="24"/>
                <w:lang w:eastAsia="sk-SK"/>
              </w:rPr>
              <w:t>76 500,00</w:t>
            </w:r>
            <w:r>
              <w:rPr>
                <w:rFonts w:ascii="Times New Roman" w:eastAsia="Times New Roman" w:hAnsi="Times New Roman" w:cs="Times New Roman"/>
                <w:b/>
                <w:bCs/>
                <w:iCs/>
                <w:sz w:val="24"/>
                <w:szCs w:val="24"/>
                <w:lang w:eastAsia="sk-SK"/>
              </w:rPr>
              <w:fldChar w:fldCharType="end"/>
            </w:r>
          </w:p>
        </w:tc>
      </w:tr>
      <w:tr w:rsidR="00C747AF" w:rsidRPr="00B14AD5" w14:paraId="74B7C9B9" w14:textId="77777777" w:rsidTr="00263110">
        <w:trPr>
          <w:trHeight w:val="581"/>
          <w:jc w:val="center"/>
        </w:trPr>
        <w:tc>
          <w:tcPr>
            <w:tcW w:w="4661" w:type="dxa"/>
            <w:noWrap/>
            <w:vAlign w:val="center"/>
          </w:tcPr>
          <w:p w14:paraId="386675F7" w14:textId="77777777" w:rsidR="00C747AF" w:rsidRPr="00B14AD5" w:rsidRDefault="00C747AF" w:rsidP="00263110">
            <w:pPr>
              <w:spacing w:after="0" w:line="240" w:lineRule="auto"/>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14:paraId="4DC84638" w14:textId="77777777" w:rsidR="00C747AF" w:rsidRDefault="00C747AF" w:rsidP="00263110">
            <w:pPr>
              <w:spacing w:after="0" w:line="240" w:lineRule="auto"/>
              <w:jc w:val="right"/>
              <w:rPr>
                <w:rFonts w:ascii="Times New Roman" w:eastAsia="Times New Roman" w:hAnsi="Times New Roman" w:cs="Times New Roman"/>
                <w:b/>
                <w:bCs/>
                <w:iCs/>
                <w:sz w:val="24"/>
                <w:szCs w:val="24"/>
                <w:lang w:eastAsia="sk-SK"/>
              </w:rPr>
            </w:pPr>
          </w:p>
          <w:p w14:paraId="173AA2BF" w14:textId="77777777" w:rsidR="00C747AF" w:rsidRDefault="00C747AF" w:rsidP="00263110">
            <w:pPr>
              <w:spacing w:after="0" w:line="240" w:lineRule="auto"/>
              <w:jc w:val="right"/>
            </w:pPr>
            <w:r w:rsidRPr="009D63A6">
              <w:rPr>
                <w:rFonts w:ascii="Times New Roman" w:eastAsia="Times New Roman" w:hAnsi="Times New Roman" w:cs="Times New Roman"/>
                <w:b/>
                <w:bCs/>
                <w:iCs/>
                <w:sz w:val="24"/>
                <w:szCs w:val="24"/>
                <w:lang w:eastAsia="sk-SK"/>
              </w:rPr>
              <w:t>76 500,00</w:t>
            </w:r>
            <w:r>
              <w:rPr>
                <w:rFonts w:ascii="Times New Roman" w:eastAsia="Times New Roman" w:hAnsi="Times New Roman" w:cs="Times New Roman"/>
                <w:b/>
                <w:bCs/>
                <w:iCs/>
                <w:sz w:val="24"/>
                <w:szCs w:val="24"/>
                <w:lang w:eastAsia="sk-SK"/>
              </w:rPr>
              <w:fldChar w:fldCharType="begin"/>
            </w:r>
            <w:r>
              <w:rPr>
                <w:rFonts w:ascii="Times New Roman" w:eastAsia="Times New Roman" w:hAnsi="Times New Roman" w:cs="Times New Roman"/>
                <w:b/>
                <w:bCs/>
                <w:iCs/>
                <w:sz w:val="24"/>
                <w:szCs w:val="24"/>
                <w:lang w:eastAsia="sk-SK"/>
              </w:rPr>
              <w:instrText xml:space="preserve"> LINK Excel.Sheet.12 "\\\\fserver2\\data\\08. OEaKU\\Jana Hrašková\\DMA\\DMA_bez valorizacie_MPK_6FTE.xlsx" "NRVS_DMA_MPK_bez valorizacie!R6C2" \a \f 5 \h  \* MERGEFORMAT </w:instrText>
            </w:r>
            <w:r>
              <w:rPr>
                <w:rFonts w:ascii="Times New Roman" w:eastAsia="Times New Roman" w:hAnsi="Times New Roman" w:cs="Times New Roman"/>
                <w:b/>
                <w:bCs/>
                <w:iCs/>
                <w:sz w:val="24"/>
                <w:szCs w:val="24"/>
                <w:lang w:eastAsia="sk-SK"/>
              </w:rPr>
              <w:fldChar w:fldCharType="separate"/>
            </w:r>
          </w:p>
          <w:p w14:paraId="3F82290B"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fldChar w:fldCharType="end"/>
            </w:r>
          </w:p>
        </w:tc>
        <w:tc>
          <w:tcPr>
            <w:tcW w:w="1267" w:type="dxa"/>
            <w:noWrap/>
            <w:vAlign w:val="center"/>
          </w:tcPr>
          <w:p w14:paraId="7F6D528D" w14:textId="77777777" w:rsidR="00C747AF" w:rsidRPr="006C089E" w:rsidRDefault="00C747AF" w:rsidP="00263110">
            <w:pPr>
              <w:spacing w:after="0" w:line="240" w:lineRule="auto"/>
              <w:jc w:val="right"/>
            </w:pPr>
            <w:r w:rsidRPr="009D63A6">
              <w:rPr>
                <w:rFonts w:ascii="Times New Roman" w:eastAsia="Times New Roman" w:hAnsi="Times New Roman" w:cs="Times New Roman"/>
                <w:b/>
                <w:bCs/>
                <w:iCs/>
                <w:sz w:val="24"/>
                <w:szCs w:val="24"/>
                <w:lang w:eastAsia="sk-SK"/>
              </w:rPr>
              <w:t>76 500,00</w:t>
            </w:r>
          </w:p>
        </w:tc>
        <w:tc>
          <w:tcPr>
            <w:tcW w:w="1267" w:type="dxa"/>
            <w:noWrap/>
            <w:vAlign w:val="center"/>
          </w:tcPr>
          <w:p w14:paraId="2004D6F9" w14:textId="77777777" w:rsidR="00C747AF" w:rsidRPr="006C089E" w:rsidRDefault="00C747AF" w:rsidP="00263110">
            <w:pPr>
              <w:spacing w:after="0" w:line="240" w:lineRule="auto"/>
              <w:jc w:val="right"/>
            </w:pPr>
            <w:r w:rsidRPr="009D63A6">
              <w:rPr>
                <w:rFonts w:ascii="Times New Roman" w:eastAsia="Times New Roman" w:hAnsi="Times New Roman" w:cs="Times New Roman"/>
                <w:b/>
                <w:bCs/>
                <w:iCs/>
                <w:sz w:val="24"/>
                <w:szCs w:val="24"/>
                <w:lang w:eastAsia="sk-SK"/>
              </w:rPr>
              <w:t>76 500,00</w:t>
            </w:r>
          </w:p>
        </w:tc>
      </w:tr>
      <w:tr w:rsidR="00C747AF" w:rsidRPr="00B14AD5" w14:paraId="4D7BD1F1" w14:textId="77777777" w:rsidTr="00263110">
        <w:trPr>
          <w:trHeight w:val="310"/>
          <w:jc w:val="center"/>
        </w:trPr>
        <w:tc>
          <w:tcPr>
            <w:tcW w:w="4661" w:type="dxa"/>
            <w:noWrap/>
            <w:vAlign w:val="center"/>
          </w:tcPr>
          <w:p w14:paraId="49C2B20C"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14:paraId="4D35494E"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104A121A"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04A51DFB"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459886F8" w14:textId="77777777" w:rsidTr="00263110">
        <w:trPr>
          <w:trHeight w:val="70"/>
          <w:jc w:val="center"/>
        </w:trPr>
        <w:tc>
          <w:tcPr>
            <w:tcW w:w="4661" w:type="dxa"/>
            <w:noWrap/>
            <w:vAlign w:val="center"/>
          </w:tcPr>
          <w:p w14:paraId="2231E764"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F869CD3"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1A3B3F05"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6DED59BD"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74CEECAC" w14:textId="77777777" w:rsidTr="00263110">
        <w:trPr>
          <w:trHeight w:val="70"/>
          <w:jc w:val="center"/>
        </w:trPr>
        <w:tc>
          <w:tcPr>
            <w:tcW w:w="4661" w:type="dxa"/>
            <w:noWrap/>
            <w:vAlign w:val="center"/>
          </w:tcPr>
          <w:p w14:paraId="077EB3BC" w14:textId="77777777" w:rsidR="00C747AF" w:rsidRPr="00B14AD5" w:rsidRDefault="00C747AF" w:rsidP="0026311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lastRenderedPageBreak/>
              <w:t>- vplyv na ostatné subjekty verejnej správy</w:t>
            </w:r>
          </w:p>
        </w:tc>
        <w:tc>
          <w:tcPr>
            <w:tcW w:w="1267" w:type="dxa"/>
            <w:noWrap/>
            <w:vAlign w:val="center"/>
          </w:tcPr>
          <w:p w14:paraId="22C1EC65"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0496A1E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14:paraId="21CDF223"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747AF" w:rsidRPr="00B14AD5" w14:paraId="4359EA31" w14:textId="77777777" w:rsidTr="00263110">
        <w:trPr>
          <w:trHeight w:val="70"/>
          <w:jc w:val="center"/>
        </w:trPr>
        <w:tc>
          <w:tcPr>
            <w:tcW w:w="4661" w:type="dxa"/>
            <w:shd w:val="clear" w:color="auto" w:fill="C0C0C0"/>
            <w:noWrap/>
            <w:vAlign w:val="center"/>
          </w:tcPr>
          <w:p w14:paraId="415A7905"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46E19C71"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83B7CE8"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7D33B2A9" w14:textId="77777777" w:rsidR="00C747AF" w:rsidRPr="00B14AD5" w:rsidRDefault="00C747AF" w:rsidP="0026311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sz w:val="24"/>
                <w:szCs w:val="24"/>
                <w:lang w:eastAsia="sk-SK"/>
              </w:rPr>
              <w:t>0</w:t>
            </w:r>
          </w:p>
        </w:tc>
      </w:tr>
      <w:tr w:rsidR="00C747AF" w:rsidRPr="00B14AD5" w14:paraId="21FD3AAA" w14:textId="77777777" w:rsidTr="00263110">
        <w:trPr>
          <w:trHeight w:val="70"/>
          <w:jc w:val="center"/>
        </w:trPr>
        <w:tc>
          <w:tcPr>
            <w:tcW w:w="4661" w:type="dxa"/>
            <w:noWrap/>
            <w:vAlign w:val="center"/>
          </w:tcPr>
          <w:p w14:paraId="6B7A29BF"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48A07D52"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4FF49339"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14:paraId="74C0C2C7"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sz w:val="24"/>
                <w:szCs w:val="24"/>
                <w:lang w:eastAsia="sk-SK"/>
              </w:rPr>
              <w:t>0</w:t>
            </w:r>
          </w:p>
        </w:tc>
      </w:tr>
      <w:tr w:rsidR="00C747AF" w:rsidRPr="00B14AD5" w14:paraId="4DE9AE37" w14:textId="77777777" w:rsidTr="00263110">
        <w:trPr>
          <w:trHeight w:val="70"/>
          <w:jc w:val="center"/>
        </w:trPr>
        <w:tc>
          <w:tcPr>
            <w:tcW w:w="4661" w:type="dxa"/>
            <w:shd w:val="clear" w:color="auto" w:fill="BFBFBF" w:themeFill="background1" w:themeFillShade="BF"/>
            <w:noWrap/>
            <w:vAlign w:val="center"/>
          </w:tcPr>
          <w:p w14:paraId="0AC054AB"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0F7CCD7C"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1E3CBB7"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B0AF1C3" w14:textId="77777777" w:rsidR="00C747AF" w:rsidRPr="00B14AD5" w:rsidRDefault="00C747AF" w:rsidP="00263110">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0</w:t>
            </w:r>
          </w:p>
        </w:tc>
      </w:tr>
      <w:tr w:rsidR="00C747AF" w:rsidRPr="00B14AD5" w14:paraId="23AB44F1" w14:textId="77777777" w:rsidTr="00263110">
        <w:trPr>
          <w:trHeight w:val="70"/>
          <w:jc w:val="center"/>
        </w:trPr>
        <w:tc>
          <w:tcPr>
            <w:tcW w:w="4661" w:type="dxa"/>
            <w:shd w:val="clear" w:color="auto" w:fill="A6A6A6" w:themeFill="background1" w:themeFillShade="A6"/>
            <w:noWrap/>
            <w:vAlign w:val="center"/>
          </w:tcPr>
          <w:p w14:paraId="18CD4ECC" w14:textId="77777777" w:rsidR="00C747AF" w:rsidRPr="00B14AD5" w:rsidRDefault="00C747AF" w:rsidP="00263110">
            <w:pPr>
              <w:spacing w:after="0" w:line="240" w:lineRule="auto"/>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bCs/>
                <w:sz w:val="24"/>
                <w:szCs w:val="24"/>
                <w:lang w:eastAsia="sk-SK"/>
              </w:rPr>
              <w:t xml:space="preserve">Rozpočtovo nekrytý vplyv / </w:t>
            </w:r>
            <w:r w:rsidRPr="00C90818">
              <w:rPr>
                <w:rFonts w:ascii="Times New Roman" w:eastAsia="Times New Roman" w:hAnsi="Times New Roman" w:cs="Times New Roman"/>
                <w:b/>
                <w:bCs/>
                <w:strike/>
                <w:sz w:val="24"/>
                <w:szCs w:val="24"/>
                <w:lang w:eastAsia="sk-SK"/>
              </w:rPr>
              <w:t>úspora</w:t>
            </w:r>
          </w:p>
        </w:tc>
        <w:tc>
          <w:tcPr>
            <w:tcW w:w="1267" w:type="dxa"/>
            <w:shd w:val="clear" w:color="auto" w:fill="A6A6A6" w:themeFill="background1" w:themeFillShade="A6"/>
            <w:noWrap/>
            <w:vAlign w:val="center"/>
          </w:tcPr>
          <w:p w14:paraId="1754A148"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122 74</w:t>
            </w:r>
            <w:r w:rsidRPr="006C089E">
              <w:rPr>
                <w:rFonts w:ascii="Times New Roman" w:eastAsia="Times New Roman" w:hAnsi="Times New Roman" w:cs="Times New Roman"/>
                <w:b/>
                <w:bCs/>
                <w:sz w:val="24"/>
                <w:szCs w:val="24"/>
                <w:lang w:eastAsia="sk-SK"/>
              </w:rPr>
              <w:t>9,35</w:t>
            </w:r>
          </w:p>
        </w:tc>
        <w:tc>
          <w:tcPr>
            <w:tcW w:w="1267" w:type="dxa"/>
            <w:shd w:val="clear" w:color="auto" w:fill="A6A6A6" w:themeFill="background1" w:themeFillShade="A6"/>
            <w:noWrap/>
            <w:vAlign w:val="center"/>
          </w:tcPr>
          <w:p w14:paraId="24BC1156"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6C089E">
              <w:rPr>
                <w:rFonts w:ascii="Times New Roman" w:eastAsia="Times New Roman" w:hAnsi="Times New Roman" w:cs="Times New Roman"/>
                <w:b/>
                <w:bCs/>
                <w:sz w:val="24"/>
                <w:szCs w:val="24"/>
                <w:lang w:eastAsia="sk-SK"/>
              </w:rPr>
              <w:t>119 944,35</w:t>
            </w:r>
          </w:p>
        </w:tc>
        <w:tc>
          <w:tcPr>
            <w:tcW w:w="1267" w:type="dxa"/>
            <w:shd w:val="clear" w:color="auto" w:fill="A6A6A6" w:themeFill="background1" w:themeFillShade="A6"/>
            <w:noWrap/>
            <w:vAlign w:val="center"/>
          </w:tcPr>
          <w:p w14:paraId="5DF1E356"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r w:rsidRPr="006C089E">
              <w:rPr>
                <w:rFonts w:ascii="Times New Roman" w:eastAsia="Times New Roman" w:hAnsi="Times New Roman" w:cs="Times New Roman"/>
                <w:b/>
                <w:bCs/>
                <w:sz w:val="24"/>
                <w:szCs w:val="24"/>
                <w:lang w:eastAsia="sk-SK"/>
              </w:rPr>
              <w:t>119 944,35</w:t>
            </w:r>
          </w:p>
        </w:tc>
      </w:tr>
      <w:tr w:rsidR="00C747AF" w:rsidRPr="00B14AD5" w14:paraId="56D11A0C" w14:textId="77777777" w:rsidTr="00263110">
        <w:trPr>
          <w:trHeight w:val="70"/>
          <w:jc w:val="center"/>
        </w:trPr>
        <w:tc>
          <w:tcPr>
            <w:tcW w:w="4661" w:type="dxa"/>
            <w:shd w:val="clear" w:color="auto" w:fill="A6A6A6" w:themeFill="background1" w:themeFillShade="A6"/>
            <w:noWrap/>
            <w:vAlign w:val="center"/>
          </w:tcPr>
          <w:p w14:paraId="7C809E33"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p>
        </w:tc>
        <w:tc>
          <w:tcPr>
            <w:tcW w:w="1267" w:type="dxa"/>
            <w:shd w:val="clear" w:color="auto" w:fill="A6A6A6" w:themeFill="background1" w:themeFillShade="A6"/>
            <w:noWrap/>
            <w:vAlign w:val="center"/>
          </w:tcPr>
          <w:p w14:paraId="6D4203C2"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A6A6A6" w:themeFill="background1" w:themeFillShade="A6"/>
            <w:noWrap/>
            <w:vAlign w:val="center"/>
          </w:tcPr>
          <w:p w14:paraId="189725C9"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A6A6A6" w:themeFill="background1" w:themeFillShade="A6"/>
            <w:noWrap/>
            <w:vAlign w:val="center"/>
          </w:tcPr>
          <w:p w14:paraId="799150AE" w14:textId="77777777" w:rsidR="00C747AF" w:rsidRPr="00B14AD5" w:rsidRDefault="00C747AF" w:rsidP="00263110">
            <w:pPr>
              <w:spacing w:after="0" w:line="240" w:lineRule="auto"/>
              <w:jc w:val="right"/>
              <w:rPr>
                <w:rFonts w:ascii="Times New Roman" w:eastAsia="Times New Roman" w:hAnsi="Times New Roman" w:cs="Times New Roman"/>
                <w:b/>
                <w:bCs/>
                <w:sz w:val="24"/>
                <w:szCs w:val="24"/>
                <w:lang w:eastAsia="sk-SK"/>
              </w:rPr>
            </w:pPr>
          </w:p>
        </w:tc>
      </w:tr>
      <w:bookmarkEnd w:id="0"/>
    </w:tbl>
    <w:p w14:paraId="2EE11B7F" w14:textId="77777777" w:rsidR="00C747AF" w:rsidRPr="00B14AD5" w:rsidRDefault="00C747AF" w:rsidP="00C747AF">
      <w:pPr>
        <w:spacing w:after="0" w:line="240" w:lineRule="auto"/>
        <w:rPr>
          <w:rFonts w:ascii="Times New Roman" w:eastAsia="Times New Roman" w:hAnsi="Times New Roman" w:cs="Times New Roman"/>
          <w:sz w:val="20"/>
          <w:szCs w:val="20"/>
          <w:lang w:eastAsia="sk-SK"/>
        </w:rPr>
      </w:pPr>
    </w:p>
    <w:p w14:paraId="0CE8A883" w14:textId="77777777" w:rsidR="00C747AF" w:rsidRPr="00B14AD5" w:rsidRDefault="00C747AF" w:rsidP="00C747AF">
      <w:pP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br w:type="page"/>
      </w:r>
      <w:r w:rsidRPr="00B14AD5">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5495671B" w14:textId="77777777" w:rsidR="00C747AF" w:rsidRPr="00B14AD5" w:rsidRDefault="00C747AF" w:rsidP="00C747AF">
      <w:pPr>
        <w:spacing w:after="0" w:line="240" w:lineRule="auto"/>
        <w:jc w:val="both"/>
        <w:rPr>
          <w:rFonts w:ascii="Times New Roman" w:eastAsia="Times New Roman" w:hAnsi="Times New Roman" w:cs="Times New Roman"/>
          <w:b/>
          <w:bCs/>
          <w:sz w:val="12"/>
          <w:szCs w:val="24"/>
          <w:lang w:eastAsia="sk-SK"/>
        </w:rPr>
      </w:pPr>
    </w:p>
    <w:p w14:paraId="02A15586" w14:textId="77777777" w:rsidR="00C747AF" w:rsidRPr="00680A6B"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680A6B">
        <w:rPr>
          <w:rFonts w:ascii="Times New Roman" w:eastAsia="Times New Roman" w:hAnsi="Times New Roman" w:cs="Times New Roman"/>
          <w:bCs/>
          <w:sz w:val="24"/>
          <w:szCs w:val="24"/>
          <w:lang w:eastAsia="sk-SK"/>
        </w:rPr>
        <w:t>Financovanie návrhu</w:t>
      </w:r>
      <w:r>
        <w:rPr>
          <w:rFonts w:ascii="Times New Roman" w:eastAsia="Times New Roman" w:hAnsi="Times New Roman" w:cs="Times New Roman"/>
          <w:bCs/>
          <w:sz w:val="24"/>
          <w:szCs w:val="24"/>
          <w:lang w:eastAsia="sk-SK"/>
        </w:rPr>
        <w:t xml:space="preserve"> nie</w:t>
      </w:r>
      <w:r w:rsidRPr="00680A6B">
        <w:rPr>
          <w:rFonts w:ascii="Times New Roman" w:eastAsia="Times New Roman" w:hAnsi="Times New Roman" w:cs="Times New Roman"/>
          <w:bCs/>
          <w:sz w:val="24"/>
          <w:szCs w:val="24"/>
          <w:lang w:eastAsia="sk-SK"/>
        </w:rPr>
        <w:t xml:space="preserve"> je zabezpečené v rozpočte Protimonopolného úradu Slovenskej republiky v programe 084 Hospodárska súťaž (podprogram 08401 Hospodárska súťaž – riadenie, kontrola a podpora činnosti úradu)</w:t>
      </w:r>
      <w:r>
        <w:rPr>
          <w:rFonts w:ascii="Times New Roman" w:eastAsia="Times New Roman" w:hAnsi="Times New Roman" w:cs="Times New Roman"/>
          <w:bCs/>
          <w:sz w:val="24"/>
          <w:szCs w:val="24"/>
          <w:lang w:eastAsia="sk-SK"/>
        </w:rPr>
        <w:t xml:space="preserve"> a </w:t>
      </w:r>
      <w:r w:rsidRPr="00680A6B">
        <w:rPr>
          <w:rFonts w:ascii="Times New Roman" w:eastAsia="Times New Roman" w:hAnsi="Times New Roman" w:cs="Times New Roman"/>
          <w:bCs/>
          <w:sz w:val="24"/>
          <w:szCs w:val="24"/>
          <w:lang w:eastAsia="sk-SK"/>
        </w:rPr>
        <w:t>vznikne rozpočtovo nekrytý vplyv v hlavnej kategórii 600 Bežné výdavky. Limit počtu zamestna</w:t>
      </w:r>
      <w:r>
        <w:rPr>
          <w:rFonts w:ascii="Times New Roman" w:eastAsia="Times New Roman" w:hAnsi="Times New Roman" w:cs="Times New Roman"/>
          <w:bCs/>
          <w:sz w:val="24"/>
          <w:szCs w:val="24"/>
          <w:lang w:eastAsia="sk-SK"/>
        </w:rPr>
        <w:t xml:space="preserve">ncov </w:t>
      </w:r>
      <w:r w:rsidRPr="00680A6B">
        <w:rPr>
          <w:rFonts w:ascii="Times New Roman" w:eastAsia="Times New Roman" w:hAnsi="Times New Roman" w:cs="Times New Roman"/>
          <w:bCs/>
          <w:sz w:val="24"/>
          <w:szCs w:val="24"/>
          <w:lang w:eastAsia="sk-SK"/>
        </w:rPr>
        <w:t>bude navýšený</w:t>
      </w:r>
      <w:r>
        <w:rPr>
          <w:rFonts w:ascii="Times New Roman" w:eastAsia="Times New Roman" w:hAnsi="Times New Roman" w:cs="Times New Roman"/>
          <w:bCs/>
          <w:sz w:val="24"/>
          <w:szCs w:val="24"/>
          <w:lang w:eastAsia="sk-SK"/>
        </w:rPr>
        <w:t xml:space="preserve"> o </w:t>
      </w:r>
      <w:r>
        <w:rPr>
          <w:rFonts w:ascii="Times New Roman" w:eastAsia="Times New Roman" w:hAnsi="Times New Roman" w:cs="Times New Roman"/>
          <w:b/>
          <w:bCs/>
          <w:sz w:val="24"/>
          <w:szCs w:val="24"/>
          <w:lang w:eastAsia="sk-SK"/>
        </w:rPr>
        <w:t>3 osoby</w:t>
      </w:r>
      <w:r w:rsidRPr="009F3197">
        <w:rPr>
          <w:rFonts w:ascii="Times New Roman" w:eastAsia="Times New Roman" w:hAnsi="Times New Roman" w:cs="Times New Roman"/>
          <w:b/>
          <w:bCs/>
          <w:sz w:val="24"/>
          <w:szCs w:val="24"/>
          <w:lang w:eastAsia="sk-SK"/>
        </w:rPr>
        <w:t>.</w:t>
      </w:r>
    </w:p>
    <w:p w14:paraId="025A9993" w14:textId="77777777" w:rsidR="00C747AF" w:rsidRDefault="00C747AF" w:rsidP="00C747A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68C2501A" w14:textId="77777777" w:rsidR="00C747AF" w:rsidRPr="00B14AD5" w:rsidRDefault="00C747AF" w:rsidP="00C747A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187F306" w14:textId="77777777" w:rsidR="00C747AF" w:rsidRPr="00B14AD5" w:rsidRDefault="00C747AF" w:rsidP="00C747A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782E97F" w14:textId="77777777" w:rsidR="00C747AF" w:rsidRPr="00B14AD5" w:rsidRDefault="00C747AF" w:rsidP="00C747A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4448F71" w14:textId="77777777" w:rsidR="00C747AF" w:rsidRPr="00B14AD5" w:rsidRDefault="00C747AF" w:rsidP="00C747A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653FD357"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 Popis a charakteristika návrhu</w:t>
      </w:r>
    </w:p>
    <w:p w14:paraId="5C9BA305"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59C9DEAA" w14:textId="77777777" w:rsidR="00C747AF" w:rsidRPr="00B14AD5" w:rsidRDefault="00C747AF" w:rsidP="00C747AF">
      <w:pPr>
        <w:spacing w:after="0" w:line="240" w:lineRule="auto"/>
        <w:jc w:val="both"/>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2.2.1. Popis návrhu:</w:t>
      </w:r>
    </w:p>
    <w:p w14:paraId="30701685" w14:textId="77777777" w:rsidR="00C747AF" w:rsidRPr="00B14AD5" w:rsidRDefault="00C747AF" w:rsidP="00C747AF">
      <w:pPr>
        <w:spacing w:after="0" w:line="240" w:lineRule="auto"/>
        <w:jc w:val="both"/>
        <w:rPr>
          <w:rFonts w:ascii="Times New Roman" w:eastAsia="Times New Roman" w:hAnsi="Times New Roman" w:cs="Times New Roman"/>
          <w:b/>
          <w:bCs/>
          <w:sz w:val="24"/>
          <w:szCs w:val="24"/>
          <w:lang w:eastAsia="sk-SK"/>
        </w:rPr>
      </w:pPr>
    </w:p>
    <w:p w14:paraId="571CC255" w14:textId="77777777" w:rsidR="00C747AF" w:rsidRPr="00B14AD5" w:rsidRDefault="00C747AF" w:rsidP="00C747AF">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Akú problematiku návrh rieši? Kto bude návrh implementovať? Kde sa budú služby poskytovať?</w:t>
      </w:r>
    </w:p>
    <w:p w14:paraId="055824CD" w14:textId="77777777" w:rsidR="00C747AF" w:rsidRDefault="00C747AF" w:rsidP="00C747AF">
      <w:pPr>
        <w:spacing w:after="0" w:line="240" w:lineRule="auto"/>
        <w:ind w:firstLine="708"/>
        <w:rPr>
          <w:rFonts w:ascii="Times New Roman" w:hAnsi="Times New Roman" w:cs="Times New Roman"/>
          <w:sz w:val="18"/>
          <w:szCs w:val="18"/>
        </w:rPr>
      </w:pPr>
    </w:p>
    <w:p w14:paraId="218891DC" w14:textId="77777777" w:rsidR="00C747AF" w:rsidRPr="00DF6545"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rPr>
      </w:pPr>
      <w:r w:rsidRPr="000053E1">
        <w:rPr>
          <w:rFonts w:ascii="Times New Roman" w:eastAsia="Times New Roman" w:hAnsi="Times New Roman" w:cs="Times New Roman"/>
          <w:bCs/>
          <w:sz w:val="24"/>
          <w:szCs w:val="24"/>
          <w:lang w:eastAsia="sk-SK"/>
        </w:rPr>
        <w:t>V roku 2022 došlo k prijatiu</w:t>
      </w:r>
      <w:r w:rsidRPr="00DF6545">
        <w:rPr>
          <w:rFonts w:ascii="Times New Roman" w:hAnsi="Times New Roman"/>
          <w:sz w:val="24"/>
        </w:rPr>
        <w:t xml:space="preserve"> Nariadenia Európskeho parlamentu a</w:t>
      </w:r>
      <w:r w:rsidRPr="000053E1">
        <w:rPr>
          <w:rFonts w:ascii="Times New Roman" w:eastAsia="Times New Roman" w:hAnsi="Times New Roman" w:cs="Times New Roman"/>
          <w:bCs/>
          <w:sz w:val="24"/>
          <w:szCs w:val="24"/>
          <w:lang w:eastAsia="sk-SK"/>
        </w:rPr>
        <w:t> </w:t>
      </w:r>
      <w:r w:rsidRPr="00DF6545">
        <w:rPr>
          <w:rFonts w:ascii="Times New Roman" w:hAnsi="Times New Roman"/>
          <w:sz w:val="24"/>
        </w:rPr>
        <w:t>Rady (EÚ) 2022/1925 o</w:t>
      </w:r>
      <w:r w:rsidRPr="000053E1">
        <w:rPr>
          <w:rFonts w:ascii="Times New Roman" w:eastAsia="Times New Roman" w:hAnsi="Times New Roman" w:cs="Times New Roman"/>
          <w:bCs/>
          <w:sz w:val="24"/>
          <w:szCs w:val="24"/>
          <w:lang w:eastAsia="sk-SK"/>
        </w:rPr>
        <w:t> </w:t>
      </w:r>
      <w:proofErr w:type="spellStart"/>
      <w:r w:rsidRPr="00DF6545">
        <w:rPr>
          <w:rFonts w:ascii="Times New Roman" w:hAnsi="Times New Roman"/>
          <w:sz w:val="24"/>
        </w:rPr>
        <w:t>súťažeschopných</w:t>
      </w:r>
      <w:proofErr w:type="spellEnd"/>
      <w:r w:rsidRPr="00DF6545">
        <w:rPr>
          <w:rFonts w:ascii="Times New Roman" w:hAnsi="Times New Roman"/>
          <w:sz w:val="24"/>
        </w:rPr>
        <w:t xml:space="preserve"> a</w:t>
      </w:r>
      <w:r w:rsidRPr="000053E1">
        <w:rPr>
          <w:rFonts w:ascii="Times New Roman" w:eastAsia="Times New Roman" w:hAnsi="Times New Roman" w:cs="Times New Roman"/>
          <w:bCs/>
          <w:sz w:val="24"/>
          <w:szCs w:val="24"/>
          <w:lang w:eastAsia="sk-SK"/>
        </w:rPr>
        <w:t> </w:t>
      </w:r>
      <w:r w:rsidRPr="00DF6545">
        <w:rPr>
          <w:rFonts w:ascii="Times New Roman" w:hAnsi="Times New Roman"/>
          <w:sz w:val="24"/>
        </w:rPr>
        <w:t>spravodlivých trhoch digitálneho sektora a o</w:t>
      </w:r>
      <w:r w:rsidRPr="000053E1">
        <w:rPr>
          <w:rFonts w:ascii="Times New Roman" w:eastAsia="Times New Roman" w:hAnsi="Times New Roman" w:cs="Times New Roman"/>
          <w:bCs/>
          <w:sz w:val="24"/>
          <w:szCs w:val="24"/>
          <w:lang w:eastAsia="sk-SK"/>
        </w:rPr>
        <w:t> </w:t>
      </w:r>
      <w:r w:rsidRPr="00DF6545">
        <w:rPr>
          <w:rFonts w:ascii="Times New Roman" w:hAnsi="Times New Roman"/>
          <w:sz w:val="24"/>
        </w:rPr>
        <w:t>zmene smerníc (EÚ) 2019/1937 a (EÚ) 2020/1828 (akt o</w:t>
      </w:r>
      <w:r w:rsidRPr="000053E1">
        <w:rPr>
          <w:rFonts w:ascii="Times New Roman" w:eastAsia="Times New Roman" w:hAnsi="Times New Roman" w:cs="Times New Roman"/>
          <w:bCs/>
          <w:sz w:val="24"/>
          <w:szCs w:val="24"/>
          <w:lang w:eastAsia="sk-SK"/>
        </w:rPr>
        <w:t> </w:t>
      </w:r>
      <w:r w:rsidRPr="00DF6545">
        <w:rPr>
          <w:rFonts w:ascii="Times New Roman" w:hAnsi="Times New Roman"/>
          <w:sz w:val="24"/>
        </w:rPr>
        <w:t>digitálnych trhoch</w:t>
      </w:r>
      <w:r w:rsidRPr="000053E1">
        <w:rPr>
          <w:rFonts w:ascii="Times New Roman" w:eastAsia="Times New Roman" w:hAnsi="Times New Roman" w:cs="Times New Roman"/>
          <w:bCs/>
          <w:sz w:val="24"/>
          <w:szCs w:val="24"/>
          <w:lang w:eastAsia="sk-SK"/>
        </w:rPr>
        <w:t>) (</w:t>
      </w:r>
      <w:r w:rsidRPr="00DF6545">
        <w:rPr>
          <w:rFonts w:ascii="Times New Roman" w:hAnsi="Times New Roman"/>
          <w:sz w:val="24"/>
        </w:rPr>
        <w:t xml:space="preserve">ďalej len </w:t>
      </w:r>
      <w:r w:rsidRPr="000053E1">
        <w:rPr>
          <w:rFonts w:ascii="Times New Roman" w:eastAsia="Times New Roman" w:hAnsi="Times New Roman" w:cs="Times New Roman"/>
          <w:bCs/>
          <w:sz w:val="24"/>
          <w:szCs w:val="24"/>
          <w:lang w:eastAsia="sk-SK"/>
        </w:rPr>
        <w:t xml:space="preserve">„nariadenie </w:t>
      </w:r>
      <w:r w:rsidRPr="00DF6545">
        <w:rPr>
          <w:rFonts w:ascii="Times New Roman" w:hAnsi="Times New Roman"/>
          <w:sz w:val="24"/>
        </w:rPr>
        <w:t>DMA</w:t>
      </w:r>
      <w:r w:rsidRPr="000053E1">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Nariadenie </w:t>
      </w:r>
      <w:r w:rsidRPr="000053E1">
        <w:rPr>
          <w:rFonts w:ascii="Times New Roman" w:eastAsia="Times New Roman" w:hAnsi="Times New Roman" w:cs="Times New Roman"/>
          <w:bCs/>
          <w:sz w:val="24"/>
          <w:szCs w:val="24"/>
          <w:lang w:eastAsia="sk-SK"/>
        </w:rPr>
        <w:t xml:space="preserve">DMA vstúpi do účinnosti dňa 2. 5. </w:t>
      </w:r>
      <w:r w:rsidRPr="00DF6545">
        <w:rPr>
          <w:rFonts w:ascii="Times New Roman" w:hAnsi="Times New Roman"/>
          <w:sz w:val="24"/>
        </w:rPr>
        <w:t>2023.</w:t>
      </w:r>
      <w:r w:rsidRPr="000053E1">
        <w:rPr>
          <w:rFonts w:ascii="Times New Roman" w:eastAsia="Times New Roman" w:hAnsi="Times New Roman" w:cs="Times New Roman"/>
          <w:bCs/>
          <w:sz w:val="24"/>
          <w:szCs w:val="24"/>
          <w:lang w:eastAsia="sk-SK"/>
        </w:rPr>
        <w:t xml:space="preserve"> </w:t>
      </w:r>
      <w:r w:rsidRPr="00DF6545">
        <w:rPr>
          <w:rFonts w:ascii="Times New Roman" w:hAnsi="Times New Roman"/>
          <w:sz w:val="24"/>
        </w:rPr>
        <w:t>Pr</w:t>
      </w:r>
      <w:r>
        <w:rPr>
          <w:rFonts w:ascii="Times New Roman" w:hAnsi="Times New Roman"/>
          <w:sz w:val="24"/>
        </w:rPr>
        <w:t>vým krokom zo strany Európskej k</w:t>
      </w:r>
      <w:r w:rsidRPr="00DF6545">
        <w:rPr>
          <w:rFonts w:ascii="Times New Roman" w:hAnsi="Times New Roman"/>
          <w:sz w:val="24"/>
        </w:rPr>
        <w:t xml:space="preserve">omisie po nadobudnutí účinnosti nariadenia DMA bude proces označenia digitálnych gigantov za strážcov prístupu (tzv. </w:t>
      </w:r>
      <w:proofErr w:type="spellStart"/>
      <w:r w:rsidRPr="00DF6545">
        <w:rPr>
          <w:rFonts w:ascii="Times New Roman" w:hAnsi="Times New Roman"/>
          <w:sz w:val="24"/>
        </w:rPr>
        <w:t>gatekeeprov</w:t>
      </w:r>
      <w:proofErr w:type="spellEnd"/>
      <w:r w:rsidRPr="00DF6545">
        <w:rPr>
          <w:rFonts w:ascii="Times New Roman" w:hAnsi="Times New Roman"/>
          <w:sz w:val="24"/>
        </w:rPr>
        <w:t xml:space="preserve">), teda spoločností, ktoré sa vyznačujú veľkou hospodárskou silou a prevádzkujú jednu alebo aj väčší počet základných platformových služieb (z angl. </w:t>
      </w:r>
      <w:proofErr w:type="spellStart"/>
      <w:r w:rsidRPr="00DF6545">
        <w:rPr>
          <w:rFonts w:ascii="Times New Roman" w:hAnsi="Times New Roman"/>
          <w:sz w:val="24"/>
        </w:rPr>
        <w:t>core</w:t>
      </w:r>
      <w:proofErr w:type="spellEnd"/>
      <w:r w:rsidRPr="00DF6545">
        <w:rPr>
          <w:rFonts w:ascii="Times New Roman" w:hAnsi="Times New Roman"/>
          <w:sz w:val="24"/>
        </w:rPr>
        <w:t xml:space="preserve"> </w:t>
      </w:r>
      <w:proofErr w:type="spellStart"/>
      <w:r w:rsidRPr="00DF6545">
        <w:rPr>
          <w:rFonts w:ascii="Times New Roman" w:hAnsi="Times New Roman"/>
          <w:sz w:val="24"/>
        </w:rPr>
        <w:t>platform</w:t>
      </w:r>
      <w:proofErr w:type="spellEnd"/>
      <w:r w:rsidRPr="00DF6545">
        <w:rPr>
          <w:rFonts w:ascii="Times New Roman" w:hAnsi="Times New Roman"/>
          <w:sz w:val="24"/>
        </w:rPr>
        <w:t xml:space="preserve"> </w:t>
      </w:r>
      <w:proofErr w:type="spellStart"/>
      <w:r w:rsidRPr="00DF6545">
        <w:rPr>
          <w:rFonts w:ascii="Times New Roman" w:hAnsi="Times New Roman"/>
          <w:sz w:val="24"/>
        </w:rPr>
        <w:t>services</w:t>
      </w:r>
      <w:proofErr w:type="spellEnd"/>
      <w:r w:rsidRPr="00DF6545">
        <w:rPr>
          <w:rFonts w:ascii="Times New Roman" w:hAnsi="Times New Roman"/>
          <w:sz w:val="24"/>
        </w:rPr>
        <w:t>).</w:t>
      </w:r>
      <w:r w:rsidRPr="000053E1">
        <w:rPr>
          <w:rFonts w:ascii="Times New Roman" w:eastAsia="Times New Roman" w:hAnsi="Times New Roman" w:cs="Times New Roman"/>
          <w:bCs/>
          <w:sz w:val="24"/>
          <w:szCs w:val="24"/>
          <w:lang w:eastAsia="sk-SK"/>
        </w:rPr>
        <w:t xml:space="preserve"> Strážcovia prístupu zvyčajne dokážu svojimi službami prepojiť mnohých komerčných používateľov s mnohými koncovými používateľmi, čo im umožňuje, aby výhody, ako napr. prístup k veľkému množstvu údajov z jednej oblasti činnosti, využili aj v rámci svojich ďalších podnikateľských aktivít v iných oblastiach. </w:t>
      </w:r>
    </w:p>
    <w:p w14:paraId="0F50600B" w14:textId="77777777" w:rsidR="00C747AF" w:rsidRPr="00DF6545"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rPr>
      </w:pPr>
      <w:r w:rsidRPr="000053E1">
        <w:rPr>
          <w:rFonts w:ascii="Times New Roman" w:eastAsia="Times New Roman" w:hAnsi="Times New Roman" w:cs="Times New Roman"/>
          <w:bCs/>
          <w:sz w:val="24"/>
          <w:szCs w:val="24"/>
          <w:lang w:eastAsia="sk-SK"/>
        </w:rPr>
        <w:t xml:space="preserve">Hoci primárna kompetencia uplatňovať ustanovenia nariadenia DMA ostáva výlučne na Európskej komisii, niektoré povinnosti a čiastkové kompetencie/právomoci vyplývajú z nariadenia DMA aj pre jednotlivé členské štáty. </w:t>
      </w:r>
      <w:r w:rsidRPr="00DF6545">
        <w:rPr>
          <w:rFonts w:ascii="Times New Roman" w:hAnsi="Times New Roman"/>
          <w:sz w:val="24"/>
        </w:rPr>
        <w:t>V rámci implementácie pravidiel vyplývajúcich z nariadenia DMA si každý členský štát určí kompetentný orgán, príp. viaceré orgány, ktoré budú na danom území príslušné činnosti a právomoci vykonávať. V </w:t>
      </w:r>
      <w:r>
        <w:rPr>
          <w:rFonts w:ascii="Times New Roman" w:hAnsi="Times New Roman"/>
          <w:sz w:val="24"/>
        </w:rPr>
        <w:t>Slovenskej republike</w:t>
      </w:r>
      <w:r w:rsidRPr="00DF6545">
        <w:rPr>
          <w:rFonts w:ascii="Times New Roman" w:hAnsi="Times New Roman"/>
          <w:sz w:val="24"/>
        </w:rPr>
        <w:t xml:space="preserve"> bol za takýto orgán určený Protimonopolný úrad SR (ďalej </w:t>
      </w:r>
      <w:r>
        <w:rPr>
          <w:rFonts w:ascii="Times New Roman" w:hAnsi="Times New Roman"/>
          <w:sz w:val="24"/>
        </w:rPr>
        <w:t>len</w:t>
      </w:r>
      <w:r w:rsidRPr="00DF6545">
        <w:rPr>
          <w:rFonts w:ascii="Times New Roman" w:hAnsi="Times New Roman"/>
          <w:sz w:val="24"/>
        </w:rPr>
        <w:t xml:space="preserve"> „úrad“ alebo „PMÚ SR“), ktorý je zároveň gestorom implementácie nariadenia DMA. Zároveň nariadenie DMA zveruje priamo niektoré právomoci úradom na ochranu hospodárskej súťaže, teda aj priamo úradu. V súhrnne ide napr. o právomoci v oblasti výkonu prieskumu trhu, získavanie podkladov a informácií pre Európsku komisiu, prešetrovanie možných porušení povinností strážcov prístupu, spoluprácu pri inšpekciách či koordinácia postupu členských krajín v rámci ECN 2 siete, cez ktorú bude agenda nariadenia DMA spravovaná, zúčastňovanie sa na poradných výboroch, sledovanie agendy </w:t>
      </w:r>
      <w:proofErr w:type="spellStart"/>
      <w:r w:rsidRPr="00DF6545">
        <w:rPr>
          <w:rFonts w:ascii="Times New Roman" w:hAnsi="Times New Roman"/>
          <w:sz w:val="24"/>
        </w:rPr>
        <w:t>High</w:t>
      </w:r>
      <w:proofErr w:type="spellEnd"/>
      <w:r w:rsidRPr="00DF6545">
        <w:rPr>
          <w:rFonts w:ascii="Times New Roman" w:hAnsi="Times New Roman"/>
          <w:sz w:val="24"/>
        </w:rPr>
        <w:t xml:space="preserve"> Level Group, s tým súvisiaca príprava podkladov a vyjadrení a koordinácia v prípadoch. </w:t>
      </w:r>
    </w:p>
    <w:p w14:paraId="1981458A" w14:textId="77777777" w:rsidR="00C747AF" w:rsidRPr="00CD5BDA"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trike/>
          <w:sz w:val="24"/>
          <w:szCs w:val="24"/>
          <w:lang w:eastAsia="sk-SK"/>
        </w:rPr>
      </w:pPr>
      <w:r w:rsidRPr="000053E1">
        <w:rPr>
          <w:rFonts w:ascii="Times New Roman" w:eastAsia="Times New Roman" w:hAnsi="Times New Roman" w:cs="Times New Roman"/>
          <w:bCs/>
          <w:sz w:val="24"/>
          <w:szCs w:val="24"/>
          <w:lang w:eastAsia="sk-SK"/>
        </w:rPr>
        <w:t xml:space="preserve">Úrad zaznamenal zvýšenú administratívnu záťaž už v rámci procesu súvisiaceho s prijímaním a pripomienkovaním návrhu nariadenia DMA na úkor bežných súčasných povinností konkrétnych zamestnancov, ako aj v súvislosti s prípravou Európskej komisie na vykonávanie nariadenia DMA, kde už o jeho vyhlásenie vo Vestníku </w:t>
      </w:r>
      <w:r>
        <w:rPr>
          <w:rFonts w:ascii="Times New Roman" w:eastAsia="Times New Roman" w:hAnsi="Times New Roman" w:cs="Times New Roman"/>
          <w:bCs/>
          <w:sz w:val="24"/>
          <w:szCs w:val="24"/>
          <w:lang w:eastAsia="sk-SK"/>
        </w:rPr>
        <w:t>Európskej únie</w:t>
      </w:r>
      <w:r w:rsidRPr="000053E1">
        <w:rPr>
          <w:rFonts w:ascii="Times New Roman" w:eastAsia="Times New Roman" w:hAnsi="Times New Roman" w:cs="Times New Roman"/>
          <w:bCs/>
          <w:sz w:val="24"/>
          <w:szCs w:val="24"/>
          <w:lang w:eastAsia="sk-SK"/>
        </w:rPr>
        <w:t xml:space="preserve">, prebiehajú pravidelné stretnutia a nastavenie procesov vzájomnej spolupráce, koordinácie a komunikácie. </w:t>
      </w:r>
      <w:r w:rsidRPr="00CD5BDA">
        <w:rPr>
          <w:rFonts w:ascii="Times New Roman" w:eastAsia="Times New Roman" w:hAnsi="Times New Roman" w:cs="Times New Roman"/>
          <w:bCs/>
          <w:sz w:val="24"/>
          <w:szCs w:val="24"/>
          <w:lang w:eastAsia="sk-SK"/>
        </w:rPr>
        <w:lastRenderedPageBreak/>
        <w:t>Nadobudnutím účinnosti nariadenia DMA vyplynie úradu vyššia časová či odborná záťaž v súvislosti s novými činnosťami a povinnosťami</w:t>
      </w:r>
      <w:r w:rsidRPr="00CD5BDA">
        <w:rPr>
          <w:rFonts w:ascii="Times New Roman" w:eastAsia="Times New Roman" w:hAnsi="Times New Roman" w:cs="Times New Roman"/>
          <w:bCs/>
          <w:strike/>
          <w:sz w:val="24"/>
          <w:szCs w:val="24"/>
          <w:lang w:eastAsia="sk-SK"/>
        </w:rPr>
        <w:t xml:space="preserve"> </w:t>
      </w:r>
    </w:p>
    <w:p w14:paraId="0F5573D0" w14:textId="77777777" w:rsidR="00C747AF" w:rsidRPr="00DF6545"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rPr>
      </w:pPr>
      <w:r w:rsidRPr="00DF6545">
        <w:rPr>
          <w:rFonts w:ascii="Times New Roman" w:hAnsi="Times New Roman"/>
          <w:sz w:val="24"/>
        </w:rPr>
        <w:t xml:space="preserve">V nadväznosti na nové právomoci vyplývajúce z nariadenia DMA, členské krajiny </w:t>
      </w:r>
      <w:r w:rsidRPr="000053E1">
        <w:rPr>
          <w:rFonts w:ascii="Times New Roman" w:eastAsia="Times New Roman" w:hAnsi="Times New Roman" w:cs="Times New Roman"/>
          <w:bCs/>
          <w:sz w:val="24"/>
          <w:szCs w:val="24"/>
          <w:lang w:eastAsia="sk-SK"/>
        </w:rPr>
        <w:t xml:space="preserve">pristúpili alebo </w:t>
      </w:r>
      <w:r w:rsidRPr="00DF6545">
        <w:rPr>
          <w:rFonts w:ascii="Times New Roman" w:hAnsi="Times New Roman"/>
          <w:sz w:val="24"/>
        </w:rPr>
        <w:t xml:space="preserve">postupne </w:t>
      </w:r>
      <w:r w:rsidRPr="000053E1">
        <w:rPr>
          <w:rFonts w:ascii="Times New Roman" w:eastAsia="Times New Roman" w:hAnsi="Times New Roman" w:cs="Times New Roman"/>
          <w:bCs/>
          <w:sz w:val="24"/>
          <w:szCs w:val="24"/>
          <w:lang w:eastAsia="sk-SK"/>
        </w:rPr>
        <w:t>pristupujúc</w:t>
      </w:r>
      <w:r w:rsidRPr="00DF6545">
        <w:rPr>
          <w:rFonts w:ascii="Times New Roman" w:hAnsi="Times New Roman"/>
          <w:sz w:val="24"/>
        </w:rPr>
        <w:t xml:space="preserve"> k úprave vnútroštátnej právnej úpravy, ako aj k rôznej miere posilnenia kompetentných orgánov a počtu ich zamestnancov. Samotná Európska komisia už v súčasnosti vytvorila desiatky pracovných pozícií na výkon činností vyplývajúcich z nariadenia DMA</w:t>
      </w:r>
      <w:r w:rsidRPr="000053E1">
        <w:rPr>
          <w:rFonts w:ascii="Times New Roman" w:eastAsia="Times New Roman" w:hAnsi="Times New Roman" w:cs="Times New Roman"/>
          <w:bCs/>
          <w:sz w:val="24"/>
          <w:szCs w:val="24"/>
          <w:lang w:eastAsia="sk-SK"/>
        </w:rPr>
        <w:t xml:space="preserve"> a avizovala, že v personálnom posilňovaní bude pokračovať. Máme informácie o vzniku úplne nových orgánov členských štátov, či ich oddelení, ktoré budú zamestnávať niekoľko desiatok zamestnancov venujúcich sa výlučne problematike nariadenia DMA. </w:t>
      </w:r>
    </w:p>
    <w:p w14:paraId="5C489A46" w14:textId="77777777" w:rsidR="00C747AF" w:rsidRPr="00DF6545" w:rsidRDefault="00C747AF" w:rsidP="00C747A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rPr>
      </w:pPr>
      <w:r w:rsidRPr="00DF6545">
        <w:rPr>
          <w:rFonts w:ascii="Times New Roman" w:hAnsi="Times New Roman"/>
          <w:sz w:val="24"/>
        </w:rPr>
        <w:t>Vzhľadom na uvedené skutočnosti pokladáme za</w:t>
      </w:r>
      <w:r>
        <w:rPr>
          <w:rFonts w:ascii="Times New Roman" w:eastAsia="Times New Roman" w:hAnsi="Times New Roman" w:cs="Times New Roman"/>
          <w:bCs/>
          <w:sz w:val="24"/>
          <w:szCs w:val="24"/>
          <w:lang w:eastAsia="sk-SK"/>
        </w:rPr>
        <w:t xml:space="preserve"> nutné</w:t>
      </w:r>
      <w:r w:rsidRPr="00DF6545">
        <w:rPr>
          <w:rFonts w:ascii="Times New Roman" w:hAnsi="Times New Roman"/>
          <w:sz w:val="24"/>
        </w:rPr>
        <w:t xml:space="preserve">, aby sa posilnil počet zamestnancov úradu na konkrétnych organizačných útvaroch, ktoré budú zabezpečovať plnenie povinností </w:t>
      </w:r>
      <w:r>
        <w:rPr>
          <w:rFonts w:ascii="Times New Roman" w:hAnsi="Times New Roman"/>
          <w:sz w:val="24"/>
        </w:rPr>
        <w:t>Slovenskej republiky</w:t>
      </w:r>
      <w:r w:rsidRPr="00DF6545">
        <w:rPr>
          <w:rFonts w:ascii="Times New Roman" w:hAnsi="Times New Roman"/>
          <w:sz w:val="24"/>
        </w:rPr>
        <w:t xml:space="preserve"> vyplývajúcich z nariadenia DMA. Zároveň Európska komisia od členských štátov očakáva, že spolupráca nebude zo strany členských štátov len formálna, ale tejto agende sa bude určený orgán náležite venovať. Samotná agenda je pomerne náročná z odborného hľadiska. Bez personálneho posilnenia úradu úrad nebude môcť v tejto agende plniť úlohu efektívneho partnera Európskej komisii a ostatným členským štátom v tejto agende</w:t>
      </w:r>
      <w:r>
        <w:rPr>
          <w:rFonts w:ascii="Times New Roman" w:hAnsi="Times New Roman"/>
          <w:sz w:val="24"/>
        </w:rPr>
        <w:t xml:space="preserve"> a plnenie jeho úloh bude ohrozené</w:t>
      </w:r>
      <w:r w:rsidRPr="00DF6545">
        <w:rPr>
          <w:rFonts w:ascii="Times New Roman" w:hAnsi="Times New Roman"/>
          <w:sz w:val="24"/>
        </w:rPr>
        <w:t xml:space="preserve">. Taktiež je potrebné uviesť, že na potrebu regulácie tejto oblasti sa v odborných kruhoch už celosvetovo dlho poukazovalo, je dlhodobou súčasťou agendy </w:t>
      </w:r>
      <w:r>
        <w:rPr>
          <w:rFonts w:ascii="Times New Roman" w:hAnsi="Times New Roman"/>
          <w:sz w:val="24"/>
        </w:rPr>
        <w:t>Európskej únie</w:t>
      </w:r>
      <w:r w:rsidRPr="00DF6545">
        <w:rPr>
          <w:rFonts w:ascii="Times New Roman" w:hAnsi="Times New Roman"/>
          <w:sz w:val="24"/>
        </w:rPr>
        <w:t xml:space="preserve"> v oblasti digitalizácie a s prijatým nariadením DMA a jeho </w:t>
      </w:r>
      <w:r w:rsidRPr="000053E1">
        <w:rPr>
          <w:rFonts w:ascii="Times New Roman" w:eastAsia="Times New Roman" w:hAnsi="Times New Roman" w:cs="Times New Roman"/>
          <w:bCs/>
          <w:sz w:val="24"/>
          <w:szCs w:val="24"/>
          <w:lang w:eastAsia="sk-SK"/>
        </w:rPr>
        <w:t>aplikáciou sú spojené veľké očakávania.</w:t>
      </w:r>
      <w:r w:rsidRPr="00DF6545">
        <w:rPr>
          <w:rFonts w:ascii="Times New Roman" w:hAnsi="Times New Roman"/>
          <w:sz w:val="24"/>
        </w:rPr>
        <w:t xml:space="preserve"> </w:t>
      </w:r>
    </w:p>
    <w:p w14:paraId="6853539B"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5FBB5BE4"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w:t>
      </w:r>
    </w:p>
    <w:p w14:paraId="31C119F6"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580DCDEE"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2.2.2. Charakteristika návrhu:</w:t>
      </w:r>
    </w:p>
    <w:p w14:paraId="24A1FBF4"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754B86F8"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sz w:val="24"/>
          <w:szCs w:val="24"/>
          <w:bdr w:val="single" w:sz="4" w:space="0" w:color="auto"/>
          <w:lang w:eastAsia="sk-SK"/>
        </w:rPr>
        <w:t xml:space="preserve">     </w:t>
      </w:r>
      <w:r w:rsidRPr="00B14AD5">
        <w:rPr>
          <w:rFonts w:ascii="Times New Roman" w:eastAsia="Times New Roman" w:hAnsi="Times New Roman" w:cs="Times New Roman"/>
          <w:b/>
          <w:sz w:val="24"/>
          <w:szCs w:val="24"/>
          <w:lang w:eastAsia="sk-SK"/>
        </w:rPr>
        <w:t xml:space="preserve">  </w:t>
      </w:r>
      <w:r w:rsidRPr="00B14AD5">
        <w:rPr>
          <w:rFonts w:ascii="Times New Roman" w:eastAsia="Times New Roman" w:hAnsi="Times New Roman" w:cs="Times New Roman"/>
          <w:sz w:val="24"/>
          <w:szCs w:val="24"/>
          <w:lang w:eastAsia="sk-SK"/>
        </w:rPr>
        <w:t>zmena sadzby</w:t>
      </w:r>
    </w:p>
    <w:p w14:paraId="6D85D54C"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zmena v nároku</w:t>
      </w:r>
    </w:p>
    <w:p w14:paraId="4254B288"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nová služba alebo nariadenie (alebo ich zrušenie)</w:t>
      </w:r>
    </w:p>
    <w:p w14:paraId="4651D0DD"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kombinovaný návrh</w:t>
      </w:r>
    </w:p>
    <w:p w14:paraId="4BC696BC"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iné </w:t>
      </w:r>
    </w:p>
    <w:p w14:paraId="1C918C15"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16B7B6AE"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20E7FBC4"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2.2.3. Predpoklady vývoja objemu aktivít:</w:t>
      </w:r>
    </w:p>
    <w:p w14:paraId="7EB25DC6"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1BC47163" w14:textId="77777777" w:rsidR="00C747AF" w:rsidRPr="00B14AD5" w:rsidRDefault="00C747AF" w:rsidP="00C747AF">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5A3EB190" w14:textId="77777777" w:rsidR="00C747AF" w:rsidRPr="00B14AD5" w:rsidRDefault="00C747AF" w:rsidP="00C747AF">
      <w:pPr>
        <w:spacing w:after="0" w:line="240" w:lineRule="auto"/>
        <w:jc w:val="right"/>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747AF" w:rsidRPr="00B14AD5" w14:paraId="73FADD35" w14:textId="77777777" w:rsidTr="00263110">
        <w:trPr>
          <w:cantSplit/>
          <w:trHeight w:val="70"/>
        </w:trPr>
        <w:tc>
          <w:tcPr>
            <w:tcW w:w="4530" w:type="dxa"/>
            <w:vMerge w:val="restart"/>
            <w:shd w:val="clear" w:color="auto" w:fill="BFBFBF" w:themeFill="background1" w:themeFillShade="BF"/>
            <w:vAlign w:val="center"/>
          </w:tcPr>
          <w:p w14:paraId="322ECFE8"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48EAD504"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Odhadované objemy</w:t>
            </w:r>
          </w:p>
        </w:tc>
      </w:tr>
      <w:tr w:rsidR="00C747AF" w:rsidRPr="00B14AD5" w14:paraId="1B582D99" w14:textId="77777777" w:rsidTr="00263110">
        <w:trPr>
          <w:cantSplit/>
          <w:trHeight w:val="70"/>
        </w:trPr>
        <w:tc>
          <w:tcPr>
            <w:tcW w:w="4530" w:type="dxa"/>
            <w:vMerge/>
            <w:shd w:val="clear" w:color="auto" w:fill="BFBFBF" w:themeFill="background1" w:themeFillShade="BF"/>
          </w:tcPr>
          <w:p w14:paraId="7A052386"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3230D3D3"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163B2125"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75733399"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5F8F6666" w14:textId="77777777" w:rsidR="00C747AF" w:rsidRPr="00B14AD5" w:rsidRDefault="00C747AF" w:rsidP="00263110">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+ 3</w:t>
            </w:r>
          </w:p>
        </w:tc>
      </w:tr>
      <w:tr w:rsidR="00C747AF" w:rsidRPr="00B14AD5" w14:paraId="3A91D7D0" w14:textId="77777777" w:rsidTr="00263110">
        <w:trPr>
          <w:trHeight w:val="70"/>
        </w:trPr>
        <w:tc>
          <w:tcPr>
            <w:tcW w:w="4530" w:type="dxa"/>
          </w:tcPr>
          <w:p w14:paraId="20DA188E" w14:textId="77777777" w:rsidR="00C747AF" w:rsidRPr="00B14AD5" w:rsidRDefault="00C747AF" w:rsidP="00263110">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ABC</w:t>
            </w:r>
          </w:p>
        </w:tc>
        <w:tc>
          <w:tcPr>
            <w:tcW w:w="1134" w:type="dxa"/>
          </w:tcPr>
          <w:p w14:paraId="69ECCE7C"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CBA4F27"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527B586B"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60FBE520"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C747AF" w:rsidRPr="00B14AD5" w14:paraId="499D0C84" w14:textId="77777777" w:rsidTr="00263110">
        <w:trPr>
          <w:trHeight w:val="70"/>
        </w:trPr>
        <w:tc>
          <w:tcPr>
            <w:tcW w:w="4530" w:type="dxa"/>
          </w:tcPr>
          <w:p w14:paraId="08112294" w14:textId="77777777" w:rsidR="00C747AF" w:rsidRPr="00B14AD5" w:rsidRDefault="00C747AF" w:rsidP="00263110">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KLM</w:t>
            </w:r>
          </w:p>
        </w:tc>
        <w:tc>
          <w:tcPr>
            <w:tcW w:w="1134" w:type="dxa"/>
          </w:tcPr>
          <w:p w14:paraId="14683D58"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7E060792"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485D6B7E"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42F19990"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C747AF" w:rsidRPr="00B14AD5" w14:paraId="42923287" w14:textId="77777777" w:rsidTr="00263110">
        <w:trPr>
          <w:trHeight w:val="70"/>
        </w:trPr>
        <w:tc>
          <w:tcPr>
            <w:tcW w:w="4530" w:type="dxa"/>
          </w:tcPr>
          <w:p w14:paraId="28F610AD" w14:textId="77777777" w:rsidR="00C747AF" w:rsidRPr="00B14AD5" w:rsidRDefault="00C747AF" w:rsidP="00263110">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XYZ</w:t>
            </w:r>
          </w:p>
        </w:tc>
        <w:tc>
          <w:tcPr>
            <w:tcW w:w="1134" w:type="dxa"/>
          </w:tcPr>
          <w:p w14:paraId="02EA85D5"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7A1CECB4"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42B1BBAA"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779467E" w14:textId="77777777" w:rsidR="00C747AF" w:rsidRPr="00B14AD5" w:rsidRDefault="00C747AF" w:rsidP="00263110">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14:paraId="7DA94E50"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632E5B21"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046AFBCD"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2.2.4. Výpočty vplyvov na verejné financie</w:t>
      </w:r>
    </w:p>
    <w:p w14:paraId="174A8FC9" w14:textId="77777777" w:rsidR="00C747AF" w:rsidRPr="00B14AD5" w:rsidRDefault="00C747AF" w:rsidP="00C747AF">
      <w:pPr>
        <w:spacing w:after="0" w:line="240" w:lineRule="auto"/>
        <w:rPr>
          <w:rFonts w:ascii="Times New Roman" w:eastAsia="Times New Roman" w:hAnsi="Times New Roman" w:cs="Times New Roman"/>
          <w:sz w:val="24"/>
          <w:szCs w:val="24"/>
          <w:lang w:eastAsia="sk-SK"/>
        </w:rPr>
      </w:pPr>
    </w:p>
    <w:p w14:paraId="227AE139" w14:textId="77777777" w:rsidR="00C747AF" w:rsidRPr="00B14AD5" w:rsidRDefault="00C747AF" w:rsidP="00C747AF">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5F1EFAF5"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p>
    <w:p w14:paraId="428E6C22" w14:textId="77777777" w:rsidR="00C747AF"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Výpočet výdavkov je výdavkovo rozpočítaný od 01. 01. 2024 do konca roku 31. 12. 2026, t. j. v počte 3 rokov. </w:t>
      </w:r>
    </w:p>
    <w:p w14:paraId="6CD73A1A" w14:textId="77777777" w:rsidR="00C747AF"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p>
    <w:p w14:paraId="17DCEAEA" w14:textId="77777777" w:rsidR="00C747AF" w:rsidRPr="00296554" w:rsidRDefault="00C747AF" w:rsidP="00C747AF">
      <w:pPr>
        <w:tabs>
          <w:tab w:val="num" w:pos="1080"/>
        </w:tabs>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Schéma n</w:t>
      </w:r>
      <w:r w:rsidRPr="00296554">
        <w:rPr>
          <w:rFonts w:ascii="Times New Roman" w:eastAsia="Times New Roman" w:hAnsi="Times New Roman" w:cs="Times New Roman"/>
          <w:b/>
          <w:bCs/>
          <w:sz w:val="24"/>
          <w:szCs w:val="24"/>
          <w:lang w:eastAsia="sk-SK"/>
        </w:rPr>
        <w:t>ovovytvorených</w:t>
      </w:r>
      <w:r>
        <w:rPr>
          <w:rFonts w:ascii="Times New Roman" w:eastAsia="Times New Roman" w:hAnsi="Times New Roman" w:cs="Times New Roman"/>
          <w:b/>
          <w:bCs/>
          <w:sz w:val="24"/>
          <w:szCs w:val="24"/>
          <w:lang w:eastAsia="sk-SK"/>
        </w:rPr>
        <w:t xml:space="preserve"> troch</w:t>
      </w:r>
      <w:r w:rsidRPr="00296554">
        <w:rPr>
          <w:rFonts w:ascii="Times New Roman" w:eastAsia="Times New Roman" w:hAnsi="Times New Roman" w:cs="Times New Roman"/>
          <w:b/>
          <w:bCs/>
          <w:sz w:val="24"/>
          <w:szCs w:val="24"/>
          <w:lang w:eastAsia="sk-SK"/>
        </w:rPr>
        <w:t xml:space="preserve"> štátnozamestnaneckých miest (ŠZM) v organizačných útvaroch PMÚ SR</w:t>
      </w:r>
      <w:r>
        <w:rPr>
          <w:rFonts w:ascii="Times New Roman" w:eastAsia="Times New Roman" w:hAnsi="Times New Roman" w:cs="Times New Roman"/>
          <w:b/>
          <w:bCs/>
          <w:sz w:val="24"/>
          <w:szCs w:val="24"/>
          <w:lang w:eastAsia="sk-SK"/>
        </w:rPr>
        <w:t>:</w:t>
      </w:r>
    </w:p>
    <w:p w14:paraId="112CC30A" w14:textId="77777777" w:rsidR="00C747AF" w:rsidRPr="00296554"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p>
    <w:tbl>
      <w:tblPr>
        <w:tblStyle w:val="Mriekatabuky"/>
        <w:tblW w:w="9209" w:type="dxa"/>
        <w:tblLook w:val="04A0" w:firstRow="1" w:lastRow="0" w:firstColumn="1" w:lastColumn="0" w:noHBand="0" w:noVBand="1"/>
      </w:tblPr>
      <w:tblGrid>
        <w:gridCol w:w="7083"/>
        <w:gridCol w:w="1276"/>
        <w:gridCol w:w="850"/>
      </w:tblGrid>
      <w:tr w:rsidR="00C747AF" w:rsidRPr="00296554" w14:paraId="265A6AD5" w14:textId="77777777" w:rsidTr="00263110">
        <w:tc>
          <w:tcPr>
            <w:tcW w:w="7083" w:type="dxa"/>
          </w:tcPr>
          <w:p w14:paraId="7D431AAA" w14:textId="77777777" w:rsidR="00C747AF" w:rsidRPr="00296554" w:rsidRDefault="00C747AF" w:rsidP="00263110">
            <w:pPr>
              <w:tabs>
                <w:tab w:val="num" w:pos="1080"/>
              </w:tabs>
              <w:jc w:val="both"/>
              <w:rPr>
                <w:b/>
                <w:bCs/>
                <w:sz w:val="24"/>
                <w:szCs w:val="24"/>
              </w:rPr>
            </w:pPr>
            <w:r w:rsidRPr="00296554">
              <w:rPr>
                <w:b/>
                <w:bCs/>
                <w:sz w:val="24"/>
                <w:szCs w:val="24"/>
              </w:rPr>
              <w:t>organizačný útvar</w:t>
            </w:r>
          </w:p>
        </w:tc>
        <w:tc>
          <w:tcPr>
            <w:tcW w:w="1276" w:type="dxa"/>
          </w:tcPr>
          <w:p w14:paraId="1262E944" w14:textId="77777777" w:rsidR="00C747AF" w:rsidRPr="00296554" w:rsidRDefault="00C747AF" w:rsidP="00263110">
            <w:pPr>
              <w:tabs>
                <w:tab w:val="num" w:pos="1080"/>
              </w:tabs>
              <w:jc w:val="both"/>
              <w:rPr>
                <w:b/>
                <w:bCs/>
                <w:sz w:val="24"/>
                <w:szCs w:val="24"/>
              </w:rPr>
            </w:pPr>
            <w:r w:rsidRPr="00296554">
              <w:rPr>
                <w:b/>
                <w:bCs/>
                <w:sz w:val="24"/>
                <w:szCs w:val="24"/>
              </w:rPr>
              <w:t>počet ŠZM</w:t>
            </w:r>
          </w:p>
        </w:tc>
        <w:tc>
          <w:tcPr>
            <w:tcW w:w="850" w:type="dxa"/>
          </w:tcPr>
          <w:p w14:paraId="779B92C4" w14:textId="77777777" w:rsidR="00C747AF" w:rsidRPr="00296554" w:rsidRDefault="00C747AF" w:rsidP="00263110">
            <w:pPr>
              <w:tabs>
                <w:tab w:val="num" w:pos="1080"/>
              </w:tabs>
              <w:jc w:val="both"/>
              <w:rPr>
                <w:b/>
                <w:bCs/>
                <w:sz w:val="24"/>
                <w:szCs w:val="24"/>
              </w:rPr>
            </w:pPr>
            <w:r w:rsidRPr="00296554">
              <w:rPr>
                <w:b/>
                <w:bCs/>
                <w:sz w:val="24"/>
                <w:szCs w:val="24"/>
              </w:rPr>
              <w:t>PT</w:t>
            </w:r>
          </w:p>
        </w:tc>
      </w:tr>
      <w:tr w:rsidR="00C747AF" w:rsidRPr="00764A85" w14:paraId="761B90C2" w14:textId="77777777" w:rsidTr="00263110">
        <w:tc>
          <w:tcPr>
            <w:tcW w:w="7083" w:type="dxa"/>
          </w:tcPr>
          <w:p w14:paraId="75C12A25" w14:textId="77777777" w:rsidR="00C747AF" w:rsidRPr="00296554" w:rsidRDefault="00C747AF" w:rsidP="00263110">
            <w:pPr>
              <w:tabs>
                <w:tab w:val="num" w:pos="1080"/>
              </w:tabs>
              <w:jc w:val="both"/>
              <w:rPr>
                <w:bCs/>
                <w:sz w:val="24"/>
                <w:szCs w:val="24"/>
              </w:rPr>
            </w:pPr>
            <w:r w:rsidRPr="00296554">
              <w:rPr>
                <w:bCs/>
                <w:sz w:val="24"/>
                <w:szCs w:val="24"/>
              </w:rPr>
              <w:t>odbor zneužívania dominantného postavenia a vertikálnych dohôd</w:t>
            </w:r>
          </w:p>
        </w:tc>
        <w:tc>
          <w:tcPr>
            <w:tcW w:w="1276" w:type="dxa"/>
          </w:tcPr>
          <w:p w14:paraId="0E7AB333" w14:textId="77777777" w:rsidR="00C747AF" w:rsidRPr="00764A85" w:rsidRDefault="00C747AF" w:rsidP="00263110">
            <w:pPr>
              <w:tabs>
                <w:tab w:val="num" w:pos="1080"/>
              </w:tabs>
              <w:jc w:val="both"/>
              <w:rPr>
                <w:bCs/>
                <w:sz w:val="24"/>
                <w:szCs w:val="24"/>
              </w:rPr>
            </w:pPr>
            <w:r w:rsidRPr="00764A85">
              <w:rPr>
                <w:bCs/>
                <w:sz w:val="24"/>
                <w:szCs w:val="24"/>
              </w:rPr>
              <w:t>1</w:t>
            </w:r>
          </w:p>
        </w:tc>
        <w:tc>
          <w:tcPr>
            <w:tcW w:w="850" w:type="dxa"/>
          </w:tcPr>
          <w:p w14:paraId="1439526B" w14:textId="77777777" w:rsidR="00C747AF" w:rsidRPr="00764A85" w:rsidRDefault="00C747AF" w:rsidP="00263110">
            <w:pPr>
              <w:tabs>
                <w:tab w:val="num" w:pos="1080"/>
              </w:tabs>
              <w:jc w:val="both"/>
              <w:rPr>
                <w:bCs/>
                <w:sz w:val="24"/>
                <w:szCs w:val="24"/>
              </w:rPr>
            </w:pPr>
            <w:r w:rsidRPr="00764A85">
              <w:rPr>
                <w:bCs/>
                <w:sz w:val="24"/>
                <w:szCs w:val="24"/>
              </w:rPr>
              <w:t>8</w:t>
            </w:r>
          </w:p>
        </w:tc>
      </w:tr>
      <w:tr w:rsidR="00C747AF" w:rsidRPr="00764A85" w14:paraId="77162689" w14:textId="77777777" w:rsidTr="00263110">
        <w:tc>
          <w:tcPr>
            <w:tcW w:w="7083" w:type="dxa"/>
          </w:tcPr>
          <w:p w14:paraId="1A8D6408" w14:textId="77777777" w:rsidR="00C747AF" w:rsidRPr="00296554" w:rsidRDefault="00C747AF" w:rsidP="00263110">
            <w:pPr>
              <w:tabs>
                <w:tab w:val="num" w:pos="1080"/>
              </w:tabs>
              <w:jc w:val="both"/>
              <w:rPr>
                <w:bCs/>
                <w:sz w:val="24"/>
                <w:szCs w:val="24"/>
              </w:rPr>
            </w:pPr>
            <w:r w:rsidRPr="00296554">
              <w:rPr>
                <w:bCs/>
                <w:sz w:val="24"/>
                <w:szCs w:val="24"/>
              </w:rPr>
              <w:t>odbor legislatívno-právny a zahraničných vzťahov</w:t>
            </w:r>
          </w:p>
        </w:tc>
        <w:tc>
          <w:tcPr>
            <w:tcW w:w="1276" w:type="dxa"/>
          </w:tcPr>
          <w:p w14:paraId="3D433CA1" w14:textId="77777777" w:rsidR="00C747AF" w:rsidRPr="00764A85" w:rsidRDefault="00C747AF" w:rsidP="00263110">
            <w:pPr>
              <w:tabs>
                <w:tab w:val="num" w:pos="1080"/>
              </w:tabs>
              <w:jc w:val="both"/>
              <w:rPr>
                <w:bCs/>
                <w:sz w:val="24"/>
                <w:szCs w:val="24"/>
              </w:rPr>
            </w:pPr>
            <w:r w:rsidRPr="00764A85">
              <w:rPr>
                <w:bCs/>
                <w:sz w:val="24"/>
                <w:szCs w:val="24"/>
              </w:rPr>
              <w:t>1</w:t>
            </w:r>
          </w:p>
        </w:tc>
        <w:tc>
          <w:tcPr>
            <w:tcW w:w="850" w:type="dxa"/>
          </w:tcPr>
          <w:p w14:paraId="5779CF64" w14:textId="77777777" w:rsidR="00C747AF" w:rsidRPr="00764A85" w:rsidRDefault="00C747AF" w:rsidP="00263110">
            <w:pPr>
              <w:tabs>
                <w:tab w:val="num" w:pos="1080"/>
              </w:tabs>
              <w:jc w:val="both"/>
              <w:rPr>
                <w:bCs/>
                <w:sz w:val="24"/>
                <w:szCs w:val="24"/>
              </w:rPr>
            </w:pPr>
            <w:r w:rsidRPr="00764A85">
              <w:rPr>
                <w:bCs/>
                <w:sz w:val="24"/>
                <w:szCs w:val="24"/>
              </w:rPr>
              <w:t>8</w:t>
            </w:r>
          </w:p>
        </w:tc>
      </w:tr>
      <w:tr w:rsidR="00C747AF" w:rsidRPr="00764A85" w14:paraId="7CB8B43A" w14:textId="77777777" w:rsidTr="00263110">
        <w:tc>
          <w:tcPr>
            <w:tcW w:w="7083" w:type="dxa"/>
          </w:tcPr>
          <w:p w14:paraId="27D15599" w14:textId="77777777" w:rsidR="00C747AF" w:rsidRPr="00296554" w:rsidRDefault="00C747AF" w:rsidP="00263110">
            <w:pPr>
              <w:tabs>
                <w:tab w:val="num" w:pos="1080"/>
              </w:tabs>
              <w:jc w:val="both"/>
              <w:rPr>
                <w:bCs/>
                <w:sz w:val="24"/>
                <w:szCs w:val="24"/>
              </w:rPr>
            </w:pPr>
            <w:r w:rsidRPr="00296554">
              <w:rPr>
                <w:bCs/>
                <w:sz w:val="24"/>
                <w:szCs w:val="24"/>
              </w:rPr>
              <w:t>referát hlavného ekonóma - špecialistu</w:t>
            </w:r>
          </w:p>
        </w:tc>
        <w:tc>
          <w:tcPr>
            <w:tcW w:w="1276" w:type="dxa"/>
          </w:tcPr>
          <w:p w14:paraId="24CDA3ED" w14:textId="77777777" w:rsidR="00C747AF" w:rsidRPr="00764A85" w:rsidRDefault="00C747AF" w:rsidP="00263110">
            <w:pPr>
              <w:tabs>
                <w:tab w:val="num" w:pos="1080"/>
              </w:tabs>
              <w:jc w:val="both"/>
              <w:rPr>
                <w:bCs/>
                <w:sz w:val="24"/>
                <w:szCs w:val="24"/>
              </w:rPr>
            </w:pPr>
            <w:r w:rsidRPr="00764A85">
              <w:rPr>
                <w:bCs/>
                <w:sz w:val="24"/>
                <w:szCs w:val="24"/>
              </w:rPr>
              <w:t>1</w:t>
            </w:r>
          </w:p>
        </w:tc>
        <w:tc>
          <w:tcPr>
            <w:tcW w:w="850" w:type="dxa"/>
          </w:tcPr>
          <w:p w14:paraId="001690AC" w14:textId="77777777" w:rsidR="00C747AF" w:rsidRPr="00764A85" w:rsidRDefault="00C747AF" w:rsidP="00263110">
            <w:pPr>
              <w:tabs>
                <w:tab w:val="num" w:pos="1080"/>
              </w:tabs>
              <w:jc w:val="both"/>
              <w:rPr>
                <w:bCs/>
                <w:sz w:val="24"/>
                <w:szCs w:val="24"/>
              </w:rPr>
            </w:pPr>
            <w:r w:rsidRPr="00764A85">
              <w:rPr>
                <w:bCs/>
                <w:sz w:val="24"/>
                <w:szCs w:val="24"/>
              </w:rPr>
              <w:t>8</w:t>
            </w:r>
          </w:p>
        </w:tc>
      </w:tr>
    </w:tbl>
    <w:p w14:paraId="54E7198B" w14:textId="77777777" w:rsidR="00C747AF"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p>
    <w:p w14:paraId="40CBD684" w14:textId="77777777" w:rsidR="00C747AF"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hlavných kategórií EKRK 610 – </w:t>
      </w:r>
      <w:r w:rsidRPr="00955073">
        <w:rPr>
          <w:rFonts w:ascii="Times New Roman" w:eastAsia="Times New Roman" w:hAnsi="Times New Roman" w:cs="Times New Roman"/>
          <w:bCs/>
          <w:i/>
          <w:sz w:val="24"/>
          <w:szCs w:val="24"/>
          <w:lang w:eastAsia="sk-SK"/>
        </w:rPr>
        <w:t>Mzdy, platy, služobné príjmy a ostatné osobné vyrovnania</w:t>
      </w:r>
      <w:r>
        <w:rPr>
          <w:rFonts w:ascii="Times New Roman" w:eastAsia="Times New Roman" w:hAnsi="Times New Roman" w:cs="Times New Roman"/>
          <w:bCs/>
          <w:sz w:val="24"/>
          <w:szCs w:val="24"/>
          <w:lang w:eastAsia="sk-SK"/>
        </w:rPr>
        <w:t xml:space="preserve"> ako aj 620 - </w:t>
      </w:r>
      <w:r w:rsidRPr="00955073">
        <w:rPr>
          <w:rFonts w:ascii="Times New Roman" w:eastAsia="Times New Roman" w:hAnsi="Times New Roman" w:cs="Times New Roman"/>
          <w:bCs/>
          <w:i/>
          <w:sz w:val="24"/>
          <w:szCs w:val="24"/>
          <w:lang w:eastAsia="sk-SK"/>
        </w:rPr>
        <w:t>Poistné a príspevok do poisťovní</w:t>
      </w:r>
      <w:r>
        <w:rPr>
          <w:rFonts w:ascii="Times New Roman" w:eastAsia="Times New Roman" w:hAnsi="Times New Roman" w:cs="Times New Roman"/>
          <w:bCs/>
          <w:sz w:val="24"/>
          <w:szCs w:val="24"/>
          <w:lang w:eastAsia="sk-SK"/>
        </w:rPr>
        <w:t xml:space="preserve"> od nasledujúceho roku 2024 až 2026 </w:t>
      </w:r>
      <w:r w:rsidRPr="00CD5BDA">
        <w:rPr>
          <w:rFonts w:ascii="Times New Roman" w:eastAsia="Times New Roman" w:hAnsi="Times New Roman" w:cs="Times New Roman"/>
          <w:bCs/>
          <w:sz w:val="24"/>
          <w:szCs w:val="24"/>
          <w:u w:val="single"/>
          <w:lang w:eastAsia="sk-SK"/>
        </w:rPr>
        <w:t>nie je</w:t>
      </w:r>
      <w:r>
        <w:rPr>
          <w:rFonts w:ascii="Times New Roman" w:eastAsia="Times New Roman" w:hAnsi="Times New Roman" w:cs="Times New Roman"/>
          <w:bCs/>
          <w:sz w:val="24"/>
          <w:szCs w:val="24"/>
          <w:lang w:eastAsia="sk-SK"/>
        </w:rPr>
        <w:t xml:space="preserve"> zohľadnené každoročné 7% valorizovanie platov. </w:t>
      </w:r>
    </w:p>
    <w:p w14:paraId="66F16ACE" w14:textId="77777777" w:rsidR="00C747AF"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hlavnej kategórii 630 – </w:t>
      </w:r>
      <w:r w:rsidRPr="00955073">
        <w:rPr>
          <w:rFonts w:ascii="Times New Roman" w:eastAsia="Times New Roman" w:hAnsi="Times New Roman" w:cs="Times New Roman"/>
          <w:bCs/>
          <w:i/>
          <w:sz w:val="24"/>
          <w:szCs w:val="24"/>
          <w:lang w:eastAsia="sk-SK"/>
        </w:rPr>
        <w:t>Tovary a</w:t>
      </w:r>
      <w:r>
        <w:rPr>
          <w:rFonts w:ascii="Times New Roman" w:eastAsia="Times New Roman" w:hAnsi="Times New Roman" w:cs="Times New Roman"/>
          <w:bCs/>
          <w:i/>
          <w:sz w:val="24"/>
          <w:szCs w:val="24"/>
          <w:lang w:eastAsia="sk-SK"/>
        </w:rPr>
        <w:t> </w:t>
      </w:r>
      <w:r w:rsidRPr="00955073">
        <w:rPr>
          <w:rFonts w:ascii="Times New Roman" w:eastAsia="Times New Roman" w:hAnsi="Times New Roman" w:cs="Times New Roman"/>
          <w:bCs/>
          <w:i/>
          <w:sz w:val="24"/>
          <w:szCs w:val="24"/>
          <w:lang w:eastAsia="sk-SK"/>
        </w:rPr>
        <w:t>služby</w:t>
      </w:r>
      <w:r>
        <w:rPr>
          <w:rFonts w:ascii="Times New Roman" w:eastAsia="Times New Roman" w:hAnsi="Times New Roman" w:cs="Times New Roman"/>
          <w:bCs/>
          <w:i/>
          <w:sz w:val="24"/>
          <w:szCs w:val="24"/>
          <w:lang w:eastAsia="sk-SK"/>
        </w:rPr>
        <w:t xml:space="preserve"> </w:t>
      </w:r>
      <w:r>
        <w:rPr>
          <w:rFonts w:ascii="Times New Roman" w:eastAsia="Times New Roman" w:hAnsi="Times New Roman" w:cs="Times New Roman"/>
          <w:bCs/>
          <w:sz w:val="24"/>
          <w:szCs w:val="24"/>
          <w:lang w:eastAsia="sk-SK"/>
        </w:rPr>
        <w:t>je v roku 2024 zohľadnené vo výpočte jednorazový dopad na výdavky pre zariadenie kancelárskych priestorov</w:t>
      </w:r>
      <w:r w:rsidRPr="00DF6545">
        <w:rPr>
          <w:rFonts w:ascii="Times New Roman" w:hAnsi="Times New Roman"/>
          <w:sz w:val="24"/>
        </w:rPr>
        <w:t xml:space="preserve"> a </w:t>
      </w:r>
      <w:r>
        <w:rPr>
          <w:rFonts w:ascii="Times New Roman" w:eastAsia="Times New Roman" w:hAnsi="Times New Roman" w:cs="Times New Roman"/>
          <w:bCs/>
          <w:sz w:val="24"/>
          <w:szCs w:val="24"/>
          <w:lang w:eastAsia="sk-SK"/>
        </w:rPr>
        <w:t>technické vybavenie.</w:t>
      </w:r>
    </w:p>
    <w:p w14:paraId="569B4D68" w14:textId="77777777" w:rsidR="00C747AF" w:rsidRPr="00955073"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p>
    <w:p w14:paraId="1EF57031" w14:textId="77777777" w:rsidR="00C747AF" w:rsidRPr="009D5118" w:rsidRDefault="00C747AF" w:rsidP="00C747AF">
      <w:pPr>
        <w:tabs>
          <w:tab w:val="num" w:pos="1080"/>
        </w:tabs>
        <w:spacing w:after="0" w:line="240" w:lineRule="auto"/>
        <w:jc w:val="both"/>
        <w:rPr>
          <w:rFonts w:ascii="Times New Roman" w:eastAsia="Times New Roman" w:hAnsi="Times New Roman" w:cs="Times New Roman"/>
          <w:bCs/>
          <w:sz w:val="24"/>
          <w:szCs w:val="24"/>
          <w:lang w:eastAsia="sk-SK"/>
        </w:rPr>
      </w:pPr>
      <w:r w:rsidRPr="009D5118">
        <w:rPr>
          <w:rFonts w:ascii="Times New Roman" w:eastAsia="Times New Roman" w:hAnsi="Times New Roman" w:cs="Times New Roman"/>
          <w:bCs/>
          <w:i/>
          <w:iCs/>
          <w:sz w:val="24"/>
          <w:szCs w:val="24"/>
          <w:lang w:eastAsia="sk-SK"/>
        </w:rPr>
        <w:t>Stanov</w:t>
      </w:r>
      <w:r>
        <w:rPr>
          <w:rFonts w:ascii="Times New Roman" w:eastAsia="Times New Roman" w:hAnsi="Times New Roman" w:cs="Times New Roman"/>
          <w:bCs/>
          <w:i/>
          <w:iCs/>
          <w:sz w:val="24"/>
          <w:szCs w:val="24"/>
          <w:lang w:eastAsia="sk-SK"/>
        </w:rPr>
        <w:t>enie požadovaných vstupov do výpočtu</w:t>
      </w:r>
      <w:r w:rsidRPr="009D5118">
        <w:rPr>
          <w:rFonts w:ascii="Times New Roman" w:eastAsia="Times New Roman" w:hAnsi="Times New Roman" w:cs="Times New Roman"/>
          <w:bCs/>
          <w:sz w:val="24"/>
          <w:szCs w:val="24"/>
          <w:lang w:eastAsia="sk-SK"/>
        </w:rPr>
        <w:t>:</w:t>
      </w:r>
    </w:p>
    <w:p w14:paraId="48DDC05F" w14:textId="77777777" w:rsidR="00C747AF" w:rsidRPr="009D5118" w:rsidRDefault="00C747AF" w:rsidP="00C747AF">
      <w:pPr>
        <w:tabs>
          <w:tab w:val="num" w:pos="1080"/>
        </w:tabs>
        <w:spacing w:after="0" w:line="240" w:lineRule="auto"/>
        <w:jc w:val="both"/>
        <w:rPr>
          <w:rFonts w:ascii="Times New Roman" w:eastAsia="Times New Roman" w:hAnsi="Times New Roman" w:cs="Times New Roman"/>
          <w:bCs/>
          <w:sz w:val="24"/>
          <w:szCs w:val="24"/>
          <w:u w:val="single"/>
          <w:lang w:eastAsia="sk-SK"/>
        </w:rPr>
      </w:pPr>
    </w:p>
    <w:p w14:paraId="7E29DBAB" w14:textId="77777777" w:rsidR="00C747AF" w:rsidRDefault="00C747AF" w:rsidP="00C747AF">
      <w:pPr>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9D5118">
        <w:rPr>
          <w:rFonts w:ascii="Times New Roman" w:eastAsia="Times New Roman" w:hAnsi="Times New Roman" w:cs="Times New Roman"/>
          <w:bCs/>
          <w:i/>
          <w:iCs/>
          <w:sz w:val="24"/>
          <w:szCs w:val="24"/>
          <w:lang w:eastAsia="sk-SK"/>
        </w:rPr>
        <w:t>zamestnanci</w:t>
      </w:r>
      <w:r w:rsidRPr="009D5118">
        <w:rPr>
          <w:rFonts w:ascii="Times New Roman" w:eastAsia="Times New Roman" w:hAnsi="Times New Roman" w:cs="Times New Roman"/>
          <w:bCs/>
          <w:sz w:val="24"/>
          <w:szCs w:val="24"/>
          <w:lang w:eastAsia="sk-SK"/>
        </w:rPr>
        <w:t xml:space="preserve"> – uplatňovanie nariadení a riadenie činností programu. Počet (a typ) zamestnancov neurčil iba objemy miezd (610) a poistného (620), ale mal vplyv aj na výpočet objemu tovarov a slu</w:t>
      </w:r>
      <w:r>
        <w:rPr>
          <w:rFonts w:ascii="Times New Roman" w:eastAsia="Times New Roman" w:hAnsi="Times New Roman" w:cs="Times New Roman"/>
          <w:bCs/>
          <w:sz w:val="24"/>
          <w:szCs w:val="24"/>
          <w:lang w:eastAsia="sk-SK"/>
        </w:rPr>
        <w:t>žieb (630)</w:t>
      </w:r>
    </w:p>
    <w:p w14:paraId="26DD2330" w14:textId="77777777" w:rsidR="00C747AF" w:rsidRPr="009D5118" w:rsidRDefault="00C747AF" w:rsidP="00C747AF">
      <w:pPr>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9D5118">
        <w:rPr>
          <w:rFonts w:ascii="Times New Roman" w:eastAsia="Times New Roman" w:hAnsi="Times New Roman" w:cs="Times New Roman"/>
          <w:bCs/>
          <w:i/>
          <w:iCs/>
          <w:sz w:val="24"/>
          <w:szCs w:val="24"/>
          <w:lang w:eastAsia="sk-SK"/>
        </w:rPr>
        <w:t>vybavenie</w:t>
      </w:r>
      <w:r>
        <w:rPr>
          <w:rFonts w:ascii="Times New Roman" w:eastAsia="Times New Roman" w:hAnsi="Times New Roman" w:cs="Times New Roman"/>
          <w:bCs/>
          <w:sz w:val="24"/>
          <w:szCs w:val="24"/>
          <w:lang w:eastAsia="sk-SK"/>
        </w:rPr>
        <w:t xml:space="preserve"> – zariadenie kancelárie a technické vybavenie pre zamestnancov.</w:t>
      </w:r>
    </w:p>
    <w:p w14:paraId="0C9BA9DA" w14:textId="77777777" w:rsidR="00C747AF" w:rsidRPr="009D5118" w:rsidRDefault="00C747AF" w:rsidP="00C747AF">
      <w:pPr>
        <w:numPr>
          <w:ilvl w:val="0"/>
          <w:numId w:val="4"/>
        </w:numPr>
        <w:tabs>
          <w:tab w:val="num" w:pos="1080"/>
        </w:tabs>
        <w:spacing w:after="0" w:line="240" w:lineRule="auto"/>
        <w:jc w:val="both"/>
        <w:rPr>
          <w:rFonts w:ascii="Times New Roman" w:eastAsia="Times New Roman" w:hAnsi="Times New Roman" w:cs="Times New Roman"/>
          <w:bCs/>
          <w:sz w:val="24"/>
          <w:szCs w:val="24"/>
          <w:lang w:eastAsia="sk-SK"/>
        </w:rPr>
      </w:pPr>
      <w:r w:rsidRPr="009D5118">
        <w:rPr>
          <w:rFonts w:ascii="Times New Roman" w:eastAsia="Times New Roman" w:hAnsi="Times New Roman" w:cs="Times New Roman"/>
          <w:bCs/>
          <w:i/>
          <w:iCs/>
          <w:sz w:val="24"/>
          <w:szCs w:val="24"/>
          <w:lang w:eastAsia="sk-SK"/>
        </w:rPr>
        <w:t>iné prevádzkové náklady</w:t>
      </w:r>
      <w:r w:rsidRPr="009D5118">
        <w:rPr>
          <w:rFonts w:ascii="Times New Roman" w:eastAsia="Times New Roman" w:hAnsi="Times New Roman" w:cs="Times New Roman"/>
          <w:bCs/>
          <w:sz w:val="24"/>
          <w:szCs w:val="24"/>
          <w:lang w:eastAsia="sk-SK"/>
        </w:rPr>
        <w:t xml:space="preserve"> – vrátane nákladov na elektrickú energiu, vykurovanie, telekomunikácie,</w:t>
      </w:r>
      <w:r>
        <w:rPr>
          <w:rFonts w:ascii="Times New Roman" w:eastAsia="Times New Roman" w:hAnsi="Times New Roman" w:cs="Times New Roman"/>
          <w:bCs/>
          <w:sz w:val="24"/>
          <w:szCs w:val="24"/>
          <w:lang w:eastAsia="sk-SK"/>
        </w:rPr>
        <w:t xml:space="preserve"> prenájom priestorov a iné</w:t>
      </w:r>
    </w:p>
    <w:p w14:paraId="4ACFD9A0"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sectPr w:rsidR="00C747AF" w:rsidRPr="00B14AD5" w:rsidSect="002631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p>
    <w:p w14:paraId="22DCA944" w14:textId="77777777" w:rsidR="00C747AF" w:rsidRPr="00B14AD5" w:rsidRDefault="00C747AF" w:rsidP="00C747AF">
      <w:pPr>
        <w:tabs>
          <w:tab w:val="num" w:pos="1080"/>
        </w:tabs>
        <w:spacing w:after="0" w:line="240" w:lineRule="auto"/>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lastRenderedPageBreak/>
        <w:t xml:space="preserve">Tabuľka č. 3 </w:t>
      </w:r>
    </w:p>
    <w:p w14:paraId="06565CE4"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747AF" w:rsidRPr="00B14AD5" w14:paraId="6034D14C" w14:textId="77777777" w:rsidTr="00263110">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6395F"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D43C13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58FED4"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C747AF" w:rsidRPr="00B14AD5" w14:paraId="0A6B3B72" w14:textId="77777777" w:rsidTr="00263110">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54E38FC"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04ECF65D"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11B406F5"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427BAF2F"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1DFC712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788E6951"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p>
        </w:tc>
      </w:tr>
      <w:tr w:rsidR="00C747AF" w:rsidRPr="00B14AD5" w14:paraId="49F4AF4D" w14:textId="77777777" w:rsidTr="00263110">
        <w:trPr>
          <w:trHeight w:val="255"/>
        </w:trPr>
        <w:tc>
          <w:tcPr>
            <w:tcW w:w="4950" w:type="dxa"/>
            <w:tcBorders>
              <w:top w:val="nil"/>
              <w:left w:val="single" w:sz="4" w:space="0" w:color="auto"/>
              <w:bottom w:val="single" w:sz="4" w:space="0" w:color="auto"/>
              <w:right w:val="single" w:sz="4" w:space="0" w:color="auto"/>
            </w:tcBorders>
          </w:tcPr>
          <w:p w14:paraId="4ED430FF" w14:textId="77777777" w:rsidR="00C747AF" w:rsidRPr="00B14AD5" w:rsidRDefault="00C747AF" w:rsidP="00263110">
            <w:pPr>
              <w:spacing w:after="0" w:line="240" w:lineRule="auto"/>
              <w:rPr>
                <w:rFonts w:ascii="Times New Roman" w:eastAsia="Times New Roman" w:hAnsi="Times New Roman" w:cs="Times New Roman"/>
                <w:b/>
                <w:bCs/>
                <w:sz w:val="24"/>
                <w:szCs w:val="24"/>
                <w:vertAlign w:val="superscript"/>
                <w:lang w:eastAsia="sk-SK"/>
              </w:rPr>
            </w:pPr>
            <w:r w:rsidRPr="00B14AD5">
              <w:rPr>
                <w:rFonts w:ascii="Times New Roman" w:eastAsia="Times New Roman" w:hAnsi="Times New Roman" w:cs="Times New Roman"/>
                <w:b/>
                <w:bCs/>
                <w:sz w:val="24"/>
                <w:szCs w:val="24"/>
                <w:lang w:eastAsia="sk-SK"/>
              </w:rPr>
              <w:t>Daňové príjmy (100)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D68836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D85B4F2"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D7BA06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AC545E4"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D1717B2"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7316E981" w14:textId="77777777" w:rsidTr="00263110">
        <w:trPr>
          <w:trHeight w:val="255"/>
        </w:trPr>
        <w:tc>
          <w:tcPr>
            <w:tcW w:w="4950" w:type="dxa"/>
            <w:tcBorders>
              <w:top w:val="nil"/>
              <w:left w:val="single" w:sz="4" w:space="0" w:color="auto"/>
              <w:bottom w:val="single" w:sz="4" w:space="0" w:color="auto"/>
              <w:right w:val="single" w:sz="4" w:space="0" w:color="auto"/>
            </w:tcBorders>
          </w:tcPr>
          <w:p w14:paraId="4AF5FA2F"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Nedaňové príjmy (200)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98BB56A"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FBB8344"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7A7A6CA"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5B65A1E"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FABF65C"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16B41730" w14:textId="77777777" w:rsidTr="00263110">
        <w:trPr>
          <w:trHeight w:val="255"/>
        </w:trPr>
        <w:tc>
          <w:tcPr>
            <w:tcW w:w="4950" w:type="dxa"/>
            <w:tcBorders>
              <w:top w:val="nil"/>
              <w:left w:val="single" w:sz="4" w:space="0" w:color="auto"/>
              <w:bottom w:val="single" w:sz="4" w:space="0" w:color="auto"/>
              <w:right w:val="single" w:sz="4" w:space="0" w:color="auto"/>
            </w:tcBorders>
          </w:tcPr>
          <w:p w14:paraId="51090202"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Granty a transfery (300)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19EE23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7592981"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29A0551"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9CACAE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3D67E32"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46E67A7C" w14:textId="77777777" w:rsidTr="00263110">
        <w:trPr>
          <w:trHeight w:val="255"/>
        </w:trPr>
        <w:tc>
          <w:tcPr>
            <w:tcW w:w="4950" w:type="dxa"/>
            <w:tcBorders>
              <w:top w:val="nil"/>
              <w:left w:val="single" w:sz="4" w:space="0" w:color="auto"/>
              <w:bottom w:val="single" w:sz="4" w:space="0" w:color="auto"/>
              <w:right w:val="single" w:sz="4" w:space="0" w:color="auto"/>
            </w:tcBorders>
          </w:tcPr>
          <w:p w14:paraId="15EA49CF"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581E349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9D5172C"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EE6A5F0"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178AF73"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DEF7849"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1D80C4AD" w14:textId="77777777" w:rsidTr="00263110">
        <w:trPr>
          <w:trHeight w:val="255"/>
        </w:trPr>
        <w:tc>
          <w:tcPr>
            <w:tcW w:w="4950" w:type="dxa"/>
            <w:tcBorders>
              <w:top w:val="nil"/>
              <w:left w:val="single" w:sz="4" w:space="0" w:color="auto"/>
              <w:bottom w:val="single" w:sz="4" w:space="0" w:color="auto"/>
              <w:right w:val="single" w:sz="4" w:space="0" w:color="auto"/>
            </w:tcBorders>
          </w:tcPr>
          <w:p w14:paraId="12F5CB74"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7A8AE3E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D55E8B0"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3CC84C7"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80E7BCA"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EAFE8BF"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6B92D6FE" w14:textId="77777777" w:rsidTr="00263110">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7005D9CA"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2B811C63"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32ABB23"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959F7E4"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B87DF4A"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68DDE37"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bl>
    <w:p w14:paraId="7B4EC781"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0"/>
          <w:szCs w:val="20"/>
          <w:lang w:eastAsia="sk-SK"/>
        </w:rPr>
        <w:t>1 –  príjmy rozpísať až do položiek platnej ekonomickej klasifikácie</w:t>
      </w:r>
    </w:p>
    <w:p w14:paraId="18489C2C"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pPr>
    </w:p>
    <w:p w14:paraId="349C04A6"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
          <w:bCs/>
          <w:sz w:val="24"/>
          <w:szCs w:val="20"/>
          <w:lang w:eastAsia="sk-SK"/>
        </w:rPr>
      </w:pPr>
      <w:r w:rsidRPr="00B14AD5">
        <w:rPr>
          <w:rFonts w:ascii="Times New Roman" w:eastAsia="Times New Roman" w:hAnsi="Times New Roman" w:cs="Times New Roman"/>
          <w:b/>
          <w:bCs/>
          <w:sz w:val="24"/>
          <w:szCs w:val="20"/>
          <w:lang w:eastAsia="sk-SK"/>
        </w:rPr>
        <w:t>Poznámka:</w:t>
      </w:r>
    </w:p>
    <w:p w14:paraId="606B24C7"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96EC348"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t xml:space="preserve"> </w:t>
      </w:r>
    </w:p>
    <w:p w14:paraId="79466497"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C8DE0FB"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9FCB4DC"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EB30DD3"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6263070"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21D4242"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783A456"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044403A"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60A166"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71CA5F6"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117C9C7"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A49110"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C5DEE60"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A8EB15D" w14:textId="77777777" w:rsidR="00C747AF" w:rsidRPr="00B14AD5" w:rsidRDefault="00C747AF" w:rsidP="00C747AF">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F372A7B" w14:textId="77777777" w:rsidR="00C747AF" w:rsidRPr="00B14AD5" w:rsidRDefault="00C747AF" w:rsidP="00C747AF">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lastRenderedPageBreak/>
        <w:t xml:space="preserve">Tabuľka č. 4 </w:t>
      </w:r>
    </w:p>
    <w:p w14:paraId="62658786"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pPr>
    </w:p>
    <w:p w14:paraId="6C0D0D86"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0"/>
          <w:szCs w:val="20"/>
          <w:lang w:eastAsia="sk-SK"/>
        </w:rPr>
        <w:t>2 –  výdavky rozpísať až do položiek platnej ekonomickej klasifikácie</w:t>
      </w:r>
    </w:p>
    <w:p w14:paraId="4BCCB275"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pPr w:leftFromText="141" w:rightFromText="141" w:vertAnchor="text" w:horzAnchor="page" w:tblpX="629" w:tblpY="2"/>
        <w:tblW w:w="5000" w:type="pct"/>
        <w:tblCellMar>
          <w:left w:w="70" w:type="dxa"/>
          <w:right w:w="70" w:type="dxa"/>
        </w:tblCellMar>
        <w:tblLook w:val="0000" w:firstRow="0" w:lastRow="0" w:firstColumn="0" w:lastColumn="0" w:noHBand="0" w:noVBand="0"/>
      </w:tblPr>
      <w:tblGrid>
        <w:gridCol w:w="7357"/>
        <w:gridCol w:w="1715"/>
        <w:gridCol w:w="1601"/>
        <w:gridCol w:w="1601"/>
        <w:gridCol w:w="1718"/>
      </w:tblGrid>
      <w:tr w:rsidR="00C747AF" w:rsidRPr="00B14AD5" w14:paraId="527790B1" w14:textId="77777777" w:rsidTr="00263110">
        <w:trPr>
          <w:cantSplit/>
          <w:trHeight w:val="250"/>
        </w:trPr>
        <w:tc>
          <w:tcPr>
            <w:tcW w:w="2629"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6E7182F"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(v eurách)</w:t>
            </w:r>
          </w:p>
        </w:tc>
        <w:tc>
          <w:tcPr>
            <w:tcW w:w="2371" w:type="pct"/>
            <w:gridSpan w:val="4"/>
            <w:tcBorders>
              <w:top w:val="single" w:sz="4" w:space="0" w:color="auto"/>
              <w:left w:val="nil"/>
              <w:bottom w:val="single" w:sz="4" w:space="0" w:color="auto"/>
              <w:right w:val="single" w:sz="4" w:space="0" w:color="auto"/>
            </w:tcBorders>
            <w:shd w:val="clear" w:color="auto" w:fill="BFBFBF" w:themeFill="background1" w:themeFillShade="BF"/>
          </w:tcPr>
          <w:p w14:paraId="6A978934"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Vplyv na rozpočet verejnej správy</w:t>
            </w:r>
          </w:p>
        </w:tc>
      </w:tr>
      <w:tr w:rsidR="00C747AF" w:rsidRPr="00B14AD5" w14:paraId="33B19BD3" w14:textId="77777777" w:rsidTr="00263110">
        <w:trPr>
          <w:cantSplit/>
          <w:trHeight w:val="250"/>
        </w:trPr>
        <w:tc>
          <w:tcPr>
            <w:tcW w:w="2629" w:type="pct"/>
            <w:vMerge/>
            <w:tcBorders>
              <w:top w:val="single" w:sz="4" w:space="0" w:color="auto"/>
              <w:left w:val="single" w:sz="4" w:space="0" w:color="auto"/>
              <w:bottom w:val="single" w:sz="4" w:space="0" w:color="000000"/>
              <w:right w:val="single" w:sz="4" w:space="0" w:color="auto"/>
            </w:tcBorders>
            <w:vAlign w:val="center"/>
          </w:tcPr>
          <w:p w14:paraId="4FF6B95B" w14:textId="77777777" w:rsidR="00C747AF" w:rsidRPr="00B14AD5" w:rsidRDefault="00C747AF" w:rsidP="00263110">
            <w:pPr>
              <w:spacing w:after="0" w:line="240" w:lineRule="auto"/>
              <w:rPr>
                <w:rFonts w:ascii="Times New Roman" w:eastAsia="Times New Roman" w:hAnsi="Times New Roman" w:cs="Times New Roman"/>
                <w:b/>
                <w:bCs/>
                <w:sz w:val="20"/>
                <w:szCs w:val="20"/>
                <w:lang w:eastAsia="sk-SK"/>
              </w:rPr>
            </w:pPr>
          </w:p>
        </w:tc>
        <w:tc>
          <w:tcPr>
            <w:tcW w:w="613" w:type="pct"/>
            <w:tcBorders>
              <w:top w:val="nil"/>
              <w:left w:val="nil"/>
              <w:bottom w:val="single" w:sz="4" w:space="0" w:color="auto"/>
              <w:right w:val="single" w:sz="4" w:space="0" w:color="auto"/>
            </w:tcBorders>
            <w:shd w:val="clear" w:color="auto" w:fill="BFBFBF" w:themeFill="background1" w:themeFillShade="BF"/>
          </w:tcPr>
          <w:p w14:paraId="4731B6D8"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572" w:type="pct"/>
            <w:tcBorders>
              <w:top w:val="nil"/>
              <w:left w:val="nil"/>
              <w:bottom w:val="single" w:sz="4" w:space="0" w:color="auto"/>
              <w:right w:val="single" w:sz="4" w:space="0" w:color="auto"/>
            </w:tcBorders>
            <w:shd w:val="clear" w:color="auto" w:fill="BFBFBF" w:themeFill="background1" w:themeFillShade="BF"/>
          </w:tcPr>
          <w:p w14:paraId="59404DB1"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572" w:type="pct"/>
            <w:tcBorders>
              <w:top w:val="nil"/>
              <w:left w:val="nil"/>
              <w:bottom w:val="single" w:sz="4" w:space="0" w:color="auto"/>
              <w:right w:val="single" w:sz="4" w:space="0" w:color="auto"/>
            </w:tcBorders>
            <w:shd w:val="clear" w:color="auto" w:fill="BFBFBF" w:themeFill="background1" w:themeFillShade="BF"/>
          </w:tcPr>
          <w:p w14:paraId="12F1553F"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6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01279"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Poznámka*</w:t>
            </w:r>
          </w:p>
        </w:tc>
      </w:tr>
      <w:tr w:rsidR="00C747AF" w:rsidRPr="00B14AD5" w14:paraId="3E3C5A5C" w14:textId="77777777" w:rsidTr="00263110">
        <w:trPr>
          <w:trHeight w:val="250"/>
        </w:trPr>
        <w:tc>
          <w:tcPr>
            <w:tcW w:w="2629" w:type="pct"/>
            <w:tcBorders>
              <w:top w:val="nil"/>
              <w:left w:val="single" w:sz="4" w:space="0" w:color="auto"/>
              <w:bottom w:val="single" w:sz="4" w:space="0" w:color="auto"/>
              <w:right w:val="single" w:sz="4" w:space="0" w:color="auto"/>
            </w:tcBorders>
          </w:tcPr>
          <w:p w14:paraId="3FB3CEC2" w14:textId="77777777" w:rsidR="00C747AF" w:rsidRPr="00B14AD5" w:rsidRDefault="00C747AF" w:rsidP="00263110">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Bežné výdavky (600)</w:t>
            </w:r>
          </w:p>
        </w:tc>
        <w:tc>
          <w:tcPr>
            <w:tcW w:w="613" w:type="pct"/>
            <w:tcBorders>
              <w:top w:val="nil"/>
              <w:left w:val="nil"/>
              <w:bottom w:val="single" w:sz="4" w:space="0" w:color="auto"/>
              <w:right w:val="single" w:sz="4" w:space="0" w:color="auto"/>
            </w:tcBorders>
          </w:tcPr>
          <w:p w14:paraId="700FD1E6" w14:textId="77777777" w:rsidR="00C747AF" w:rsidRPr="006C089E" w:rsidRDefault="00C747AF" w:rsidP="00263110">
            <w:pPr>
              <w:spacing w:after="0" w:line="240" w:lineRule="auto"/>
              <w:jc w:val="center"/>
              <w:rPr>
                <w:rFonts w:ascii="Times New Roman" w:eastAsia="Times New Roman" w:hAnsi="Times New Roman" w:cs="Times New Roman"/>
                <w:sz w:val="20"/>
                <w:szCs w:val="20"/>
                <w:lang w:eastAsia="sk-SK"/>
              </w:rPr>
            </w:pPr>
            <w:r w:rsidRPr="006C089E">
              <w:rPr>
                <w:rFonts w:ascii="Times New Roman" w:eastAsia="Times New Roman" w:hAnsi="Times New Roman" w:cs="Times New Roman"/>
                <w:sz w:val="20"/>
                <w:szCs w:val="20"/>
                <w:lang w:eastAsia="sk-SK"/>
              </w:rPr>
              <w:t>122 719,35</w:t>
            </w:r>
          </w:p>
        </w:tc>
        <w:tc>
          <w:tcPr>
            <w:tcW w:w="572" w:type="pct"/>
            <w:tcBorders>
              <w:top w:val="nil"/>
              <w:left w:val="nil"/>
              <w:bottom w:val="single" w:sz="4" w:space="0" w:color="auto"/>
              <w:right w:val="single" w:sz="4" w:space="0" w:color="auto"/>
            </w:tcBorders>
          </w:tcPr>
          <w:p w14:paraId="29F45433" w14:textId="77777777" w:rsidR="00C747AF" w:rsidRPr="006C089E" w:rsidRDefault="00C747AF" w:rsidP="00263110">
            <w:pPr>
              <w:spacing w:after="0" w:line="240" w:lineRule="auto"/>
              <w:jc w:val="center"/>
              <w:rPr>
                <w:rFonts w:ascii="Times New Roman" w:eastAsia="Times New Roman" w:hAnsi="Times New Roman" w:cs="Times New Roman"/>
                <w:sz w:val="20"/>
                <w:szCs w:val="20"/>
                <w:lang w:eastAsia="sk-SK"/>
              </w:rPr>
            </w:pPr>
            <w:r w:rsidRPr="006C089E">
              <w:rPr>
                <w:rFonts w:ascii="Times New Roman" w:eastAsia="Times New Roman" w:hAnsi="Times New Roman" w:cs="Times New Roman"/>
                <w:sz w:val="20"/>
                <w:szCs w:val="20"/>
                <w:lang w:eastAsia="sk-SK"/>
              </w:rPr>
              <w:t>119 944,35</w:t>
            </w:r>
          </w:p>
        </w:tc>
        <w:tc>
          <w:tcPr>
            <w:tcW w:w="572" w:type="pct"/>
            <w:tcBorders>
              <w:top w:val="nil"/>
              <w:left w:val="nil"/>
              <w:bottom w:val="single" w:sz="4" w:space="0" w:color="auto"/>
              <w:right w:val="single" w:sz="4" w:space="0" w:color="auto"/>
            </w:tcBorders>
          </w:tcPr>
          <w:p w14:paraId="1D4EF4E2" w14:textId="77777777" w:rsidR="00C747AF" w:rsidRPr="006C089E" w:rsidRDefault="00C747AF" w:rsidP="00263110">
            <w:pPr>
              <w:spacing w:after="0" w:line="240" w:lineRule="auto"/>
              <w:jc w:val="center"/>
              <w:rPr>
                <w:rFonts w:ascii="Times New Roman" w:eastAsia="Times New Roman" w:hAnsi="Times New Roman" w:cs="Times New Roman"/>
                <w:sz w:val="20"/>
                <w:szCs w:val="20"/>
                <w:lang w:eastAsia="sk-SK"/>
              </w:rPr>
            </w:pPr>
            <w:r w:rsidRPr="006C089E">
              <w:rPr>
                <w:rFonts w:ascii="Times New Roman" w:eastAsia="Times New Roman" w:hAnsi="Times New Roman" w:cs="Times New Roman"/>
                <w:sz w:val="20"/>
                <w:szCs w:val="20"/>
                <w:lang w:eastAsia="sk-SK"/>
              </w:rPr>
              <w:t>119 944,35</w:t>
            </w:r>
          </w:p>
        </w:tc>
        <w:tc>
          <w:tcPr>
            <w:tcW w:w="614" w:type="pct"/>
            <w:tcBorders>
              <w:top w:val="nil"/>
              <w:left w:val="nil"/>
              <w:bottom w:val="single" w:sz="4" w:space="0" w:color="auto"/>
              <w:right w:val="single" w:sz="4" w:space="0" w:color="auto"/>
            </w:tcBorders>
            <w:noWrap/>
            <w:vAlign w:val="bottom"/>
          </w:tcPr>
          <w:p w14:paraId="79153919" w14:textId="77777777" w:rsidR="00C747AF" w:rsidRPr="006C089E" w:rsidRDefault="00C747AF" w:rsidP="00263110">
            <w:pPr>
              <w:spacing w:after="0" w:line="240" w:lineRule="auto"/>
              <w:rPr>
                <w:rFonts w:ascii="Times New Roman" w:eastAsia="Times New Roman" w:hAnsi="Times New Roman" w:cs="Times New Roman"/>
                <w:sz w:val="16"/>
                <w:szCs w:val="16"/>
                <w:lang w:eastAsia="sk-SK"/>
              </w:rPr>
            </w:pPr>
            <w:r w:rsidRPr="00B14AD5">
              <w:rPr>
                <w:rFonts w:ascii="Times New Roman" w:eastAsia="Times New Roman" w:hAnsi="Times New Roman" w:cs="Times New Roman"/>
                <w:sz w:val="24"/>
                <w:szCs w:val="24"/>
                <w:lang w:eastAsia="sk-SK"/>
              </w:rPr>
              <w:t> </w:t>
            </w:r>
          </w:p>
        </w:tc>
      </w:tr>
      <w:tr w:rsidR="00C747AF" w:rsidRPr="00B14AD5" w14:paraId="50C3AABB" w14:textId="77777777" w:rsidTr="00263110">
        <w:trPr>
          <w:trHeight w:val="250"/>
        </w:trPr>
        <w:tc>
          <w:tcPr>
            <w:tcW w:w="2629" w:type="pct"/>
            <w:tcBorders>
              <w:top w:val="nil"/>
              <w:left w:val="single" w:sz="4" w:space="0" w:color="auto"/>
              <w:bottom w:val="single" w:sz="4" w:space="0" w:color="auto"/>
              <w:right w:val="single" w:sz="4" w:space="0" w:color="auto"/>
            </w:tcBorders>
          </w:tcPr>
          <w:p w14:paraId="2C635304" w14:textId="77777777" w:rsidR="00C747AF" w:rsidRPr="00B14AD5" w:rsidRDefault="00C747AF" w:rsidP="00263110">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Mzdy, platy, služobné príjmy a ostatné osobné vyrovnania (610)</w:t>
            </w:r>
          </w:p>
        </w:tc>
        <w:tc>
          <w:tcPr>
            <w:tcW w:w="613" w:type="pct"/>
            <w:tcBorders>
              <w:top w:val="nil"/>
              <w:left w:val="nil"/>
              <w:bottom w:val="single" w:sz="4" w:space="0" w:color="auto"/>
              <w:right w:val="single" w:sz="4" w:space="0" w:color="auto"/>
            </w:tcBorders>
            <w:vAlign w:val="center"/>
          </w:tcPr>
          <w:p w14:paraId="797480E3"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sidRPr="009D63A6">
              <w:rPr>
                <w:rFonts w:ascii="Times New Roman" w:eastAsia="Times New Roman" w:hAnsi="Times New Roman" w:cs="Times New Roman"/>
                <w:sz w:val="20"/>
                <w:szCs w:val="20"/>
                <w:lang w:eastAsia="sk-SK"/>
              </w:rPr>
              <w:t>76 500,00</w:t>
            </w:r>
          </w:p>
        </w:tc>
        <w:tc>
          <w:tcPr>
            <w:tcW w:w="572" w:type="pct"/>
            <w:tcBorders>
              <w:top w:val="nil"/>
              <w:left w:val="nil"/>
              <w:bottom w:val="single" w:sz="4" w:space="0" w:color="auto"/>
              <w:right w:val="single" w:sz="4" w:space="0" w:color="auto"/>
            </w:tcBorders>
            <w:vAlign w:val="center"/>
          </w:tcPr>
          <w:p w14:paraId="05818CC3"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sidRPr="009D63A6">
              <w:rPr>
                <w:rFonts w:ascii="Times New Roman" w:eastAsia="Times New Roman" w:hAnsi="Times New Roman" w:cs="Times New Roman"/>
                <w:sz w:val="20"/>
                <w:szCs w:val="20"/>
                <w:lang w:eastAsia="sk-SK"/>
              </w:rPr>
              <w:t>76 500,00</w:t>
            </w:r>
          </w:p>
        </w:tc>
        <w:tc>
          <w:tcPr>
            <w:tcW w:w="572" w:type="pct"/>
            <w:tcBorders>
              <w:top w:val="nil"/>
              <w:left w:val="nil"/>
              <w:bottom w:val="single" w:sz="4" w:space="0" w:color="auto"/>
              <w:right w:val="single" w:sz="4" w:space="0" w:color="auto"/>
            </w:tcBorders>
            <w:vAlign w:val="center"/>
          </w:tcPr>
          <w:p w14:paraId="5601D7E6" w14:textId="77777777" w:rsidR="00C747AF" w:rsidRPr="00DE7B0C" w:rsidRDefault="00C747AF" w:rsidP="00263110">
            <w:pPr>
              <w:spacing w:after="0" w:line="240" w:lineRule="auto"/>
              <w:jc w:val="center"/>
              <w:rPr>
                <w:rFonts w:ascii="Times New Roman" w:hAnsi="Times New Roman"/>
                <w:sz w:val="20"/>
                <w:highlight w:val="cyan"/>
              </w:rPr>
            </w:pPr>
            <w:r w:rsidRPr="009D63A6">
              <w:rPr>
                <w:rFonts w:ascii="Times New Roman" w:hAnsi="Times New Roman"/>
                <w:sz w:val="20"/>
              </w:rPr>
              <w:t>76 500,00</w:t>
            </w:r>
          </w:p>
        </w:tc>
        <w:tc>
          <w:tcPr>
            <w:tcW w:w="614" w:type="pct"/>
            <w:tcBorders>
              <w:top w:val="nil"/>
              <w:left w:val="nil"/>
              <w:bottom w:val="single" w:sz="4" w:space="0" w:color="auto"/>
              <w:right w:val="single" w:sz="4" w:space="0" w:color="auto"/>
            </w:tcBorders>
            <w:noWrap/>
            <w:vAlign w:val="bottom"/>
          </w:tcPr>
          <w:p w14:paraId="1FC48233" w14:textId="77777777" w:rsidR="00C747AF" w:rsidRPr="006C089E" w:rsidRDefault="00C747AF" w:rsidP="00263110">
            <w:pPr>
              <w:spacing w:after="0" w:line="240" w:lineRule="auto"/>
              <w:rPr>
                <w:rFonts w:ascii="Times New Roman" w:eastAsia="Times New Roman" w:hAnsi="Times New Roman" w:cs="Times New Roman"/>
                <w:sz w:val="16"/>
                <w:szCs w:val="16"/>
                <w:lang w:eastAsia="sk-SK"/>
              </w:rPr>
            </w:pPr>
            <w:r w:rsidRPr="00B14AD5">
              <w:rPr>
                <w:rFonts w:ascii="Times New Roman" w:eastAsia="Times New Roman" w:hAnsi="Times New Roman" w:cs="Times New Roman"/>
                <w:sz w:val="24"/>
                <w:szCs w:val="24"/>
                <w:lang w:eastAsia="sk-SK"/>
              </w:rPr>
              <w:t> </w:t>
            </w:r>
            <w:r w:rsidRPr="006C089E">
              <w:rPr>
                <w:rFonts w:ascii="Times New Roman" w:eastAsia="Times New Roman" w:hAnsi="Times New Roman" w:cs="Times New Roman"/>
                <w:sz w:val="16"/>
                <w:szCs w:val="16"/>
                <w:lang w:eastAsia="sk-SK"/>
              </w:rPr>
              <w:t>*bez valorizácie</w:t>
            </w:r>
          </w:p>
        </w:tc>
      </w:tr>
      <w:tr w:rsidR="00C747AF" w:rsidRPr="00B14AD5" w14:paraId="481E1D84" w14:textId="77777777" w:rsidTr="00263110">
        <w:trPr>
          <w:trHeight w:val="250"/>
        </w:trPr>
        <w:tc>
          <w:tcPr>
            <w:tcW w:w="2629" w:type="pct"/>
            <w:tcBorders>
              <w:top w:val="nil"/>
              <w:left w:val="single" w:sz="4" w:space="0" w:color="auto"/>
              <w:bottom w:val="single" w:sz="4" w:space="0" w:color="auto"/>
              <w:right w:val="single" w:sz="4" w:space="0" w:color="auto"/>
            </w:tcBorders>
          </w:tcPr>
          <w:p w14:paraId="7D79975B" w14:textId="77777777" w:rsidR="00C747AF" w:rsidRPr="00B14AD5" w:rsidRDefault="00C747AF" w:rsidP="00263110">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Poistné a príspevok do poisťovní (620)</w:t>
            </w:r>
          </w:p>
        </w:tc>
        <w:tc>
          <w:tcPr>
            <w:tcW w:w="613" w:type="pct"/>
            <w:tcBorders>
              <w:top w:val="nil"/>
              <w:left w:val="nil"/>
              <w:bottom w:val="single" w:sz="4" w:space="0" w:color="auto"/>
              <w:right w:val="single" w:sz="4" w:space="0" w:color="auto"/>
            </w:tcBorders>
          </w:tcPr>
          <w:p w14:paraId="3CB06C94"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Pr>
                <w:rFonts w:ascii="Times New Roman" w:eastAsia="Times New Roman" w:hAnsi="Times New Roman" w:cs="Times New Roman"/>
                <w:sz w:val="20"/>
                <w:szCs w:val="20"/>
                <w:lang w:eastAsia="sk-SK"/>
              </w:rPr>
              <w:t xml:space="preserve">26 736,75 </w:t>
            </w:r>
          </w:p>
        </w:tc>
        <w:tc>
          <w:tcPr>
            <w:tcW w:w="572" w:type="pct"/>
            <w:tcBorders>
              <w:top w:val="nil"/>
              <w:left w:val="nil"/>
              <w:bottom w:val="single" w:sz="4" w:space="0" w:color="auto"/>
              <w:right w:val="single" w:sz="4" w:space="0" w:color="auto"/>
            </w:tcBorders>
          </w:tcPr>
          <w:p w14:paraId="5742409B"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sidRPr="006C089E">
              <w:rPr>
                <w:rFonts w:ascii="Times New Roman" w:eastAsia="Times New Roman" w:hAnsi="Times New Roman" w:cs="Times New Roman"/>
                <w:sz w:val="20"/>
                <w:szCs w:val="20"/>
                <w:lang w:eastAsia="sk-SK"/>
              </w:rPr>
              <w:t>26 736,75</w:t>
            </w:r>
          </w:p>
        </w:tc>
        <w:tc>
          <w:tcPr>
            <w:tcW w:w="572" w:type="pct"/>
            <w:tcBorders>
              <w:top w:val="nil"/>
              <w:left w:val="nil"/>
              <w:bottom w:val="single" w:sz="4" w:space="0" w:color="auto"/>
              <w:right w:val="single" w:sz="4" w:space="0" w:color="auto"/>
            </w:tcBorders>
          </w:tcPr>
          <w:p w14:paraId="23B56828" w14:textId="77777777" w:rsidR="00C747AF" w:rsidRPr="00DE7B0C" w:rsidRDefault="00C747AF" w:rsidP="00263110">
            <w:pPr>
              <w:spacing w:after="0" w:line="240" w:lineRule="auto"/>
              <w:jc w:val="center"/>
              <w:rPr>
                <w:rFonts w:ascii="Times New Roman" w:hAnsi="Times New Roman"/>
                <w:sz w:val="20"/>
                <w:highlight w:val="cyan"/>
              </w:rPr>
            </w:pPr>
            <w:r w:rsidRPr="006C089E">
              <w:rPr>
                <w:rFonts w:ascii="Times New Roman" w:hAnsi="Times New Roman"/>
                <w:sz w:val="20"/>
              </w:rPr>
              <w:t>26 736,75</w:t>
            </w:r>
          </w:p>
        </w:tc>
        <w:tc>
          <w:tcPr>
            <w:tcW w:w="614" w:type="pct"/>
            <w:tcBorders>
              <w:top w:val="nil"/>
              <w:left w:val="nil"/>
              <w:bottom w:val="single" w:sz="4" w:space="0" w:color="auto"/>
              <w:right w:val="single" w:sz="4" w:space="0" w:color="auto"/>
            </w:tcBorders>
            <w:noWrap/>
            <w:vAlign w:val="bottom"/>
          </w:tcPr>
          <w:p w14:paraId="016984F3" w14:textId="77777777" w:rsidR="00C747AF" w:rsidRPr="006C089E" w:rsidRDefault="00C747AF" w:rsidP="00263110">
            <w:pPr>
              <w:spacing w:after="0" w:line="240" w:lineRule="auto"/>
              <w:rPr>
                <w:rFonts w:ascii="Times New Roman" w:eastAsia="Times New Roman" w:hAnsi="Times New Roman" w:cs="Times New Roman"/>
                <w:sz w:val="16"/>
                <w:szCs w:val="16"/>
                <w:lang w:eastAsia="sk-SK"/>
              </w:rPr>
            </w:pPr>
            <w:r w:rsidRPr="00B14AD5">
              <w:rPr>
                <w:rFonts w:ascii="Times New Roman" w:eastAsia="Times New Roman" w:hAnsi="Times New Roman" w:cs="Times New Roman"/>
                <w:sz w:val="24"/>
                <w:szCs w:val="24"/>
                <w:lang w:eastAsia="sk-SK"/>
              </w:rPr>
              <w:t> </w:t>
            </w:r>
            <w:r w:rsidRPr="006C089E">
              <w:rPr>
                <w:rFonts w:ascii="Times New Roman" w:eastAsia="Times New Roman" w:hAnsi="Times New Roman" w:cs="Times New Roman"/>
                <w:sz w:val="16"/>
                <w:szCs w:val="16"/>
                <w:lang w:eastAsia="sk-SK"/>
              </w:rPr>
              <w:t>*34,95%_(620)</w:t>
            </w:r>
          </w:p>
        </w:tc>
      </w:tr>
      <w:tr w:rsidR="00C747AF" w:rsidRPr="00B14AD5" w14:paraId="1C5203AC" w14:textId="77777777" w:rsidTr="00263110">
        <w:trPr>
          <w:trHeight w:val="250"/>
        </w:trPr>
        <w:tc>
          <w:tcPr>
            <w:tcW w:w="2629" w:type="pct"/>
            <w:tcBorders>
              <w:top w:val="nil"/>
              <w:left w:val="single" w:sz="4" w:space="0" w:color="auto"/>
              <w:bottom w:val="single" w:sz="4" w:space="0" w:color="auto"/>
              <w:right w:val="single" w:sz="4" w:space="0" w:color="auto"/>
            </w:tcBorders>
          </w:tcPr>
          <w:p w14:paraId="465F367B" w14:textId="77777777" w:rsidR="00C747AF" w:rsidRPr="00B14AD5" w:rsidRDefault="00C747AF" w:rsidP="00263110">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Tovary a služby (630)</w:t>
            </w:r>
            <w:r w:rsidRPr="00B14AD5">
              <w:rPr>
                <w:rFonts w:ascii="Times New Roman" w:eastAsia="Times New Roman" w:hAnsi="Times New Roman" w:cs="Times New Roman"/>
                <w:sz w:val="20"/>
                <w:szCs w:val="20"/>
                <w:vertAlign w:val="superscript"/>
                <w:lang w:eastAsia="sk-SK"/>
              </w:rPr>
              <w:t>2</w:t>
            </w:r>
          </w:p>
        </w:tc>
        <w:tc>
          <w:tcPr>
            <w:tcW w:w="613" w:type="pct"/>
            <w:tcBorders>
              <w:top w:val="nil"/>
              <w:left w:val="nil"/>
              <w:bottom w:val="single" w:sz="4" w:space="0" w:color="auto"/>
              <w:right w:val="single" w:sz="4" w:space="0" w:color="auto"/>
            </w:tcBorders>
          </w:tcPr>
          <w:p w14:paraId="4DB9F6B5"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Pr>
                <w:rFonts w:ascii="Times New Roman" w:eastAsia="Times New Roman" w:hAnsi="Times New Roman" w:cs="Times New Roman"/>
                <w:sz w:val="20"/>
                <w:szCs w:val="20"/>
                <w:lang w:eastAsia="sk-SK"/>
              </w:rPr>
              <w:t>12 255,00</w:t>
            </w:r>
          </w:p>
        </w:tc>
        <w:tc>
          <w:tcPr>
            <w:tcW w:w="572" w:type="pct"/>
            <w:tcBorders>
              <w:top w:val="nil"/>
              <w:left w:val="nil"/>
              <w:bottom w:val="single" w:sz="4" w:space="0" w:color="auto"/>
              <w:right w:val="single" w:sz="4" w:space="0" w:color="auto"/>
            </w:tcBorders>
            <w:shd w:val="clear" w:color="auto" w:fill="auto"/>
          </w:tcPr>
          <w:p w14:paraId="723A586A"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9 450,00</w:t>
            </w:r>
          </w:p>
        </w:tc>
        <w:tc>
          <w:tcPr>
            <w:tcW w:w="572" w:type="pct"/>
            <w:tcBorders>
              <w:top w:val="nil"/>
              <w:left w:val="nil"/>
              <w:bottom w:val="single" w:sz="4" w:space="0" w:color="auto"/>
              <w:right w:val="single" w:sz="4" w:space="0" w:color="auto"/>
            </w:tcBorders>
            <w:shd w:val="clear" w:color="auto" w:fill="auto"/>
          </w:tcPr>
          <w:p w14:paraId="435ED278" w14:textId="77777777" w:rsidR="00C747AF" w:rsidRPr="00CD5BDA" w:rsidRDefault="00C747AF" w:rsidP="00263110">
            <w:pPr>
              <w:spacing w:after="0" w:line="240" w:lineRule="auto"/>
              <w:jc w:val="center"/>
              <w:rPr>
                <w:rFonts w:ascii="Times New Roman" w:hAnsi="Times New Roman"/>
                <w:sz w:val="20"/>
              </w:rPr>
            </w:pPr>
            <w:r w:rsidRPr="00CD5BDA">
              <w:rPr>
                <w:rFonts w:ascii="Times New Roman" w:eastAsia="Times New Roman" w:hAnsi="Times New Roman" w:cs="Times New Roman"/>
                <w:sz w:val="20"/>
                <w:szCs w:val="20"/>
                <w:lang w:eastAsia="sk-SK"/>
              </w:rPr>
              <w:t>9 450,00</w:t>
            </w:r>
          </w:p>
        </w:tc>
        <w:tc>
          <w:tcPr>
            <w:tcW w:w="614" w:type="pct"/>
            <w:tcBorders>
              <w:top w:val="nil"/>
              <w:left w:val="nil"/>
              <w:bottom w:val="single" w:sz="4" w:space="0" w:color="auto"/>
              <w:right w:val="single" w:sz="4" w:space="0" w:color="auto"/>
            </w:tcBorders>
            <w:noWrap/>
            <w:vAlign w:val="bottom"/>
          </w:tcPr>
          <w:p w14:paraId="27BD1817"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3BA6D00C" w14:textId="77777777" w:rsidTr="00263110">
        <w:trPr>
          <w:trHeight w:val="250"/>
        </w:trPr>
        <w:tc>
          <w:tcPr>
            <w:tcW w:w="2629" w:type="pct"/>
            <w:tcBorders>
              <w:top w:val="nil"/>
              <w:left w:val="single" w:sz="4" w:space="0" w:color="auto"/>
              <w:bottom w:val="single" w:sz="4" w:space="0" w:color="auto"/>
              <w:right w:val="single" w:sz="4" w:space="0" w:color="auto"/>
            </w:tcBorders>
          </w:tcPr>
          <w:p w14:paraId="1163A4BF" w14:textId="77777777" w:rsidR="00C747AF" w:rsidRPr="00B14AD5" w:rsidRDefault="00C747AF" w:rsidP="00263110">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Bežné transfery (640)</w:t>
            </w:r>
            <w:r w:rsidRPr="00B14AD5">
              <w:rPr>
                <w:rFonts w:ascii="Times New Roman" w:eastAsia="Times New Roman" w:hAnsi="Times New Roman" w:cs="Times New Roman"/>
                <w:sz w:val="20"/>
                <w:szCs w:val="20"/>
                <w:vertAlign w:val="superscript"/>
                <w:lang w:eastAsia="sk-SK"/>
              </w:rPr>
              <w:t>2</w:t>
            </w:r>
          </w:p>
        </w:tc>
        <w:tc>
          <w:tcPr>
            <w:tcW w:w="613" w:type="pct"/>
            <w:tcBorders>
              <w:top w:val="nil"/>
              <w:left w:val="nil"/>
              <w:bottom w:val="single" w:sz="4" w:space="0" w:color="auto"/>
              <w:right w:val="single" w:sz="4" w:space="0" w:color="auto"/>
            </w:tcBorders>
          </w:tcPr>
          <w:p w14:paraId="36B3DCE6"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Pr>
                <w:rFonts w:ascii="Times New Roman" w:eastAsia="Times New Roman" w:hAnsi="Times New Roman" w:cs="Times New Roman"/>
                <w:sz w:val="20"/>
                <w:szCs w:val="20"/>
                <w:lang w:eastAsia="sk-SK"/>
              </w:rPr>
              <w:t>7 257,60</w:t>
            </w:r>
          </w:p>
        </w:tc>
        <w:tc>
          <w:tcPr>
            <w:tcW w:w="572" w:type="pct"/>
            <w:tcBorders>
              <w:top w:val="nil"/>
              <w:left w:val="nil"/>
              <w:bottom w:val="single" w:sz="4" w:space="0" w:color="auto"/>
              <w:right w:val="single" w:sz="4" w:space="0" w:color="auto"/>
            </w:tcBorders>
          </w:tcPr>
          <w:p w14:paraId="2D2E2F29" w14:textId="77777777" w:rsidR="00C747AF" w:rsidRPr="00DE7B0C" w:rsidRDefault="00C747AF" w:rsidP="00263110">
            <w:pPr>
              <w:spacing w:after="0" w:line="240" w:lineRule="auto"/>
              <w:jc w:val="center"/>
              <w:rPr>
                <w:rFonts w:ascii="Times New Roman" w:eastAsia="Times New Roman" w:hAnsi="Times New Roman" w:cs="Times New Roman"/>
                <w:sz w:val="20"/>
                <w:szCs w:val="20"/>
                <w:highlight w:val="cyan"/>
                <w:lang w:eastAsia="sk-SK"/>
              </w:rPr>
            </w:pPr>
            <w:r w:rsidRPr="00367B5F">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xml:space="preserve"> </w:t>
            </w:r>
            <w:r w:rsidRPr="00367B5F">
              <w:rPr>
                <w:rFonts w:ascii="Times New Roman" w:eastAsia="Times New Roman" w:hAnsi="Times New Roman" w:cs="Times New Roman"/>
                <w:sz w:val="20"/>
                <w:szCs w:val="20"/>
                <w:lang w:eastAsia="sk-SK"/>
              </w:rPr>
              <w:t>257,60</w:t>
            </w:r>
          </w:p>
        </w:tc>
        <w:tc>
          <w:tcPr>
            <w:tcW w:w="572" w:type="pct"/>
            <w:tcBorders>
              <w:top w:val="nil"/>
              <w:left w:val="nil"/>
              <w:bottom w:val="single" w:sz="4" w:space="0" w:color="auto"/>
              <w:right w:val="single" w:sz="4" w:space="0" w:color="auto"/>
            </w:tcBorders>
          </w:tcPr>
          <w:p w14:paraId="5FD3F5EF" w14:textId="77777777" w:rsidR="00C747AF" w:rsidRPr="00DE7B0C" w:rsidRDefault="00C747AF" w:rsidP="00263110">
            <w:pPr>
              <w:spacing w:after="0" w:line="240" w:lineRule="auto"/>
              <w:jc w:val="center"/>
              <w:rPr>
                <w:rFonts w:ascii="Times New Roman" w:hAnsi="Times New Roman"/>
                <w:sz w:val="20"/>
                <w:highlight w:val="cyan"/>
              </w:rPr>
            </w:pPr>
            <w:r w:rsidRPr="00367B5F">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xml:space="preserve"> </w:t>
            </w:r>
            <w:r w:rsidRPr="00367B5F">
              <w:rPr>
                <w:rFonts w:ascii="Times New Roman" w:eastAsia="Times New Roman" w:hAnsi="Times New Roman" w:cs="Times New Roman"/>
                <w:sz w:val="20"/>
                <w:szCs w:val="20"/>
                <w:lang w:eastAsia="sk-SK"/>
              </w:rPr>
              <w:t>257,60</w:t>
            </w:r>
          </w:p>
        </w:tc>
        <w:tc>
          <w:tcPr>
            <w:tcW w:w="614" w:type="pct"/>
            <w:tcBorders>
              <w:top w:val="nil"/>
              <w:left w:val="nil"/>
              <w:bottom w:val="single" w:sz="4" w:space="0" w:color="auto"/>
              <w:right w:val="single" w:sz="4" w:space="0" w:color="auto"/>
            </w:tcBorders>
            <w:noWrap/>
            <w:vAlign w:val="bottom"/>
          </w:tcPr>
          <w:p w14:paraId="618EBAF2"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r w:rsidRPr="006C089E">
              <w:rPr>
                <w:rFonts w:ascii="Times New Roman" w:eastAsia="Times New Roman" w:hAnsi="Times New Roman" w:cs="Times New Roman"/>
                <w:sz w:val="16"/>
                <w:szCs w:val="16"/>
                <w:lang w:eastAsia="sk-SK"/>
              </w:rPr>
              <w:t xml:space="preserve">*bez </w:t>
            </w:r>
            <w:proofErr w:type="spellStart"/>
            <w:r w:rsidRPr="006C089E">
              <w:rPr>
                <w:rFonts w:ascii="Times New Roman" w:eastAsia="Times New Roman" w:hAnsi="Times New Roman" w:cs="Times New Roman"/>
                <w:sz w:val="16"/>
                <w:szCs w:val="16"/>
                <w:lang w:eastAsia="sk-SK"/>
              </w:rPr>
              <w:t>nem.dávok</w:t>
            </w:r>
            <w:proofErr w:type="spellEnd"/>
            <w:r>
              <w:rPr>
                <w:rFonts w:ascii="Times New Roman" w:eastAsia="Times New Roman" w:hAnsi="Times New Roman" w:cs="Times New Roman"/>
                <w:sz w:val="16"/>
                <w:szCs w:val="16"/>
                <w:lang w:eastAsia="sk-SK"/>
              </w:rPr>
              <w:t xml:space="preserve"> (640)</w:t>
            </w:r>
          </w:p>
        </w:tc>
      </w:tr>
      <w:tr w:rsidR="00C747AF" w:rsidRPr="00B14AD5" w14:paraId="411B84BD" w14:textId="77777777" w:rsidTr="00263110">
        <w:trPr>
          <w:trHeight w:val="250"/>
        </w:trPr>
        <w:tc>
          <w:tcPr>
            <w:tcW w:w="2629" w:type="pct"/>
            <w:tcBorders>
              <w:top w:val="nil"/>
              <w:left w:val="single" w:sz="4" w:space="0" w:color="auto"/>
              <w:bottom w:val="single" w:sz="4" w:space="0" w:color="auto"/>
              <w:right w:val="single" w:sz="4" w:space="0" w:color="auto"/>
            </w:tcBorders>
            <w:vAlign w:val="center"/>
          </w:tcPr>
          <w:p w14:paraId="0988390D" w14:textId="77777777" w:rsidR="00C747AF" w:rsidRPr="00B14AD5" w:rsidRDefault="00C747AF" w:rsidP="00263110">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Splácanie úrokov a ostatné platby súvisiace s </w:t>
            </w:r>
            <w:r w:rsidRPr="00B14AD5">
              <w:t xml:space="preserve"> </w:t>
            </w:r>
            <w:r w:rsidRPr="00B14AD5">
              <w:rPr>
                <w:rFonts w:ascii="Times New Roman" w:eastAsia="Times New Roman" w:hAnsi="Times New Roman" w:cs="Times New Roman"/>
                <w:sz w:val="20"/>
                <w:szCs w:val="20"/>
                <w:lang w:eastAsia="sk-SK"/>
              </w:rPr>
              <w:t>úverom, pôžičkou, návratnou finančnou výpomocou a finančným prenájmom (650)</w:t>
            </w:r>
            <w:r w:rsidRPr="00B14AD5">
              <w:rPr>
                <w:rFonts w:ascii="Times New Roman" w:eastAsia="Times New Roman" w:hAnsi="Times New Roman" w:cs="Times New Roman"/>
                <w:sz w:val="20"/>
                <w:szCs w:val="20"/>
                <w:vertAlign w:val="superscript"/>
                <w:lang w:eastAsia="sk-SK"/>
              </w:rPr>
              <w:t>2</w:t>
            </w:r>
          </w:p>
        </w:tc>
        <w:tc>
          <w:tcPr>
            <w:tcW w:w="613" w:type="pct"/>
            <w:tcBorders>
              <w:top w:val="nil"/>
              <w:left w:val="nil"/>
              <w:bottom w:val="single" w:sz="4" w:space="0" w:color="auto"/>
              <w:right w:val="single" w:sz="4" w:space="0" w:color="auto"/>
            </w:tcBorders>
          </w:tcPr>
          <w:p w14:paraId="4A014F49" w14:textId="77777777" w:rsidR="00C747AF" w:rsidRPr="00B14AD5" w:rsidRDefault="00C747AF" w:rsidP="0026311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2F4B79C3" w14:textId="77777777" w:rsidR="00C747AF" w:rsidRPr="00B14AD5" w:rsidRDefault="00C747AF" w:rsidP="0026311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7D8B0A4C"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614" w:type="pct"/>
            <w:tcBorders>
              <w:top w:val="nil"/>
              <w:left w:val="nil"/>
              <w:bottom w:val="single" w:sz="4" w:space="0" w:color="auto"/>
              <w:right w:val="single" w:sz="4" w:space="0" w:color="auto"/>
            </w:tcBorders>
            <w:noWrap/>
            <w:vAlign w:val="bottom"/>
          </w:tcPr>
          <w:p w14:paraId="5A170B5B"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r w:rsidR="00C747AF" w:rsidRPr="00B14AD5" w14:paraId="41ADD59B" w14:textId="77777777" w:rsidTr="00263110">
        <w:trPr>
          <w:trHeight w:val="250"/>
        </w:trPr>
        <w:tc>
          <w:tcPr>
            <w:tcW w:w="2629" w:type="pct"/>
            <w:tcBorders>
              <w:top w:val="nil"/>
              <w:left w:val="single" w:sz="4" w:space="0" w:color="auto"/>
              <w:bottom w:val="single" w:sz="4" w:space="0" w:color="auto"/>
              <w:right w:val="single" w:sz="4" w:space="0" w:color="auto"/>
            </w:tcBorders>
          </w:tcPr>
          <w:p w14:paraId="57C028F7" w14:textId="77777777" w:rsidR="00C747AF" w:rsidRPr="00B14AD5" w:rsidRDefault="00C747AF" w:rsidP="00263110">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Kapitálové výdavky (700)</w:t>
            </w:r>
          </w:p>
        </w:tc>
        <w:tc>
          <w:tcPr>
            <w:tcW w:w="613" w:type="pct"/>
            <w:tcBorders>
              <w:top w:val="nil"/>
              <w:left w:val="nil"/>
              <w:bottom w:val="single" w:sz="4" w:space="0" w:color="auto"/>
              <w:right w:val="single" w:sz="4" w:space="0" w:color="auto"/>
            </w:tcBorders>
          </w:tcPr>
          <w:p w14:paraId="01F07190" w14:textId="77777777" w:rsidR="00C747AF" w:rsidRPr="00CD5BDA" w:rsidRDefault="00C747AF" w:rsidP="00263110">
            <w:pPr>
              <w:spacing w:after="0" w:line="240" w:lineRule="auto"/>
              <w:jc w:val="center"/>
              <w:rPr>
                <w:rFonts w:ascii="Times New Roman" w:eastAsia="Times New Roman" w:hAnsi="Times New Roman" w:cs="Times New Roman"/>
                <w:b/>
                <w:bCs/>
                <w:sz w:val="20"/>
                <w:szCs w:val="20"/>
                <w:lang w:eastAsia="sk-SK"/>
              </w:rPr>
            </w:pPr>
            <w:r w:rsidRPr="00CD5BDA">
              <w:rPr>
                <w:rFonts w:ascii="Times New Roman" w:eastAsia="Times New Roman" w:hAnsi="Times New Roman" w:cs="Times New Roman"/>
                <w:b/>
                <w:bCs/>
                <w:sz w:val="20"/>
                <w:szCs w:val="20"/>
                <w:lang w:eastAsia="sk-SK"/>
              </w:rPr>
              <w:t>0,00</w:t>
            </w:r>
          </w:p>
        </w:tc>
        <w:tc>
          <w:tcPr>
            <w:tcW w:w="572" w:type="pct"/>
            <w:tcBorders>
              <w:top w:val="nil"/>
              <w:left w:val="nil"/>
              <w:bottom w:val="single" w:sz="4" w:space="0" w:color="auto"/>
              <w:right w:val="single" w:sz="4" w:space="0" w:color="auto"/>
            </w:tcBorders>
          </w:tcPr>
          <w:p w14:paraId="00414F06" w14:textId="77777777" w:rsidR="00C747AF" w:rsidRPr="00CD5BDA" w:rsidRDefault="00C747AF" w:rsidP="00263110">
            <w:pPr>
              <w:spacing w:after="0" w:line="240" w:lineRule="auto"/>
              <w:jc w:val="center"/>
              <w:rPr>
                <w:rFonts w:ascii="Times New Roman" w:eastAsia="Times New Roman" w:hAnsi="Times New Roman" w:cs="Times New Roman"/>
                <w:b/>
                <w:bCs/>
                <w:sz w:val="20"/>
                <w:szCs w:val="20"/>
                <w:lang w:eastAsia="sk-SK"/>
              </w:rPr>
            </w:pPr>
            <w:r w:rsidRPr="00CD5BDA">
              <w:rPr>
                <w:rFonts w:ascii="Times New Roman" w:eastAsia="Times New Roman" w:hAnsi="Times New Roman" w:cs="Times New Roman"/>
                <w:b/>
                <w:bCs/>
                <w:sz w:val="20"/>
                <w:szCs w:val="20"/>
                <w:lang w:eastAsia="sk-SK"/>
              </w:rPr>
              <w:t>0,00</w:t>
            </w:r>
          </w:p>
        </w:tc>
        <w:tc>
          <w:tcPr>
            <w:tcW w:w="572" w:type="pct"/>
            <w:tcBorders>
              <w:top w:val="nil"/>
              <w:left w:val="nil"/>
              <w:bottom w:val="single" w:sz="4" w:space="0" w:color="auto"/>
              <w:right w:val="single" w:sz="4" w:space="0" w:color="auto"/>
            </w:tcBorders>
          </w:tcPr>
          <w:p w14:paraId="64814503" w14:textId="77777777" w:rsidR="00C747AF" w:rsidRPr="00CD5BDA" w:rsidRDefault="00C747AF" w:rsidP="00263110">
            <w:pPr>
              <w:spacing w:after="0" w:line="240" w:lineRule="auto"/>
              <w:jc w:val="center"/>
              <w:rPr>
                <w:rFonts w:ascii="Times New Roman" w:eastAsia="Times New Roman" w:hAnsi="Times New Roman" w:cs="Times New Roman"/>
                <w:b/>
                <w:bCs/>
                <w:sz w:val="20"/>
                <w:szCs w:val="20"/>
                <w:lang w:eastAsia="sk-SK"/>
              </w:rPr>
            </w:pPr>
            <w:r w:rsidRPr="00CD5BDA">
              <w:rPr>
                <w:rFonts w:ascii="Times New Roman" w:eastAsia="Times New Roman" w:hAnsi="Times New Roman" w:cs="Times New Roman"/>
                <w:b/>
                <w:bCs/>
                <w:sz w:val="20"/>
                <w:szCs w:val="20"/>
                <w:lang w:eastAsia="sk-SK"/>
              </w:rPr>
              <w:t>0,00</w:t>
            </w:r>
          </w:p>
        </w:tc>
        <w:tc>
          <w:tcPr>
            <w:tcW w:w="614" w:type="pct"/>
            <w:tcBorders>
              <w:top w:val="nil"/>
              <w:left w:val="nil"/>
              <w:bottom w:val="single" w:sz="4" w:space="0" w:color="auto"/>
              <w:right w:val="single" w:sz="4" w:space="0" w:color="auto"/>
            </w:tcBorders>
            <w:noWrap/>
            <w:vAlign w:val="bottom"/>
          </w:tcPr>
          <w:p w14:paraId="4E417EE4"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0B235980" w14:textId="77777777" w:rsidTr="00263110">
        <w:trPr>
          <w:trHeight w:val="250"/>
        </w:trPr>
        <w:tc>
          <w:tcPr>
            <w:tcW w:w="2629" w:type="pct"/>
            <w:tcBorders>
              <w:top w:val="nil"/>
              <w:left w:val="single" w:sz="4" w:space="0" w:color="auto"/>
              <w:bottom w:val="single" w:sz="4" w:space="0" w:color="auto"/>
              <w:right w:val="single" w:sz="4" w:space="0" w:color="auto"/>
            </w:tcBorders>
          </w:tcPr>
          <w:p w14:paraId="44E880E9" w14:textId="77777777" w:rsidR="00C747AF" w:rsidRPr="00B14AD5" w:rsidRDefault="00C747AF" w:rsidP="00263110">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Obstarávanie kapitálových aktív (710)</w:t>
            </w:r>
            <w:r w:rsidRPr="00B14AD5">
              <w:rPr>
                <w:rFonts w:ascii="Times New Roman" w:eastAsia="Times New Roman" w:hAnsi="Times New Roman" w:cs="Times New Roman"/>
                <w:sz w:val="20"/>
                <w:szCs w:val="20"/>
                <w:vertAlign w:val="superscript"/>
                <w:lang w:eastAsia="sk-SK"/>
              </w:rPr>
              <w:t>2</w:t>
            </w:r>
          </w:p>
        </w:tc>
        <w:tc>
          <w:tcPr>
            <w:tcW w:w="613" w:type="pct"/>
            <w:tcBorders>
              <w:top w:val="nil"/>
              <w:left w:val="nil"/>
              <w:bottom w:val="single" w:sz="4" w:space="0" w:color="auto"/>
              <w:right w:val="single" w:sz="4" w:space="0" w:color="auto"/>
            </w:tcBorders>
          </w:tcPr>
          <w:p w14:paraId="26A6502D"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555E868B"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265C652E"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614" w:type="pct"/>
            <w:tcBorders>
              <w:top w:val="nil"/>
              <w:left w:val="nil"/>
              <w:bottom w:val="single" w:sz="4" w:space="0" w:color="auto"/>
              <w:right w:val="single" w:sz="4" w:space="0" w:color="auto"/>
            </w:tcBorders>
            <w:noWrap/>
            <w:vAlign w:val="bottom"/>
          </w:tcPr>
          <w:p w14:paraId="41A251A7"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3AC152A8" w14:textId="77777777" w:rsidTr="00263110">
        <w:trPr>
          <w:trHeight w:val="250"/>
        </w:trPr>
        <w:tc>
          <w:tcPr>
            <w:tcW w:w="2629" w:type="pct"/>
            <w:tcBorders>
              <w:top w:val="nil"/>
              <w:left w:val="single" w:sz="4" w:space="0" w:color="auto"/>
              <w:bottom w:val="single" w:sz="4" w:space="0" w:color="auto"/>
              <w:right w:val="single" w:sz="4" w:space="0" w:color="auto"/>
            </w:tcBorders>
          </w:tcPr>
          <w:p w14:paraId="662D3134" w14:textId="77777777" w:rsidR="00C747AF" w:rsidRPr="00B14AD5" w:rsidRDefault="00C747AF" w:rsidP="00263110">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Kapitálové transfery (720)</w:t>
            </w:r>
            <w:r w:rsidRPr="00B14AD5">
              <w:rPr>
                <w:rFonts w:ascii="Times New Roman" w:eastAsia="Times New Roman" w:hAnsi="Times New Roman" w:cs="Times New Roman"/>
                <w:sz w:val="20"/>
                <w:szCs w:val="20"/>
                <w:vertAlign w:val="superscript"/>
                <w:lang w:eastAsia="sk-SK"/>
              </w:rPr>
              <w:t>2</w:t>
            </w:r>
          </w:p>
        </w:tc>
        <w:tc>
          <w:tcPr>
            <w:tcW w:w="613" w:type="pct"/>
            <w:tcBorders>
              <w:top w:val="nil"/>
              <w:left w:val="nil"/>
              <w:bottom w:val="single" w:sz="4" w:space="0" w:color="auto"/>
              <w:right w:val="single" w:sz="4" w:space="0" w:color="auto"/>
            </w:tcBorders>
          </w:tcPr>
          <w:p w14:paraId="6EC59073"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2C436F95"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572" w:type="pct"/>
            <w:tcBorders>
              <w:top w:val="nil"/>
              <w:left w:val="nil"/>
              <w:bottom w:val="single" w:sz="4" w:space="0" w:color="auto"/>
              <w:right w:val="single" w:sz="4" w:space="0" w:color="auto"/>
            </w:tcBorders>
          </w:tcPr>
          <w:p w14:paraId="321C7EDF" w14:textId="77777777" w:rsidR="00C747AF" w:rsidRPr="00CD5BDA" w:rsidRDefault="00C747AF" w:rsidP="00263110">
            <w:pPr>
              <w:spacing w:after="0" w:line="240" w:lineRule="auto"/>
              <w:jc w:val="center"/>
              <w:rPr>
                <w:rFonts w:ascii="Times New Roman" w:eastAsia="Times New Roman" w:hAnsi="Times New Roman" w:cs="Times New Roman"/>
                <w:sz w:val="20"/>
                <w:szCs w:val="20"/>
                <w:lang w:eastAsia="sk-SK"/>
              </w:rPr>
            </w:pPr>
            <w:r w:rsidRPr="00CD5BDA">
              <w:rPr>
                <w:rFonts w:ascii="Times New Roman" w:eastAsia="Times New Roman" w:hAnsi="Times New Roman" w:cs="Times New Roman"/>
                <w:sz w:val="20"/>
                <w:szCs w:val="20"/>
                <w:lang w:eastAsia="sk-SK"/>
              </w:rPr>
              <w:t>0</w:t>
            </w:r>
          </w:p>
        </w:tc>
        <w:tc>
          <w:tcPr>
            <w:tcW w:w="614" w:type="pct"/>
            <w:tcBorders>
              <w:top w:val="nil"/>
              <w:left w:val="nil"/>
              <w:bottom w:val="single" w:sz="4" w:space="0" w:color="auto"/>
              <w:right w:val="single" w:sz="4" w:space="0" w:color="auto"/>
            </w:tcBorders>
            <w:noWrap/>
            <w:vAlign w:val="bottom"/>
          </w:tcPr>
          <w:p w14:paraId="0A3BFF64"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32D7FE0E" w14:textId="77777777" w:rsidTr="00263110">
        <w:trPr>
          <w:trHeight w:val="250"/>
        </w:trPr>
        <w:tc>
          <w:tcPr>
            <w:tcW w:w="2629" w:type="pct"/>
            <w:tcBorders>
              <w:top w:val="nil"/>
              <w:left w:val="single" w:sz="4" w:space="0" w:color="auto"/>
              <w:bottom w:val="single" w:sz="4" w:space="0" w:color="auto"/>
              <w:right w:val="single" w:sz="4" w:space="0" w:color="auto"/>
            </w:tcBorders>
          </w:tcPr>
          <w:p w14:paraId="258CBAC5" w14:textId="77777777" w:rsidR="00C747AF" w:rsidRPr="00B14AD5" w:rsidRDefault="00C747AF" w:rsidP="00263110">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z transakcií s finančnými aktívami a finančnými pasívami (800)</w:t>
            </w:r>
          </w:p>
        </w:tc>
        <w:tc>
          <w:tcPr>
            <w:tcW w:w="613" w:type="pct"/>
            <w:tcBorders>
              <w:top w:val="nil"/>
              <w:left w:val="nil"/>
              <w:bottom w:val="single" w:sz="4" w:space="0" w:color="auto"/>
              <w:right w:val="single" w:sz="4" w:space="0" w:color="auto"/>
            </w:tcBorders>
            <w:shd w:val="clear" w:color="auto" w:fill="FFFF99"/>
          </w:tcPr>
          <w:p w14:paraId="22E5D2D6"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 </w:t>
            </w:r>
          </w:p>
        </w:tc>
        <w:tc>
          <w:tcPr>
            <w:tcW w:w="572" w:type="pct"/>
            <w:tcBorders>
              <w:top w:val="nil"/>
              <w:left w:val="nil"/>
              <w:bottom w:val="single" w:sz="4" w:space="0" w:color="auto"/>
              <w:right w:val="single" w:sz="4" w:space="0" w:color="auto"/>
            </w:tcBorders>
            <w:shd w:val="clear" w:color="auto" w:fill="FFFF99"/>
          </w:tcPr>
          <w:p w14:paraId="65D62937" w14:textId="77777777" w:rsidR="00C747AF" w:rsidRPr="00B14AD5" w:rsidRDefault="00C747AF" w:rsidP="00263110">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 </w:t>
            </w:r>
          </w:p>
        </w:tc>
        <w:tc>
          <w:tcPr>
            <w:tcW w:w="572" w:type="pct"/>
            <w:tcBorders>
              <w:top w:val="nil"/>
              <w:left w:val="nil"/>
              <w:bottom w:val="single" w:sz="4" w:space="0" w:color="auto"/>
              <w:right w:val="single" w:sz="4" w:space="0" w:color="auto"/>
            </w:tcBorders>
            <w:shd w:val="clear" w:color="auto" w:fill="FFFF99"/>
          </w:tcPr>
          <w:p w14:paraId="63F81C23"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614" w:type="pct"/>
            <w:tcBorders>
              <w:top w:val="nil"/>
              <w:left w:val="nil"/>
              <w:bottom w:val="single" w:sz="4" w:space="0" w:color="auto"/>
              <w:right w:val="single" w:sz="4" w:space="0" w:color="auto"/>
            </w:tcBorders>
            <w:noWrap/>
            <w:vAlign w:val="bottom"/>
          </w:tcPr>
          <w:p w14:paraId="405C5FE7"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25032BFD" w14:textId="77777777" w:rsidTr="00263110">
        <w:trPr>
          <w:trHeight w:val="250"/>
        </w:trPr>
        <w:tc>
          <w:tcPr>
            <w:tcW w:w="26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3076" w14:textId="77777777" w:rsidR="00C747AF" w:rsidRPr="00B14AD5" w:rsidRDefault="00C747AF" w:rsidP="00263110">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Dopad na výdavky verejnej správy celkom</w:t>
            </w:r>
          </w:p>
        </w:tc>
        <w:tc>
          <w:tcPr>
            <w:tcW w:w="613" w:type="pct"/>
            <w:tcBorders>
              <w:top w:val="single" w:sz="4" w:space="0" w:color="auto"/>
              <w:left w:val="nil"/>
              <w:bottom w:val="single" w:sz="4" w:space="0" w:color="auto"/>
              <w:right w:val="single" w:sz="4" w:space="0" w:color="auto"/>
            </w:tcBorders>
            <w:shd w:val="clear" w:color="auto" w:fill="BFBFBF" w:themeFill="background1" w:themeFillShade="BF"/>
          </w:tcPr>
          <w:p w14:paraId="0A61DC63" w14:textId="77777777" w:rsidR="00C747AF" w:rsidRPr="00367B5F" w:rsidRDefault="00C747AF" w:rsidP="00263110">
            <w:pPr>
              <w:spacing w:after="0" w:line="240" w:lineRule="auto"/>
              <w:jc w:val="center"/>
              <w:rPr>
                <w:rFonts w:ascii="Times New Roman" w:eastAsia="Times New Roman" w:hAnsi="Times New Roman" w:cs="Times New Roman"/>
                <w:b/>
                <w:sz w:val="20"/>
                <w:szCs w:val="20"/>
                <w:lang w:eastAsia="sk-SK"/>
              </w:rPr>
            </w:pPr>
            <w:r>
              <w:rPr>
                <w:rFonts w:ascii="Times New Roman" w:hAnsi="Times New Roman" w:cs="Times New Roman"/>
                <w:b/>
                <w:sz w:val="20"/>
                <w:szCs w:val="20"/>
              </w:rPr>
              <w:t>122 74</w:t>
            </w:r>
            <w:r w:rsidRPr="00367B5F">
              <w:rPr>
                <w:rFonts w:ascii="Times New Roman" w:hAnsi="Times New Roman" w:cs="Times New Roman"/>
                <w:b/>
                <w:sz w:val="20"/>
                <w:szCs w:val="20"/>
              </w:rPr>
              <w:t>9,35</w:t>
            </w:r>
          </w:p>
        </w:tc>
        <w:tc>
          <w:tcPr>
            <w:tcW w:w="572" w:type="pct"/>
            <w:tcBorders>
              <w:top w:val="single" w:sz="4" w:space="0" w:color="auto"/>
              <w:left w:val="nil"/>
              <w:bottom w:val="single" w:sz="4" w:space="0" w:color="auto"/>
              <w:right w:val="single" w:sz="4" w:space="0" w:color="auto"/>
            </w:tcBorders>
            <w:shd w:val="clear" w:color="auto" w:fill="BFBFBF" w:themeFill="background1" w:themeFillShade="BF"/>
          </w:tcPr>
          <w:p w14:paraId="67507A4F" w14:textId="77777777" w:rsidR="00C747AF" w:rsidRPr="00367B5F" w:rsidRDefault="00C747AF" w:rsidP="00263110">
            <w:pPr>
              <w:spacing w:after="0" w:line="240" w:lineRule="auto"/>
              <w:jc w:val="center"/>
              <w:rPr>
                <w:rFonts w:ascii="Times New Roman" w:eastAsia="Times New Roman" w:hAnsi="Times New Roman" w:cs="Times New Roman"/>
                <w:b/>
                <w:sz w:val="20"/>
                <w:szCs w:val="20"/>
                <w:lang w:eastAsia="sk-SK"/>
              </w:rPr>
            </w:pPr>
            <w:r w:rsidRPr="00367B5F">
              <w:rPr>
                <w:rFonts w:ascii="Times New Roman" w:hAnsi="Times New Roman" w:cs="Times New Roman"/>
                <w:b/>
                <w:sz w:val="20"/>
                <w:szCs w:val="20"/>
              </w:rPr>
              <w:t>119 944,35</w:t>
            </w:r>
          </w:p>
        </w:tc>
        <w:tc>
          <w:tcPr>
            <w:tcW w:w="572" w:type="pct"/>
            <w:tcBorders>
              <w:top w:val="single" w:sz="4" w:space="0" w:color="auto"/>
              <w:left w:val="nil"/>
              <w:bottom w:val="single" w:sz="4" w:space="0" w:color="auto"/>
              <w:right w:val="single" w:sz="4" w:space="0" w:color="auto"/>
            </w:tcBorders>
            <w:shd w:val="clear" w:color="auto" w:fill="BFBFBF" w:themeFill="background1" w:themeFillShade="BF"/>
          </w:tcPr>
          <w:p w14:paraId="15711952" w14:textId="77777777" w:rsidR="00C747AF" w:rsidRPr="00367B5F" w:rsidRDefault="00C747AF" w:rsidP="00263110">
            <w:pPr>
              <w:spacing w:after="0" w:line="240" w:lineRule="auto"/>
              <w:jc w:val="center"/>
              <w:rPr>
                <w:rFonts w:ascii="Times New Roman" w:eastAsia="Times New Roman" w:hAnsi="Times New Roman" w:cs="Times New Roman"/>
                <w:b/>
                <w:sz w:val="20"/>
                <w:szCs w:val="20"/>
                <w:lang w:eastAsia="sk-SK"/>
              </w:rPr>
            </w:pPr>
            <w:r w:rsidRPr="00367B5F">
              <w:rPr>
                <w:rFonts w:ascii="Times New Roman" w:hAnsi="Times New Roman" w:cs="Times New Roman"/>
                <w:b/>
                <w:sz w:val="20"/>
                <w:szCs w:val="20"/>
              </w:rPr>
              <w:t>119 944,35</w:t>
            </w:r>
          </w:p>
        </w:tc>
        <w:tc>
          <w:tcPr>
            <w:tcW w:w="614"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EE5127E"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bl>
    <w:p w14:paraId="05BB55F1"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EDCA788"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2141A51"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084296D5"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7DA1112A"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271C6368"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071E5D09"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32E3C3FD"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66E290B5"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1CD65AC1"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66646046"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33CE462E"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0B672A02"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0FC3334B"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4E93904C" w14:textId="77777777" w:rsidR="00C747AF" w:rsidRPr="00367B5F" w:rsidRDefault="00C747AF" w:rsidP="00C747AF">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0E139B77" w14:textId="77777777" w:rsidR="00C747AF" w:rsidRDefault="00C747AF" w:rsidP="00C747AF">
      <w:pPr>
        <w:tabs>
          <w:tab w:val="num" w:pos="1080"/>
        </w:tabs>
        <w:spacing w:after="0" w:line="240" w:lineRule="auto"/>
        <w:ind w:left="-900"/>
        <w:jc w:val="both"/>
        <w:rPr>
          <w:rFonts w:ascii="Times New Roman" w:eastAsia="Times New Roman" w:hAnsi="Times New Roman" w:cs="Times New Roman"/>
          <w:b/>
          <w:bCs/>
          <w:sz w:val="24"/>
          <w:szCs w:val="20"/>
          <w:lang w:eastAsia="sk-SK"/>
        </w:rPr>
      </w:pPr>
    </w:p>
    <w:p w14:paraId="213FCE44"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4"/>
          <w:szCs w:val="20"/>
          <w:lang w:eastAsia="sk-SK"/>
        </w:rPr>
        <w:t>Poznámka:</w:t>
      </w:r>
    </w:p>
    <w:p w14:paraId="27D8DCB9"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5986CC3"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3916097"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B333BF8"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790A55B"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3249577"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D869E05"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068EA9B"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3FCFD0B"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B848CCD"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71A6D6A"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BE4464A"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F6942FF"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3C20BC"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C07595"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F6BB231"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19FCC34" w14:textId="77777777" w:rsidR="00C747AF" w:rsidRPr="00B14AD5" w:rsidRDefault="00C747AF" w:rsidP="00C747AF">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69CEE3" w14:textId="77777777" w:rsidR="00C747AF" w:rsidRPr="00B14AD5" w:rsidRDefault="00C747AF" w:rsidP="00C747AF">
      <w:pPr>
        <w:tabs>
          <w:tab w:val="num" w:pos="1080"/>
        </w:tabs>
        <w:spacing w:after="0" w:line="240" w:lineRule="auto"/>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t xml:space="preserve">                 Tabuľka č. 5 </w:t>
      </w:r>
    </w:p>
    <w:p w14:paraId="4832DF2A" w14:textId="77777777" w:rsidR="00C747AF" w:rsidRPr="00B14AD5" w:rsidRDefault="00C747AF" w:rsidP="00C747AF">
      <w:pPr>
        <w:tabs>
          <w:tab w:val="num" w:pos="1080"/>
        </w:tabs>
        <w:spacing w:after="0" w:line="240" w:lineRule="auto"/>
        <w:jc w:val="both"/>
        <w:rPr>
          <w:rFonts w:ascii="Times New Roman" w:eastAsia="Times New Roman" w:hAnsi="Times New Roman" w:cs="Times New Roman"/>
          <w:bCs/>
          <w:sz w:val="24"/>
          <w:szCs w:val="20"/>
          <w:lang w:eastAsia="sk-SK"/>
        </w:rPr>
      </w:pPr>
    </w:p>
    <w:tbl>
      <w:tblPr>
        <w:tblW w:w="5000" w:type="pct"/>
        <w:tblLayout w:type="fixed"/>
        <w:tblCellMar>
          <w:left w:w="70" w:type="dxa"/>
          <w:right w:w="70" w:type="dxa"/>
        </w:tblCellMar>
        <w:tblLook w:val="0000" w:firstRow="0" w:lastRow="0" w:firstColumn="0" w:lastColumn="0" w:noHBand="0" w:noVBand="0"/>
      </w:tblPr>
      <w:tblGrid>
        <w:gridCol w:w="5727"/>
        <w:gridCol w:w="1665"/>
        <w:gridCol w:w="213"/>
        <w:gridCol w:w="1666"/>
        <w:gridCol w:w="297"/>
        <w:gridCol w:w="613"/>
        <w:gridCol w:w="1058"/>
        <w:gridCol w:w="255"/>
        <w:gridCol w:w="2158"/>
        <w:gridCol w:w="160"/>
        <w:gridCol w:w="185"/>
      </w:tblGrid>
      <w:tr w:rsidR="00C747AF" w:rsidRPr="00B14AD5" w14:paraId="6D1B4EFF" w14:textId="77777777" w:rsidTr="00263110">
        <w:trPr>
          <w:gridAfter w:val="2"/>
          <w:wAfter w:w="123" w:type="pct"/>
          <w:cantSplit/>
          <w:trHeight w:val="255"/>
        </w:trPr>
        <w:tc>
          <w:tcPr>
            <w:tcW w:w="20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81C1B"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Zamestnanosť</w:t>
            </w:r>
          </w:p>
        </w:tc>
        <w:tc>
          <w:tcPr>
            <w:tcW w:w="2831" w:type="pct"/>
            <w:gridSpan w:val="8"/>
            <w:tcBorders>
              <w:top w:val="single" w:sz="4" w:space="0" w:color="auto"/>
              <w:left w:val="nil"/>
              <w:bottom w:val="single" w:sz="4" w:space="0" w:color="auto"/>
            </w:tcBorders>
            <w:shd w:val="clear" w:color="auto" w:fill="BFBFBF" w:themeFill="background1" w:themeFillShade="BF"/>
          </w:tcPr>
          <w:p w14:paraId="664B2D72"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r>
      <w:tr w:rsidR="00C747AF" w:rsidRPr="00B14AD5" w14:paraId="1942747F" w14:textId="77777777" w:rsidTr="00263110">
        <w:trPr>
          <w:gridAfter w:val="2"/>
          <w:wAfter w:w="123" w:type="pct"/>
          <w:cantSplit/>
          <w:trHeight w:val="255"/>
        </w:trPr>
        <w:tc>
          <w:tcPr>
            <w:tcW w:w="204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B26BA5"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p>
        </w:tc>
        <w:tc>
          <w:tcPr>
            <w:tcW w:w="671" w:type="pct"/>
            <w:gridSpan w:val="2"/>
            <w:tcBorders>
              <w:top w:val="nil"/>
              <w:left w:val="nil"/>
              <w:bottom w:val="single" w:sz="4" w:space="0" w:color="auto"/>
              <w:right w:val="single" w:sz="4" w:space="0" w:color="auto"/>
            </w:tcBorders>
            <w:shd w:val="clear" w:color="auto" w:fill="BFBFBF" w:themeFill="background1" w:themeFillShade="BF"/>
          </w:tcPr>
          <w:p w14:paraId="16D87F12"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701" w:type="pct"/>
            <w:gridSpan w:val="2"/>
            <w:tcBorders>
              <w:top w:val="nil"/>
              <w:left w:val="nil"/>
              <w:bottom w:val="single" w:sz="4" w:space="0" w:color="auto"/>
              <w:right w:val="single" w:sz="4" w:space="0" w:color="auto"/>
            </w:tcBorders>
            <w:shd w:val="clear" w:color="auto" w:fill="BFBFBF" w:themeFill="background1" w:themeFillShade="BF"/>
          </w:tcPr>
          <w:p w14:paraId="0A8F9F1F"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597" w:type="pct"/>
            <w:gridSpan w:val="2"/>
            <w:tcBorders>
              <w:top w:val="nil"/>
              <w:left w:val="nil"/>
              <w:bottom w:val="single" w:sz="4" w:space="0" w:color="auto"/>
              <w:right w:val="single" w:sz="4" w:space="0" w:color="auto"/>
            </w:tcBorders>
            <w:shd w:val="clear" w:color="auto" w:fill="BFBFBF" w:themeFill="background1" w:themeFillShade="BF"/>
          </w:tcPr>
          <w:p w14:paraId="42D829F9"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86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CF1AC2"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poznámka</w:t>
            </w:r>
          </w:p>
        </w:tc>
      </w:tr>
      <w:tr w:rsidR="00C747AF" w:rsidRPr="00B14AD5" w14:paraId="34697EC8"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257BF4E5"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Počet zamestnancov celkom</w:t>
            </w:r>
          </w:p>
        </w:tc>
        <w:tc>
          <w:tcPr>
            <w:tcW w:w="671" w:type="pct"/>
            <w:gridSpan w:val="2"/>
            <w:tcBorders>
              <w:top w:val="nil"/>
              <w:left w:val="nil"/>
              <w:bottom w:val="single" w:sz="4" w:space="0" w:color="auto"/>
              <w:right w:val="single" w:sz="4" w:space="0" w:color="auto"/>
            </w:tcBorders>
          </w:tcPr>
          <w:p w14:paraId="1F6EB6FB"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701" w:type="pct"/>
            <w:gridSpan w:val="2"/>
            <w:tcBorders>
              <w:top w:val="nil"/>
              <w:left w:val="nil"/>
              <w:bottom w:val="single" w:sz="4" w:space="0" w:color="auto"/>
              <w:right w:val="single" w:sz="4" w:space="0" w:color="auto"/>
            </w:tcBorders>
          </w:tcPr>
          <w:p w14:paraId="756E8117"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597" w:type="pct"/>
            <w:gridSpan w:val="2"/>
            <w:tcBorders>
              <w:top w:val="nil"/>
              <w:left w:val="nil"/>
              <w:bottom w:val="single" w:sz="4" w:space="0" w:color="auto"/>
              <w:right w:val="single" w:sz="4" w:space="0" w:color="auto"/>
            </w:tcBorders>
          </w:tcPr>
          <w:p w14:paraId="2B5B3B41"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862" w:type="pct"/>
            <w:gridSpan w:val="2"/>
            <w:tcBorders>
              <w:top w:val="nil"/>
              <w:left w:val="nil"/>
              <w:bottom w:val="single" w:sz="4" w:space="0" w:color="auto"/>
              <w:right w:val="single" w:sz="4" w:space="0" w:color="auto"/>
            </w:tcBorders>
            <w:noWrap/>
            <w:vAlign w:val="bottom"/>
          </w:tcPr>
          <w:p w14:paraId="65FCF5AB"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6CF83225"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4E319A71"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671" w:type="pct"/>
            <w:gridSpan w:val="2"/>
            <w:tcBorders>
              <w:top w:val="single" w:sz="4" w:space="0" w:color="auto"/>
              <w:left w:val="nil"/>
              <w:bottom w:val="single" w:sz="4" w:space="0" w:color="auto"/>
              <w:right w:val="single" w:sz="4" w:space="0" w:color="auto"/>
            </w:tcBorders>
          </w:tcPr>
          <w:p w14:paraId="5FFECE72"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701" w:type="pct"/>
            <w:gridSpan w:val="2"/>
            <w:tcBorders>
              <w:top w:val="single" w:sz="4" w:space="0" w:color="auto"/>
              <w:left w:val="nil"/>
              <w:bottom w:val="single" w:sz="4" w:space="0" w:color="auto"/>
              <w:right w:val="single" w:sz="4" w:space="0" w:color="auto"/>
            </w:tcBorders>
          </w:tcPr>
          <w:p w14:paraId="4D42CCBF"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597" w:type="pct"/>
            <w:gridSpan w:val="2"/>
            <w:tcBorders>
              <w:top w:val="single" w:sz="4" w:space="0" w:color="auto"/>
              <w:left w:val="nil"/>
              <w:bottom w:val="single" w:sz="4" w:space="0" w:color="auto"/>
              <w:right w:val="single" w:sz="4" w:space="0" w:color="auto"/>
            </w:tcBorders>
          </w:tcPr>
          <w:p w14:paraId="16B5935B"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862" w:type="pct"/>
            <w:gridSpan w:val="2"/>
            <w:tcBorders>
              <w:top w:val="nil"/>
              <w:left w:val="nil"/>
              <w:bottom w:val="single" w:sz="4" w:space="0" w:color="auto"/>
              <w:right w:val="single" w:sz="4" w:space="0" w:color="auto"/>
            </w:tcBorders>
            <w:noWrap/>
            <w:vAlign w:val="bottom"/>
          </w:tcPr>
          <w:p w14:paraId="4EE2C6FA"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r w:rsidR="00C747AF" w:rsidRPr="00B14AD5" w14:paraId="78DEF452"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08A8A0AB"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Priemerný mzdový výdavok (v eurách)</w:t>
            </w:r>
          </w:p>
        </w:tc>
        <w:tc>
          <w:tcPr>
            <w:tcW w:w="671" w:type="pct"/>
            <w:gridSpan w:val="2"/>
            <w:tcBorders>
              <w:top w:val="single" w:sz="4" w:space="0" w:color="auto"/>
              <w:left w:val="nil"/>
              <w:bottom w:val="single" w:sz="4" w:space="0" w:color="auto"/>
              <w:right w:val="single" w:sz="4" w:space="0" w:color="auto"/>
            </w:tcBorders>
          </w:tcPr>
          <w:p w14:paraId="482870E6"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2 125,00</w:t>
            </w:r>
          </w:p>
        </w:tc>
        <w:tc>
          <w:tcPr>
            <w:tcW w:w="701" w:type="pct"/>
            <w:gridSpan w:val="2"/>
            <w:tcBorders>
              <w:top w:val="single" w:sz="4" w:space="0" w:color="auto"/>
              <w:left w:val="nil"/>
              <w:bottom w:val="single" w:sz="4" w:space="0" w:color="auto"/>
              <w:right w:val="single" w:sz="4" w:space="0" w:color="auto"/>
            </w:tcBorders>
          </w:tcPr>
          <w:p w14:paraId="52800AE9"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1370DD">
              <w:rPr>
                <w:rFonts w:ascii="Times New Roman" w:eastAsia="Times New Roman" w:hAnsi="Times New Roman" w:cs="Times New Roman"/>
                <w:b/>
                <w:bCs/>
                <w:sz w:val="24"/>
                <w:szCs w:val="24"/>
                <w:lang w:eastAsia="sk-SK"/>
              </w:rPr>
              <w:t>2 125,00</w:t>
            </w:r>
          </w:p>
        </w:tc>
        <w:tc>
          <w:tcPr>
            <w:tcW w:w="597" w:type="pct"/>
            <w:gridSpan w:val="2"/>
            <w:tcBorders>
              <w:top w:val="single" w:sz="4" w:space="0" w:color="auto"/>
              <w:left w:val="nil"/>
              <w:bottom w:val="single" w:sz="4" w:space="0" w:color="auto"/>
              <w:right w:val="single" w:sz="4" w:space="0" w:color="auto"/>
            </w:tcBorders>
          </w:tcPr>
          <w:p w14:paraId="152F60F1" w14:textId="77777777" w:rsidR="00C747AF" w:rsidRPr="00B14AD5" w:rsidRDefault="00C747AF" w:rsidP="00263110">
            <w:pPr>
              <w:spacing w:after="0" w:line="240" w:lineRule="auto"/>
              <w:jc w:val="center"/>
              <w:rPr>
                <w:rFonts w:ascii="Times New Roman" w:eastAsia="Times New Roman" w:hAnsi="Times New Roman" w:cs="Times New Roman"/>
                <w:b/>
                <w:bCs/>
                <w:sz w:val="24"/>
                <w:szCs w:val="24"/>
                <w:lang w:eastAsia="sk-SK"/>
              </w:rPr>
            </w:pPr>
            <w:r w:rsidRPr="001370DD">
              <w:rPr>
                <w:rFonts w:ascii="Times New Roman" w:eastAsia="Times New Roman" w:hAnsi="Times New Roman" w:cs="Times New Roman"/>
                <w:b/>
                <w:bCs/>
                <w:sz w:val="24"/>
                <w:szCs w:val="24"/>
                <w:lang w:eastAsia="sk-SK"/>
              </w:rPr>
              <w:t>2 125,00</w:t>
            </w:r>
          </w:p>
        </w:tc>
        <w:tc>
          <w:tcPr>
            <w:tcW w:w="862" w:type="pct"/>
            <w:gridSpan w:val="2"/>
            <w:tcBorders>
              <w:top w:val="nil"/>
              <w:left w:val="nil"/>
              <w:bottom w:val="single" w:sz="4" w:space="0" w:color="auto"/>
              <w:right w:val="single" w:sz="4" w:space="0" w:color="auto"/>
            </w:tcBorders>
            <w:noWrap/>
            <w:vAlign w:val="bottom"/>
          </w:tcPr>
          <w:p w14:paraId="55A6BE4A" w14:textId="77777777" w:rsidR="00C747AF" w:rsidRPr="008872AA" w:rsidRDefault="00C747AF" w:rsidP="00263110">
            <w:pPr>
              <w:spacing w:after="0" w:line="240" w:lineRule="auto"/>
              <w:rPr>
                <w:rFonts w:ascii="Times New Roman" w:eastAsia="Times New Roman" w:hAnsi="Times New Roman" w:cs="Times New Roman"/>
                <w:sz w:val="16"/>
                <w:szCs w:val="16"/>
                <w:lang w:eastAsia="sk-SK"/>
              </w:rPr>
            </w:pPr>
            <w:r w:rsidRPr="00B14AD5">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w:t>
            </w:r>
            <w:r w:rsidRPr="008872AA">
              <w:rPr>
                <w:rFonts w:ascii="Times New Roman" w:eastAsia="Times New Roman" w:hAnsi="Times New Roman" w:cs="Times New Roman"/>
                <w:sz w:val="16"/>
                <w:szCs w:val="16"/>
                <w:lang w:eastAsia="sk-SK"/>
              </w:rPr>
              <w:t>na 1 zamestnanca</w:t>
            </w:r>
            <w:r>
              <w:rPr>
                <w:rFonts w:ascii="Times New Roman" w:eastAsia="Times New Roman" w:hAnsi="Times New Roman" w:cs="Times New Roman"/>
                <w:sz w:val="16"/>
                <w:szCs w:val="16"/>
                <w:lang w:eastAsia="sk-SK"/>
              </w:rPr>
              <w:t xml:space="preserve"> bez valorizácie</w:t>
            </w:r>
          </w:p>
        </w:tc>
      </w:tr>
      <w:tr w:rsidR="00C747AF" w:rsidRPr="00B14AD5" w14:paraId="66D62879"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1C4FED05"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671" w:type="pct"/>
            <w:gridSpan w:val="2"/>
            <w:tcBorders>
              <w:top w:val="single" w:sz="4" w:space="0" w:color="auto"/>
              <w:left w:val="nil"/>
              <w:bottom w:val="single" w:sz="4" w:space="0" w:color="auto"/>
              <w:right w:val="single" w:sz="4" w:space="0" w:color="auto"/>
            </w:tcBorders>
          </w:tcPr>
          <w:p w14:paraId="41449CC7" w14:textId="77777777" w:rsidR="00C747AF" w:rsidRPr="00DF6545" w:rsidRDefault="00C747AF" w:rsidP="00263110">
            <w:pPr>
              <w:spacing w:after="0" w:line="240" w:lineRule="auto"/>
              <w:jc w:val="center"/>
              <w:rPr>
                <w:rFonts w:ascii="Times New Roman" w:hAnsi="Times New Roman"/>
                <w:b/>
                <w:sz w:val="24"/>
              </w:rPr>
            </w:pPr>
            <w:r w:rsidRPr="001370DD">
              <w:rPr>
                <w:rFonts w:ascii="Times New Roman" w:hAnsi="Times New Roman"/>
                <w:b/>
                <w:sz w:val="24"/>
              </w:rPr>
              <w:t>2 125,00</w:t>
            </w:r>
          </w:p>
        </w:tc>
        <w:tc>
          <w:tcPr>
            <w:tcW w:w="701" w:type="pct"/>
            <w:gridSpan w:val="2"/>
            <w:tcBorders>
              <w:top w:val="single" w:sz="4" w:space="0" w:color="auto"/>
              <w:left w:val="nil"/>
              <w:bottom w:val="single" w:sz="4" w:space="0" w:color="auto"/>
              <w:right w:val="single" w:sz="4" w:space="0" w:color="auto"/>
            </w:tcBorders>
          </w:tcPr>
          <w:p w14:paraId="003F4E78" w14:textId="77777777" w:rsidR="00C747AF" w:rsidRPr="00DF6545" w:rsidRDefault="00C747AF" w:rsidP="00263110">
            <w:pPr>
              <w:spacing w:after="0" w:line="240" w:lineRule="auto"/>
              <w:jc w:val="center"/>
              <w:rPr>
                <w:rFonts w:ascii="Times New Roman" w:hAnsi="Times New Roman"/>
                <w:b/>
                <w:sz w:val="24"/>
              </w:rPr>
            </w:pPr>
            <w:r w:rsidRPr="001370DD">
              <w:rPr>
                <w:rFonts w:ascii="Times New Roman" w:hAnsi="Times New Roman"/>
                <w:b/>
                <w:sz w:val="24"/>
              </w:rPr>
              <w:t>2 125,00</w:t>
            </w:r>
          </w:p>
        </w:tc>
        <w:tc>
          <w:tcPr>
            <w:tcW w:w="597" w:type="pct"/>
            <w:gridSpan w:val="2"/>
            <w:tcBorders>
              <w:top w:val="single" w:sz="4" w:space="0" w:color="auto"/>
              <w:left w:val="nil"/>
              <w:bottom w:val="single" w:sz="4" w:space="0" w:color="auto"/>
              <w:right w:val="single" w:sz="4" w:space="0" w:color="auto"/>
            </w:tcBorders>
          </w:tcPr>
          <w:p w14:paraId="17B212B6" w14:textId="77777777" w:rsidR="00C747AF" w:rsidRPr="00DF6545" w:rsidRDefault="00C747AF" w:rsidP="00263110">
            <w:pPr>
              <w:spacing w:after="0" w:line="240" w:lineRule="auto"/>
              <w:jc w:val="center"/>
              <w:rPr>
                <w:rFonts w:ascii="Times New Roman" w:hAnsi="Times New Roman"/>
                <w:b/>
                <w:sz w:val="24"/>
              </w:rPr>
            </w:pPr>
            <w:r w:rsidRPr="001370DD">
              <w:rPr>
                <w:rFonts w:ascii="Times New Roman" w:hAnsi="Times New Roman"/>
                <w:b/>
                <w:sz w:val="24"/>
              </w:rPr>
              <w:t>2 125,00</w:t>
            </w:r>
          </w:p>
        </w:tc>
        <w:tc>
          <w:tcPr>
            <w:tcW w:w="862" w:type="pct"/>
            <w:gridSpan w:val="2"/>
            <w:tcBorders>
              <w:top w:val="nil"/>
              <w:left w:val="nil"/>
              <w:bottom w:val="single" w:sz="4" w:space="0" w:color="auto"/>
              <w:right w:val="single" w:sz="4" w:space="0" w:color="auto"/>
            </w:tcBorders>
            <w:noWrap/>
            <w:vAlign w:val="bottom"/>
          </w:tcPr>
          <w:p w14:paraId="25847DAD"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7F940694"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shd w:val="clear" w:color="auto" w:fill="BFBFBF" w:themeFill="background1" w:themeFillShade="BF"/>
          </w:tcPr>
          <w:p w14:paraId="40DB9913"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Osobné výdavky celkom (v eurách)</w:t>
            </w:r>
          </w:p>
        </w:tc>
        <w:tc>
          <w:tcPr>
            <w:tcW w:w="671" w:type="pct"/>
            <w:gridSpan w:val="2"/>
            <w:tcBorders>
              <w:top w:val="nil"/>
              <w:left w:val="nil"/>
              <w:bottom w:val="single" w:sz="4" w:space="0" w:color="auto"/>
              <w:right w:val="single" w:sz="4" w:space="0" w:color="auto"/>
            </w:tcBorders>
            <w:shd w:val="clear" w:color="auto" w:fill="BFBFBF" w:themeFill="background1" w:themeFillShade="BF"/>
            <w:vAlign w:val="center"/>
          </w:tcPr>
          <w:p w14:paraId="438C560E"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103 236,75</w:t>
            </w:r>
          </w:p>
        </w:tc>
        <w:tc>
          <w:tcPr>
            <w:tcW w:w="701" w:type="pct"/>
            <w:gridSpan w:val="2"/>
            <w:tcBorders>
              <w:top w:val="nil"/>
              <w:left w:val="nil"/>
              <w:bottom w:val="single" w:sz="4" w:space="0" w:color="auto"/>
              <w:right w:val="single" w:sz="4" w:space="0" w:color="auto"/>
            </w:tcBorders>
            <w:shd w:val="clear" w:color="auto" w:fill="BFBFBF" w:themeFill="background1" w:themeFillShade="BF"/>
          </w:tcPr>
          <w:p w14:paraId="79CE1CFE" w14:textId="77777777" w:rsidR="00C747AF" w:rsidRDefault="00C747AF" w:rsidP="00263110">
            <w:pPr>
              <w:spacing w:after="0" w:line="240" w:lineRule="auto"/>
              <w:jc w:val="center"/>
              <w:rPr>
                <w:rFonts w:ascii="Times New Roman" w:eastAsia="Times New Roman" w:hAnsi="Times New Roman" w:cs="Times New Roman"/>
                <w:b/>
                <w:bCs/>
                <w:iCs/>
                <w:sz w:val="24"/>
                <w:szCs w:val="24"/>
                <w:lang w:eastAsia="sk-SK"/>
              </w:rPr>
            </w:pPr>
          </w:p>
          <w:p w14:paraId="733B282B" w14:textId="77777777" w:rsidR="00C747AF" w:rsidRDefault="00C747AF" w:rsidP="00263110">
            <w:pPr>
              <w:spacing w:after="0" w:line="240" w:lineRule="auto"/>
              <w:jc w:val="center"/>
              <w:rPr>
                <w:rFonts w:ascii="Times New Roman" w:eastAsia="Times New Roman" w:hAnsi="Times New Roman" w:cs="Times New Roman"/>
                <w:b/>
                <w:bCs/>
                <w:iCs/>
                <w:sz w:val="24"/>
                <w:szCs w:val="24"/>
                <w:lang w:eastAsia="sk-SK"/>
              </w:rPr>
            </w:pPr>
            <w:r w:rsidRPr="00367B5F">
              <w:rPr>
                <w:rFonts w:ascii="Times New Roman" w:eastAsia="Times New Roman" w:hAnsi="Times New Roman" w:cs="Times New Roman"/>
                <w:b/>
                <w:bCs/>
                <w:iCs/>
                <w:sz w:val="24"/>
                <w:szCs w:val="24"/>
                <w:lang w:eastAsia="sk-SK"/>
              </w:rPr>
              <w:t>103 236,75</w:t>
            </w:r>
          </w:p>
          <w:p w14:paraId="3F80E90A"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p>
        </w:tc>
        <w:tc>
          <w:tcPr>
            <w:tcW w:w="597" w:type="pct"/>
            <w:gridSpan w:val="2"/>
            <w:tcBorders>
              <w:top w:val="nil"/>
              <w:left w:val="nil"/>
              <w:bottom w:val="single" w:sz="4" w:space="0" w:color="auto"/>
              <w:right w:val="single" w:sz="4" w:space="0" w:color="auto"/>
            </w:tcBorders>
            <w:shd w:val="clear" w:color="auto" w:fill="BFBFBF" w:themeFill="background1" w:themeFillShade="BF"/>
          </w:tcPr>
          <w:p w14:paraId="4F79025E" w14:textId="77777777" w:rsidR="00C747AF" w:rsidRDefault="00C747AF" w:rsidP="00263110">
            <w:pPr>
              <w:spacing w:after="0" w:line="240" w:lineRule="auto"/>
              <w:jc w:val="center"/>
              <w:rPr>
                <w:rFonts w:ascii="Times New Roman" w:eastAsia="Times New Roman" w:hAnsi="Times New Roman" w:cs="Times New Roman"/>
                <w:b/>
                <w:bCs/>
                <w:iCs/>
                <w:sz w:val="24"/>
                <w:szCs w:val="24"/>
                <w:lang w:eastAsia="sk-SK"/>
              </w:rPr>
            </w:pPr>
          </w:p>
          <w:p w14:paraId="705CB2E7"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r w:rsidRPr="00367B5F">
              <w:rPr>
                <w:rFonts w:ascii="Times New Roman" w:eastAsia="Times New Roman" w:hAnsi="Times New Roman" w:cs="Times New Roman"/>
                <w:b/>
                <w:bCs/>
                <w:iCs/>
                <w:sz w:val="24"/>
                <w:szCs w:val="24"/>
                <w:lang w:eastAsia="sk-SK"/>
              </w:rPr>
              <w:t>103 236,75</w:t>
            </w:r>
          </w:p>
        </w:tc>
        <w:tc>
          <w:tcPr>
            <w:tcW w:w="862" w:type="pct"/>
            <w:gridSpan w:val="2"/>
            <w:tcBorders>
              <w:top w:val="nil"/>
              <w:left w:val="nil"/>
              <w:bottom w:val="single" w:sz="4" w:space="0" w:color="auto"/>
              <w:right w:val="single" w:sz="4" w:space="0" w:color="auto"/>
            </w:tcBorders>
            <w:shd w:val="clear" w:color="auto" w:fill="BFBFBF" w:themeFill="background1" w:themeFillShade="BF"/>
            <w:noWrap/>
            <w:vAlign w:val="bottom"/>
          </w:tcPr>
          <w:p w14:paraId="2F483132" w14:textId="77777777" w:rsidR="00C747AF" w:rsidRPr="00367B5F" w:rsidRDefault="00C747AF" w:rsidP="00263110">
            <w:pPr>
              <w:spacing w:after="0" w:line="240" w:lineRule="auto"/>
              <w:rPr>
                <w:rFonts w:ascii="Times New Roman" w:eastAsia="Times New Roman" w:hAnsi="Times New Roman" w:cs="Times New Roman"/>
                <w:bCs/>
                <w:sz w:val="16"/>
                <w:szCs w:val="16"/>
                <w:lang w:eastAsia="sk-SK"/>
              </w:rPr>
            </w:pPr>
            <w:r w:rsidRPr="00B14AD5">
              <w:rPr>
                <w:rFonts w:ascii="Times New Roman" w:eastAsia="Times New Roman" w:hAnsi="Times New Roman" w:cs="Times New Roman"/>
                <w:b/>
                <w:bCs/>
                <w:sz w:val="24"/>
                <w:szCs w:val="24"/>
                <w:lang w:eastAsia="sk-SK"/>
              </w:rPr>
              <w:t> </w:t>
            </w:r>
            <w:r w:rsidRPr="00367B5F">
              <w:rPr>
                <w:rFonts w:ascii="Times New Roman" w:eastAsia="Times New Roman" w:hAnsi="Times New Roman" w:cs="Times New Roman"/>
                <w:bCs/>
                <w:sz w:val="16"/>
                <w:szCs w:val="16"/>
                <w:lang w:eastAsia="sk-SK"/>
              </w:rPr>
              <w:t xml:space="preserve">*na 3 zamestnancov bez valorizácie, bez DDS, bez </w:t>
            </w:r>
            <w:proofErr w:type="spellStart"/>
            <w:r w:rsidRPr="00367B5F">
              <w:rPr>
                <w:rFonts w:ascii="Times New Roman" w:eastAsia="Times New Roman" w:hAnsi="Times New Roman" w:cs="Times New Roman"/>
                <w:bCs/>
                <w:sz w:val="16"/>
                <w:szCs w:val="16"/>
                <w:lang w:eastAsia="sk-SK"/>
              </w:rPr>
              <w:t>nem.dávok</w:t>
            </w:r>
            <w:proofErr w:type="spellEnd"/>
          </w:p>
        </w:tc>
      </w:tr>
      <w:tr w:rsidR="00C747AF" w:rsidRPr="00B14AD5" w14:paraId="554406D6"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6CCD5D8A"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Mzdy, platy, služobné príjmy a ostatné osobné vyrovnania (610)</w:t>
            </w:r>
          </w:p>
        </w:tc>
        <w:tc>
          <w:tcPr>
            <w:tcW w:w="671" w:type="pct"/>
            <w:gridSpan w:val="2"/>
            <w:tcBorders>
              <w:top w:val="nil"/>
              <w:left w:val="nil"/>
              <w:bottom w:val="single" w:sz="4" w:space="0" w:color="auto"/>
              <w:right w:val="single" w:sz="4" w:space="0" w:color="auto"/>
            </w:tcBorders>
            <w:vAlign w:val="center"/>
          </w:tcPr>
          <w:p w14:paraId="1D8A680D"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76 500</w:t>
            </w:r>
            <w:r w:rsidRPr="001370DD">
              <w:rPr>
                <w:rFonts w:ascii="Times New Roman" w:eastAsia="Times New Roman" w:hAnsi="Times New Roman" w:cs="Times New Roman"/>
                <w:b/>
                <w:bCs/>
                <w:iCs/>
                <w:sz w:val="24"/>
                <w:szCs w:val="24"/>
                <w:lang w:eastAsia="sk-SK"/>
              </w:rPr>
              <w:t>,00</w:t>
            </w:r>
          </w:p>
        </w:tc>
        <w:tc>
          <w:tcPr>
            <w:tcW w:w="701" w:type="pct"/>
            <w:gridSpan w:val="2"/>
            <w:tcBorders>
              <w:top w:val="nil"/>
              <w:left w:val="nil"/>
              <w:bottom w:val="single" w:sz="4" w:space="0" w:color="auto"/>
              <w:right w:val="single" w:sz="4" w:space="0" w:color="auto"/>
            </w:tcBorders>
            <w:vAlign w:val="center"/>
          </w:tcPr>
          <w:p w14:paraId="61C68A5F"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76 500</w:t>
            </w:r>
            <w:r w:rsidRPr="001370DD">
              <w:rPr>
                <w:rFonts w:ascii="Times New Roman" w:eastAsia="Times New Roman" w:hAnsi="Times New Roman" w:cs="Times New Roman"/>
                <w:b/>
                <w:bCs/>
                <w:iCs/>
                <w:sz w:val="24"/>
                <w:szCs w:val="24"/>
                <w:lang w:eastAsia="sk-SK"/>
              </w:rPr>
              <w:t>,00</w:t>
            </w:r>
          </w:p>
        </w:tc>
        <w:tc>
          <w:tcPr>
            <w:tcW w:w="597" w:type="pct"/>
            <w:gridSpan w:val="2"/>
            <w:tcBorders>
              <w:top w:val="nil"/>
              <w:left w:val="nil"/>
              <w:bottom w:val="single" w:sz="4" w:space="0" w:color="auto"/>
              <w:right w:val="single" w:sz="4" w:space="0" w:color="auto"/>
            </w:tcBorders>
            <w:vAlign w:val="center"/>
          </w:tcPr>
          <w:p w14:paraId="18B73B93" w14:textId="77777777" w:rsidR="00C747AF" w:rsidRPr="00B14AD5" w:rsidRDefault="00C747AF" w:rsidP="00263110">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76 500,00</w:t>
            </w:r>
          </w:p>
        </w:tc>
        <w:tc>
          <w:tcPr>
            <w:tcW w:w="862" w:type="pct"/>
            <w:gridSpan w:val="2"/>
            <w:tcBorders>
              <w:top w:val="nil"/>
              <w:left w:val="nil"/>
              <w:bottom w:val="single" w:sz="4" w:space="0" w:color="auto"/>
              <w:right w:val="single" w:sz="4" w:space="0" w:color="auto"/>
            </w:tcBorders>
            <w:noWrap/>
            <w:vAlign w:val="bottom"/>
          </w:tcPr>
          <w:p w14:paraId="487540CE"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C747AF" w:rsidRPr="00B14AD5" w14:paraId="25B5BE56"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2DC71E14"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671" w:type="pct"/>
            <w:gridSpan w:val="2"/>
            <w:tcBorders>
              <w:top w:val="nil"/>
              <w:left w:val="nil"/>
              <w:bottom w:val="single" w:sz="4" w:space="0" w:color="auto"/>
              <w:right w:val="single" w:sz="4" w:space="0" w:color="auto"/>
            </w:tcBorders>
          </w:tcPr>
          <w:p w14:paraId="4AD9B30A"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76 500,00</w:t>
            </w:r>
          </w:p>
        </w:tc>
        <w:tc>
          <w:tcPr>
            <w:tcW w:w="701" w:type="pct"/>
            <w:gridSpan w:val="2"/>
            <w:tcBorders>
              <w:top w:val="nil"/>
              <w:left w:val="nil"/>
              <w:bottom w:val="single" w:sz="4" w:space="0" w:color="auto"/>
              <w:right w:val="single" w:sz="4" w:space="0" w:color="auto"/>
            </w:tcBorders>
          </w:tcPr>
          <w:p w14:paraId="1CB6754E"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76 500,00</w:t>
            </w:r>
          </w:p>
        </w:tc>
        <w:tc>
          <w:tcPr>
            <w:tcW w:w="597" w:type="pct"/>
            <w:gridSpan w:val="2"/>
            <w:tcBorders>
              <w:top w:val="nil"/>
              <w:left w:val="nil"/>
              <w:bottom w:val="single" w:sz="4" w:space="0" w:color="auto"/>
              <w:right w:val="single" w:sz="4" w:space="0" w:color="auto"/>
            </w:tcBorders>
          </w:tcPr>
          <w:p w14:paraId="1EBEEFAE"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76 500,00</w:t>
            </w:r>
          </w:p>
        </w:tc>
        <w:tc>
          <w:tcPr>
            <w:tcW w:w="862" w:type="pct"/>
            <w:gridSpan w:val="2"/>
            <w:tcBorders>
              <w:top w:val="nil"/>
              <w:left w:val="nil"/>
              <w:bottom w:val="single" w:sz="4" w:space="0" w:color="auto"/>
              <w:right w:val="single" w:sz="4" w:space="0" w:color="auto"/>
            </w:tcBorders>
            <w:noWrap/>
            <w:vAlign w:val="bottom"/>
          </w:tcPr>
          <w:p w14:paraId="1DFD9E7C"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5E1653EC"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4853A110"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Poistné a príspevok do poisťovní (620)</w:t>
            </w:r>
          </w:p>
        </w:tc>
        <w:tc>
          <w:tcPr>
            <w:tcW w:w="671" w:type="pct"/>
            <w:gridSpan w:val="2"/>
            <w:tcBorders>
              <w:top w:val="nil"/>
              <w:left w:val="nil"/>
              <w:bottom w:val="single" w:sz="4" w:space="0" w:color="auto"/>
              <w:right w:val="single" w:sz="4" w:space="0" w:color="auto"/>
            </w:tcBorders>
          </w:tcPr>
          <w:p w14:paraId="4B56C904" w14:textId="77777777" w:rsidR="00C747AF" w:rsidRPr="002914D4" w:rsidRDefault="00C747AF" w:rsidP="0026311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26 736,75</w:t>
            </w:r>
          </w:p>
        </w:tc>
        <w:tc>
          <w:tcPr>
            <w:tcW w:w="701" w:type="pct"/>
            <w:gridSpan w:val="2"/>
            <w:tcBorders>
              <w:top w:val="nil"/>
              <w:left w:val="nil"/>
              <w:bottom w:val="single" w:sz="4" w:space="0" w:color="auto"/>
              <w:right w:val="single" w:sz="4" w:space="0" w:color="auto"/>
            </w:tcBorders>
          </w:tcPr>
          <w:p w14:paraId="5B6A6F00" w14:textId="77777777" w:rsidR="00C747AF" w:rsidRPr="002914D4" w:rsidRDefault="00C747AF" w:rsidP="00263110">
            <w:pPr>
              <w:spacing w:after="0" w:line="240" w:lineRule="auto"/>
              <w:jc w:val="center"/>
              <w:rPr>
                <w:rFonts w:ascii="Times New Roman" w:eastAsia="Times New Roman" w:hAnsi="Times New Roman" w:cs="Times New Roman"/>
                <w:b/>
                <w:bCs/>
                <w:sz w:val="24"/>
                <w:szCs w:val="24"/>
                <w:lang w:eastAsia="sk-SK"/>
              </w:rPr>
            </w:pPr>
            <w:r w:rsidRPr="00367B5F">
              <w:rPr>
                <w:rFonts w:ascii="Times New Roman" w:eastAsia="Times New Roman" w:hAnsi="Times New Roman" w:cs="Times New Roman"/>
                <w:b/>
                <w:bCs/>
                <w:sz w:val="24"/>
                <w:szCs w:val="24"/>
                <w:lang w:eastAsia="sk-SK"/>
              </w:rPr>
              <w:t>26 736,75</w:t>
            </w:r>
          </w:p>
        </w:tc>
        <w:tc>
          <w:tcPr>
            <w:tcW w:w="597" w:type="pct"/>
            <w:gridSpan w:val="2"/>
            <w:tcBorders>
              <w:top w:val="nil"/>
              <w:left w:val="nil"/>
              <w:bottom w:val="single" w:sz="4" w:space="0" w:color="auto"/>
              <w:right w:val="single" w:sz="4" w:space="0" w:color="auto"/>
            </w:tcBorders>
          </w:tcPr>
          <w:p w14:paraId="1D3136F5" w14:textId="77777777" w:rsidR="00C747AF" w:rsidRPr="002914D4" w:rsidRDefault="00C747AF" w:rsidP="00263110">
            <w:pPr>
              <w:spacing w:after="0" w:line="240" w:lineRule="auto"/>
              <w:jc w:val="center"/>
              <w:rPr>
                <w:rFonts w:ascii="Times New Roman" w:eastAsia="Times New Roman" w:hAnsi="Times New Roman" w:cs="Times New Roman"/>
                <w:b/>
                <w:bCs/>
                <w:sz w:val="24"/>
                <w:szCs w:val="24"/>
                <w:lang w:eastAsia="sk-SK"/>
              </w:rPr>
            </w:pPr>
            <w:r w:rsidRPr="00367B5F">
              <w:rPr>
                <w:rFonts w:ascii="Times New Roman" w:eastAsia="Times New Roman" w:hAnsi="Times New Roman" w:cs="Times New Roman"/>
                <w:b/>
                <w:bCs/>
                <w:sz w:val="24"/>
                <w:szCs w:val="24"/>
                <w:lang w:eastAsia="sk-SK"/>
              </w:rPr>
              <w:t>26 736,75</w:t>
            </w:r>
          </w:p>
        </w:tc>
        <w:tc>
          <w:tcPr>
            <w:tcW w:w="862" w:type="pct"/>
            <w:gridSpan w:val="2"/>
            <w:tcBorders>
              <w:top w:val="nil"/>
              <w:left w:val="nil"/>
              <w:bottom w:val="single" w:sz="4" w:space="0" w:color="auto"/>
              <w:right w:val="single" w:sz="4" w:space="0" w:color="auto"/>
            </w:tcBorders>
            <w:noWrap/>
            <w:vAlign w:val="bottom"/>
          </w:tcPr>
          <w:p w14:paraId="04161453"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C747AF" w:rsidRPr="00B14AD5" w14:paraId="2ECFF83E" w14:textId="77777777" w:rsidTr="00263110">
        <w:trPr>
          <w:gridAfter w:val="2"/>
          <w:wAfter w:w="123" w:type="pct"/>
          <w:trHeight w:val="255"/>
        </w:trPr>
        <w:tc>
          <w:tcPr>
            <w:tcW w:w="2046" w:type="pct"/>
            <w:tcBorders>
              <w:top w:val="nil"/>
              <w:left w:val="single" w:sz="4" w:space="0" w:color="auto"/>
              <w:bottom w:val="single" w:sz="4" w:space="0" w:color="auto"/>
              <w:right w:val="single" w:sz="4" w:space="0" w:color="auto"/>
            </w:tcBorders>
          </w:tcPr>
          <w:p w14:paraId="199E5F2D"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671" w:type="pct"/>
            <w:gridSpan w:val="2"/>
            <w:tcBorders>
              <w:top w:val="nil"/>
              <w:left w:val="nil"/>
              <w:bottom w:val="single" w:sz="4" w:space="0" w:color="auto"/>
              <w:right w:val="single" w:sz="4" w:space="0" w:color="auto"/>
            </w:tcBorders>
          </w:tcPr>
          <w:p w14:paraId="6BB5FE0A"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sidRPr="00367B5F">
              <w:rPr>
                <w:rFonts w:ascii="Times New Roman" w:eastAsia="Times New Roman" w:hAnsi="Times New Roman" w:cs="Times New Roman"/>
                <w:sz w:val="24"/>
                <w:szCs w:val="24"/>
                <w:lang w:eastAsia="sk-SK"/>
              </w:rPr>
              <w:t>26 736,75</w:t>
            </w:r>
          </w:p>
        </w:tc>
        <w:tc>
          <w:tcPr>
            <w:tcW w:w="701" w:type="pct"/>
            <w:gridSpan w:val="2"/>
            <w:tcBorders>
              <w:top w:val="nil"/>
              <w:left w:val="nil"/>
              <w:bottom w:val="single" w:sz="4" w:space="0" w:color="auto"/>
              <w:right w:val="single" w:sz="4" w:space="0" w:color="auto"/>
            </w:tcBorders>
          </w:tcPr>
          <w:p w14:paraId="3FDFA46B"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sidRPr="00367B5F">
              <w:rPr>
                <w:rFonts w:ascii="Times New Roman" w:eastAsia="Times New Roman" w:hAnsi="Times New Roman" w:cs="Times New Roman"/>
                <w:sz w:val="24"/>
                <w:szCs w:val="24"/>
                <w:lang w:eastAsia="sk-SK"/>
              </w:rPr>
              <w:t>26 736,75</w:t>
            </w:r>
          </w:p>
        </w:tc>
        <w:tc>
          <w:tcPr>
            <w:tcW w:w="597" w:type="pct"/>
            <w:gridSpan w:val="2"/>
            <w:tcBorders>
              <w:top w:val="nil"/>
              <w:left w:val="nil"/>
              <w:bottom w:val="single" w:sz="4" w:space="0" w:color="auto"/>
              <w:right w:val="single" w:sz="4" w:space="0" w:color="auto"/>
            </w:tcBorders>
          </w:tcPr>
          <w:p w14:paraId="01B36E2C" w14:textId="77777777" w:rsidR="00C747AF" w:rsidRPr="00B14AD5" w:rsidRDefault="00C747AF" w:rsidP="00263110">
            <w:pPr>
              <w:spacing w:after="0" w:line="240" w:lineRule="auto"/>
              <w:jc w:val="center"/>
              <w:rPr>
                <w:rFonts w:ascii="Times New Roman" w:eastAsia="Times New Roman" w:hAnsi="Times New Roman" w:cs="Times New Roman"/>
                <w:sz w:val="24"/>
                <w:szCs w:val="24"/>
                <w:lang w:eastAsia="sk-SK"/>
              </w:rPr>
            </w:pPr>
            <w:r w:rsidRPr="00367B5F">
              <w:rPr>
                <w:rFonts w:ascii="Times New Roman" w:eastAsia="Times New Roman" w:hAnsi="Times New Roman" w:cs="Times New Roman"/>
                <w:sz w:val="24"/>
                <w:szCs w:val="24"/>
                <w:lang w:eastAsia="sk-SK"/>
              </w:rPr>
              <w:t>26 736,75</w:t>
            </w:r>
          </w:p>
        </w:tc>
        <w:tc>
          <w:tcPr>
            <w:tcW w:w="862" w:type="pct"/>
            <w:gridSpan w:val="2"/>
            <w:tcBorders>
              <w:top w:val="nil"/>
              <w:left w:val="nil"/>
              <w:bottom w:val="single" w:sz="4" w:space="0" w:color="auto"/>
              <w:right w:val="single" w:sz="4" w:space="0" w:color="auto"/>
            </w:tcBorders>
            <w:noWrap/>
            <w:vAlign w:val="bottom"/>
          </w:tcPr>
          <w:p w14:paraId="5B964488"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747AF" w:rsidRPr="00B14AD5" w14:paraId="5B8EC83A" w14:textId="77777777" w:rsidTr="00263110">
        <w:trPr>
          <w:trHeight w:val="255"/>
        </w:trPr>
        <w:tc>
          <w:tcPr>
            <w:tcW w:w="2046" w:type="pct"/>
            <w:tcBorders>
              <w:top w:val="nil"/>
              <w:left w:val="nil"/>
              <w:bottom w:val="nil"/>
              <w:right w:val="nil"/>
            </w:tcBorders>
            <w:noWrap/>
            <w:vAlign w:val="bottom"/>
          </w:tcPr>
          <w:p w14:paraId="7B731D0A"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595" w:type="pct"/>
            <w:tcBorders>
              <w:top w:val="nil"/>
              <w:left w:val="nil"/>
              <w:bottom w:val="nil"/>
              <w:right w:val="nil"/>
            </w:tcBorders>
            <w:noWrap/>
            <w:vAlign w:val="bottom"/>
          </w:tcPr>
          <w:p w14:paraId="0A2E0385"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671" w:type="pct"/>
            <w:gridSpan w:val="2"/>
            <w:tcBorders>
              <w:top w:val="nil"/>
              <w:left w:val="nil"/>
              <w:bottom w:val="nil"/>
              <w:right w:val="nil"/>
            </w:tcBorders>
            <w:noWrap/>
            <w:vAlign w:val="bottom"/>
          </w:tcPr>
          <w:p w14:paraId="2249B499"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794" w:type="pct"/>
            <w:gridSpan w:val="4"/>
            <w:tcBorders>
              <w:top w:val="nil"/>
              <w:left w:val="nil"/>
              <w:bottom w:val="nil"/>
              <w:right w:val="nil"/>
            </w:tcBorders>
            <w:noWrap/>
            <w:vAlign w:val="bottom"/>
          </w:tcPr>
          <w:p w14:paraId="00A21CAA"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771" w:type="pct"/>
            <w:tcBorders>
              <w:top w:val="nil"/>
              <w:left w:val="nil"/>
              <w:bottom w:val="nil"/>
              <w:right w:val="nil"/>
            </w:tcBorders>
            <w:noWrap/>
            <w:vAlign w:val="bottom"/>
          </w:tcPr>
          <w:p w14:paraId="66325962"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123" w:type="pct"/>
            <w:gridSpan w:val="2"/>
            <w:tcBorders>
              <w:top w:val="nil"/>
              <w:left w:val="nil"/>
              <w:bottom w:val="nil"/>
              <w:right w:val="nil"/>
            </w:tcBorders>
            <w:noWrap/>
            <w:vAlign w:val="bottom"/>
          </w:tcPr>
          <w:p w14:paraId="349BE436"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r w:rsidR="00C747AF" w:rsidRPr="00B14AD5" w14:paraId="3C597929" w14:textId="77777777" w:rsidTr="00263110">
        <w:trPr>
          <w:trHeight w:val="255"/>
        </w:trPr>
        <w:tc>
          <w:tcPr>
            <w:tcW w:w="2046" w:type="pct"/>
            <w:tcBorders>
              <w:top w:val="nil"/>
              <w:left w:val="nil"/>
              <w:bottom w:val="nil"/>
              <w:right w:val="nil"/>
            </w:tcBorders>
          </w:tcPr>
          <w:p w14:paraId="0FA44665" w14:textId="77777777" w:rsidR="00C747AF" w:rsidRPr="00B14AD5" w:rsidRDefault="00C747AF" w:rsidP="0026311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c>
          <w:tcPr>
            <w:tcW w:w="595" w:type="pct"/>
            <w:tcBorders>
              <w:top w:val="nil"/>
              <w:left w:val="nil"/>
              <w:bottom w:val="nil"/>
              <w:right w:val="nil"/>
            </w:tcBorders>
            <w:noWrap/>
            <w:vAlign w:val="bottom"/>
          </w:tcPr>
          <w:p w14:paraId="2C2D44B1"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671" w:type="pct"/>
            <w:gridSpan w:val="2"/>
            <w:tcBorders>
              <w:top w:val="nil"/>
              <w:left w:val="nil"/>
              <w:bottom w:val="nil"/>
              <w:right w:val="nil"/>
            </w:tcBorders>
            <w:noWrap/>
            <w:vAlign w:val="bottom"/>
          </w:tcPr>
          <w:p w14:paraId="5FB11663"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794" w:type="pct"/>
            <w:gridSpan w:val="4"/>
            <w:tcBorders>
              <w:top w:val="nil"/>
              <w:left w:val="nil"/>
              <w:bottom w:val="nil"/>
              <w:right w:val="nil"/>
            </w:tcBorders>
            <w:noWrap/>
            <w:vAlign w:val="bottom"/>
          </w:tcPr>
          <w:p w14:paraId="27B4B6DF"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771" w:type="pct"/>
            <w:tcBorders>
              <w:top w:val="nil"/>
              <w:left w:val="nil"/>
              <w:bottom w:val="nil"/>
              <w:right w:val="nil"/>
            </w:tcBorders>
            <w:noWrap/>
            <w:vAlign w:val="bottom"/>
          </w:tcPr>
          <w:p w14:paraId="5AD859DC"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123" w:type="pct"/>
            <w:gridSpan w:val="2"/>
            <w:tcBorders>
              <w:top w:val="nil"/>
              <w:left w:val="nil"/>
              <w:bottom w:val="nil"/>
              <w:right w:val="nil"/>
            </w:tcBorders>
            <w:noWrap/>
            <w:vAlign w:val="bottom"/>
          </w:tcPr>
          <w:p w14:paraId="38FC2663"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r w:rsidR="00C747AF" w:rsidRPr="00B14AD5" w14:paraId="3CCDBD26" w14:textId="77777777" w:rsidTr="00263110">
        <w:trPr>
          <w:trHeight w:val="255"/>
        </w:trPr>
        <w:tc>
          <w:tcPr>
            <w:tcW w:w="4877" w:type="pct"/>
            <w:gridSpan w:val="9"/>
            <w:tcBorders>
              <w:top w:val="nil"/>
              <w:left w:val="nil"/>
              <w:bottom w:val="nil"/>
              <w:right w:val="nil"/>
            </w:tcBorders>
            <w:noWrap/>
          </w:tcPr>
          <w:p w14:paraId="4F89E186" w14:textId="77777777" w:rsidR="00C747AF" w:rsidRPr="00B14AD5" w:rsidRDefault="00C747AF" w:rsidP="00263110">
            <w:pPr>
              <w:tabs>
                <w:tab w:val="num" w:pos="1080"/>
              </w:tabs>
              <w:spacing w:after="0" w:line="240" w:lineRule="auto"/>
              <w:jc w:val="both"/>
              <w:rPr>
                <w:rFonts w:ascii="Times New Roman" w:eastAsia="Times New Roman" w:hAnsi="Times New Roman" w:cs="Times New Roman"/>
                <w:bCs/>
                <w:sz w:val="24"/>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79DC464"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23" w:type="pct"/>
            <w:gridSpan w:val="2"/>
            <w:tcBorders>
              <w:top w:val="nil"/>
              <w:left w:val="nil"/>
              <w:bottom w:val="nil"/>
              <w:right w:val="nil"/>
            </w:tcBorders>
            <w:noWrap/>
            <w:vAlign w:val="bottom"/>
          </w:tcPr>
          <w:p w14:paraId="7A84340C"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r w:rsidR="00C747AF" w:rsidRPr="00B14AD5" w14:paraId="510EE9F8" w14:textId="77777777" w:rsidTr="00263110">
        <w:trPr>
          <w:gridAfter w:val="1"/>
          <w:wAfter w:w="66" w:type="pct"/>
          <w:trHeight w:val="255"/>
        </w:trPr>
        <w:tc>
          <w:tcPr>
            <w:tcW w:w="3637" w:type="pct"/>
            <w:gridSpan w:val="6"/>
            <w:tcBorders>
              <w:top w:val="nil"/>
              <w:left w:val="nil"/>
              <w:bottom w:val="nil"/>
              <w:right w:val="nil"/>
            </w:tcBorders>
            <w:noWrap/>
            <w:vAlign w:val="bottom"/>
          </w:tcPr>
          <w:p w14:paraId="3BDE4055"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469" w:type="pct"/>
            <w:gridSpan w:val="2"/>
            <w:tcBorders>
              <w:top w:val="nil"/>
              <w:left w:val="nil"/>
              <w:bottom w:val="nil"/>
              <w:right w:val="nil"/>
            </w:tcBorders>
            <w:noWrap/>
            <w:vAlign w:val="bottom"/>
          </w:tcPr>
          <w:p w14:paraId="5856DB70"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771" w:type="pct"/>
            <w:tcBorders>
              <w:top w:val="nil"/>
              <w:left w:val="nil"/>
              <w:bottom w:val="nil"/>
              <w:right w:val="nil"/>
            </w:tcBorders>
            <w:noWrap/>
            <w:vAlign w:val="bottom"/>
          </w:tcPr>
          <w:p w14:paraId="172D3A5F"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c>
          <w:tcPr>
            <w:tcW w:w="57" w:type="pct"/>
            <w:tcBorders>
              <w:top w:val="nil"/>
              <w:left w:val="nil"/>
              <w:bottom w:val="nil"/>
              <w:right w:val="nil"/>
            </w:tcBorders>
            <w:noWrap/>
            <w:vAlign w:val="bottom"/>
          </w:tcPr>
          <w:p w14:paraId="3D250A74" w14:textId="77777777" w:rsidR="00C747AF" w:rsidRPr="00B14AD5" w:rsidRDefault="00C747AF" w:rsidP="00263110">
            <w:pPr>
              <w:spacing w:after="0" w:line="240" w:lineRule="auto"/>
              <w:rPr>
                <w:rFonts w:ascii="Times New Roman" w:eastAsia="Times New Roman" w:hAnsi="Times New Roman" w:cs="Times New Roman"/>
                <w:sz w:val="24"/>
                <w:szCs w:val="24"/>
                <w:lang w:eastAsia="sk-SK"/>
              </w:rPr>
            </w:pPr>
          </w:p>
        </w:tc>
      </w:tr>
    </w:tbl>
    <w:p w14:paraId="4432A32A"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65AA5474"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5276C9F2"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322E20A8"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2EA79B68"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6F01BE78"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30F4EBB2"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3F02C6EF"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68968C4C"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729138C4"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483BAC64"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p>
    <w:p w14:paraId="34515577"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w:t>
      </w:r>
    </w:p>
    <w:p w14:paraId="2F48879B" w14:textId="77777777" w:rsidR="00C747AF" w:rsidRPr="00B14AD5" w:rsidRDefault="00C747AF" w:rsidP="00C747AF">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2.2.5. Výpočet vplyvov na dlhodobú udržateľnosť verejných financií </w:t>
      </w:r>
    </w:p>
    <w:p w14:paraId="0C8702D4"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p>
    <w:p w14:paraId="3284375D" w14:textId="77777777" w:rsidR="00C747AF" w:rsidRPr="00B14AD5" w:rsidRDefault="00C747AF" w:rsidP="00C747AF">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54CB50B"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p>
    <w:p w14:paraId="3ACA1AB2"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                                                                                                                                </w:t>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r>
      <w:r w:rsidRPr="00B14AD5">
        <w:rPr>
          <w:rFonts w:ascii="Times New Roman" w:eastAsia="Times New Roman" w:hAnsi="Times New Roman" w:cs="Times New Roman"/>
          <w:sz w:val="24"/>
          <w:szCs w:val="24"/>
          <w:lang w:eastAsia="sk-SK"/>
        </w:rPr>
        <w:tab/>
        <w:t>Tabuľka č. 6</w:t>
      </w:r>
    </w:p>
    <w:p w14:paraId="766F053D"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C747AF" w:rsidRPr="00B14AD5" w14:paraId="46581BBE" w14:textId="77777777" w:rsidTr="00263110">
        <w:trPr>
          <w:trHeight w:val="284"/>
        </w:trPr>
        <w:tc>
          <w:tcPr>
            <w:tcW w:w="2943" w:type="dxa"/>
            <w:vMerge w:val="restart"/>
            <w:shd w:val="clear" w:color="auto" w:fill="BFBFBF" w:themeFill="background1" w:themeFillShade="BF"/>
            <w:vAlign w:val="center"/>
          </w:tcPr>
          <w:p w14:paraId="1C28E88D"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86E3892"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677D2096"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Poznámka</w:t>
            </w:r>
          </w:p>
        </w:tc>
      </w:tr>
      <w:tr w:rsidR="00C747AF" w:rsidRPr="00B14AD5" w14:paraId="2CF32F69" w14:textId="77777777" w:rsidTr="00263110">
        <w:trPr>
          <w:trHeight w:val="284"/>
        </w:trPr>
        <w:tc>
          <w:tcPr>
            <w:tcW w:w="2943" w:type="dxa"/>
            <w:vMerge/>
            <w:shd w:val="clear" w:color="auto" w:fill="BFBFBF" w:themeFill="background1" w:themeFillShade="BF"/>
          </w:tcPr>
          <w:p w14:paraId="3D2D2E87"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095EB71B"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11A333EB"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d+10</w:t>
            </w:r>
          </w:p>
        </w:tc>
        <w:tc>
          <w:tcPr>
            <w:tcW w:w="1559" w:type="dxa"/>
            <w:shd w:val="clear" w:color="auto" w:fill="BFBFBF" w:themeFill="background1" w:themeFillShade="BF"/>
          </w:tcPr>
          <w:p w14:paraId="3D0B7F2F"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d+20</w:t>
            </w:r>
          </w:p>
        </w:tc>
        <w:tc>
          <w:tcPr>
            <w:tcW w:w="1418" w:type="dxa"/>
            <w:shd w:val="clear" w:color="auto" w:fill="BFBFBF" w:themeFill="background1" w:themeFillShade="BF"/>
          </w:tcPr>
          <w:p w14:paraId="7D1B0C7B"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d+30</w:t>
            </w:r>
          </w:p>
        </w:tc>
        <w:tc>
          <w:tcPr>
            <w:tcW w:w="1984" w:type="dxa"/>
            <w:shd w:val="clear" w:color="auto" w:fill="BFBFBF" w:themeFill="background1" w:themeFillShade="BF"/>
          </w:tcPr>
          <w:p w14:paraId="11BAC5CB" w14:textId="77777777" w:rsidR="00C747AF" w:rsidRPr="00B14AD5" w:rsidRDefault="00C747AF" w:rsidP="0026311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d+40</w:t>
            </w:r>
          </w:p>
        </w:tc>
        <w:tc>
          <w:tcPr>
            <w:tcW w:w="3119" w:type="dxa"/>
            <w:vMerge/>
            <w:shd w:val="clear" w:color="auto" w:fill="BFBFBF" w:themeFill="background1" w:themeFillShade="BF"/>
          </w:tcPr>
          <w:p w14:paraId="4542C101"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C747AF" w:rsidRPr="00B14AD5" w14:paraId="66D622FF" w14:textId="77777777" w:rsidTr="00263110">
        <w:trPr>
          <w:trHeight w:val="284"/>
        </w:trPr>
        <w:tc>
          <w:tcPr>
            <w:tcW w:w="2943" w:type="dxa"/>
            <w:shd w:val="clear" w:color="auto" w:fill="auto"/>
            <w:vAlign w:val="bottom"/>
          </w:tcPr>
          <w:p w14:paraId="086EA624" w14:textId="77777777" w:rsidR="00C747AF" w:rsidRPr="00B14AD5" w:rsidRDefault="00C747AF" w:rsidP="0026311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výdavky v p. b. HDP</w:t>
            </w:r>
          </w:p>
        </w:tc>
        <w:tc>
          <w:tcPr>
            <w:tcW w:w="1447" w:type="dxa"/>
            <w:shd w:val="clear" w:color="auto" w:fill="auto"/>
          </w:tcPr>
          <w:p w14:paraId="17E86223"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9098EE3"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EBB80D2"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A49B069"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80187DC"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DC5C2FC"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C747AF" w:rsidRPr="00B14AD5" w14:paraId="1D15245A" w14:textId="77777777" w:rsidTr="00263110">
        <w:trPr>
          <w:trHeight w:val="284"/>
        </w:trPr>
        <w:tc>
          <w:tcPr>
            <w:tcW w:w="2943" w:type="dxa"/>
            <w:shd w:val="clear" w:color="auto" w:fill="auto"/>
          </w:tcPr>
          <w:p w14:paraId="40098E97" w14:textId="77777777" w:rsidR="00C747AF" w:rsidRPr="00B14AD5" w:rsidRDefault="00C747AF" w:rsidP="0026311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príjmy v p. b. HDP</w:t>
            </w:r>
          </w:p>
        </w:tc>
        <w:tc>
          <w:tcPr>
            <w:tcW w:w="1447" w:type="dxa"/>
            <w:shd w:val="clear" w:color="auto" w:fill="auto"/>
          </w:tcPr>
          <w:p w14:paraId="49B01DA8"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46E97F7"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1C8A1B8"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28F0D228"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39BB18DB"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59B5589B"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C747AF" w:rsidRPr="00B14AD5" w14:paraId="0AF3691A" w14:textId="77777777" w:rsidTr="00263110">
        <w:trPr>
          <w:trHeight w:val="284"/>
        </w:trPr>
        <w:tc>
          <w:tcPr>
            <w:tcW w:w="2943" w:type="dxa"/>
            <w:shd w:val="clear" w:color="auto" w:fill="auto"/>
          </w:tcPr>
          <w:p w14:paraId="4F2055B4" w14:textId="77777777" w:rsidR="00C747AF" w:rsidRPr="00B14AD5" w:rsidRDefault="00C747AF" w:rsidP="0026311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Vplyv na bilanciu  v p. b. HDP</w:t>
            </w:r>
          </w:p>
        </w:tc>
        <w:tc>
          <w:tcPr>
            <w:tcW w:w="1447" w:type="dxa"/>
            <w:shd w:val="clear" w:color="auto" w:fill="auto"/>
          </w:tcPr>
          <w:p w14:paraId="2684BF65"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DAF59D6"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B163FE8"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F9E86F6"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FAC89D8"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93114B0" w14:textId="77777777" w:rsidR="00C747AF" w:rsidRPr="00B14AD5" w:rsidRDefault="00C747AF" w:rsidP="0026311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3713B0A9"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p>
    <w:p w14:paraId="096D0F4D" w14:textId="77777777" w:rsidR="00C747AF" w:rsidRPr="00B14AD5" w:rsidRDefault="00C747AF" w:rsidP="00C747AF">
      <w:pPr>
        <w:spacing w:after="0" w:line="240" w:lineRule="auto"/>
        <w:jc w:val="both"/>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 xml:space="preserve">Poznámka: </w:t>
      </w:r>
    </w:p>
    <w:p w14:paraId="37F0B086"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Písmeno „d“ označuje prvý rok nasledujúcej dekády. </w:t>
      </w:r>
    </w:p>
    <w:p w14:paraId="27B0DD52" w14:textId="77777777" w:rsidR="00C747AF" w:rsidRPr="00B14AD5" w:rsidRDefault="00C747AF" w:rsidP="00C747AF">
      <w:pPr>
        <w:spacing w:after="0" w:line="240" w:lineRule="auto"/>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4727680F" w14:textId="77777777" w:rsidR="00C747AF" w:rsidRPr="00B14AD5" w:rsidRDefault="00C747AF" w:rsidP="00C747AF">
      <w:pPr>
        <w:spacing w:after="0" w:line="240" w:lineRule="auto"/>
        <w:rPr>
          <w:rFonts w:ascii="Times New Roman" w:eastAsia="Times New Roman" w:hAnsi="Times New Roman" w:cs="Times New Roman"/>
          <w:b/>
          <w:bCs/>
          <w:sz w:val="24"/>
          <w:szCs w:val="24"/>
          <w:lang w:eastAsia="sk-SK"/>
        </w:rPr>
        <w:sectPr w:rsidR="00C747AF" w:rsidRPr="00B14AD5">
          <w:pgSz w:w="16838" w:h="11906" w:orient="landscape"/>
          <w:pgMar w:top="1418" w:right="1418" w:bottom="1418" w:left="1418" w:header="709" w:footer="709" w:gutter="0"/>
          <w:cols w:space="708"/>
          <w:docGrid w:linePitch="360"/>
        </w:sectPr>
      </w:pPr>
    </w:p>
    <w:p w14:paraId="4C8E0725" w14:textId="60AC9F09" w:rsidR="00C747AF" w:rsidRDefault="00C747AF">
      <w:pPr>
        <w:rPr>
          <w:rFonts w:ascii="Times New Roman" w:eastAsia="Times New Roman" w:hAnsi="Times New Roman" w:cs="Times New Roman"/>
          <w:sz w:val="24"/>
          <w:szCs w:val="24"/>
          <w:lang w:eastAsia="sk-SK"/>
        </w:rPr>
      </w:pPr>
    </w:p>
    <w:p w14:paraId="7FB50555" w14:textId="77777777" w:rsidR="00C747AF" w:rsidRPr="004E4FFA" w:rsidRDefault="00C747AF" w:rsidP="00C747AF">
      <w:pPr>
        <w:spacing w:after="120"/>
        <w:jc w:val="center"/>
        <w:rPr>
          <w:rFonts w:ascii="Times New Roman" w:hAnsi="Times New Roman" w:cs="Times New Roman"/>
          <w:b/>
          <w:caps/>
          <w:spacing w:val="30"/>
          <w:sz w:val="24"/>
          <w:szCs w:val="24"/>
        </w:rPr>
      </w:pPr>
      <w:r w:rsidRPr="004E4FFA">
        <w:rPr>
          <w:rFonts w:ascii="Times New Roman" w:hAnsi="Times New Roman" w:cs="Times New Roman"/>
          <w:b/>
          <w:caps/>
          <w:spacing w:val="30"/>
          <w:sz w:val="24"/>
          <w:szCs w:val="24"/>
        </w:rPr>
        <w:t>Doložka zlučiteľnosti</w:t>
      </w:r>
    </w:p>
    <w:p w14:paraId="5E9A877C" w14:textId="77777777" w:rsidR="00C747AF" w:rsidRPr="004E4FFA" w:rsidRDefault="00C747AF" w:rsidP="00C747AF">
      <w:pPr>
        <w:jc w:val="center"/>
        <w:rPr>
          <w:rFonts w:ascii="Times New Roman" w:hAnsi="Times New Roman" w:cs="Times New Roman"/>
          <w:b/>
          <w:sz w:val="24"/>
          <w:szCs w:val="24"/>
        </w:rPr>
      </w:pPr>
      <w:r w:rsidRPr="004E4FFA">
        <w:rPr>
          <w:rFonts w:ascii="Times New Roman" w:hAnsi="Times New Roman" w:cs="Times New Roman"/>
          <w:b/>
          <w:sz w:val="24"/>
          <w:szCs w:val="24"/>
        </w:rPr>
        <w:t>návrhu zákona s právom Európskej únie</w:t>
      </w:r>
    </w:p>
    <w:p w14:paraId="694C98C1" w14:textId="77777777" w:rsidR="00C747AF" w:rsidRPr="004E4FFA" w:rsidRDefault="00C747AF" w:rsidP="00C747AF">
      <w:pPr>
        <w:jc w:val="both"/>
        <w:rPr>
          <w:rFonts w:ascii="Times New Roman" w:hAnsi="Times New Roman" w:cs="Times New Roman"/>
          <w:b/>
          <w:sz w:val="24"/>
          <w:szCs w:val="24"/>
        </w:rPr>
      </w:pPr>
    </w:p>
    <w:tbl>
      <w:tblPr>
        <w:tblStyle w:val="Mriekatabuky"/>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C747AF" w:rsidRPr="004E4FFA" w14:paraId="0CCF0894" w14:textId="77777777" w:rsidTr="00263110">
        <w:trPr>
          <w:trHeight w:val="562"/>
        </w:trPr>
        <w:tc>
          <w:tcPr>
            <w:tcW w:w="396" w:type="dxa"/>
          </w:tcPr>
          <w:p w14:paraId="3A8D15DB" w14:textId="77777777" w:rsidR="00C747AF" w:rsidRPr="004E4FFA" w:rsidRDefault="00C747AF" w:rsidP="00263110">
            <w:pPr>
              <w:tabs>
                <w:tab w:val="left" w:pos="360"/>
              </w:tabs>
              <w:jc w:val="both"/>
              <w:rPr>
                <w:rFonts w:ascii="Times New Roman" w:hAnsi="Times New Roman" w:cs="Times New Roman"/>
                <w:b/>
                <w:sz w:val="24"/>
                <w:szCs w:val="24"/>
              </w:rPr>
            </w:pPr>
            <w:r w:rsidRPr="004E4FFA">
              <w:rPr>
                <w:rFonts w:ascii="Times New Roman" w:hAnsi="Times New Roman" w:cs="Times New Roman"/>
                <w:b/>
                <w:sz w:val="24"/>
                <w:szCs w:val="24"/>
              </w:rPr>
              <w:t>1.</w:t>
            </w:r>
          </w:p>
        </w:tc>
        <w:tc>
          <w:tcPr>
            <w:tcW w:w="9191" w:type="dxa"/>
          </w:tcPr>
          <w:p w14:paraId="518C420F" w14:textId="77777777" w:rsidR="00C747AF" w:rsidRPr="004E4FFA" w:rsidRDefault="00C747AF" w:rsidP="00263110">
            <w:pPr>
              <w:tabs>
                <w:tab w:val="left" w:pos="360"/>
              </w:tabs>
              <w:jc w:val="both"/>
              <w:rPr>
                <w:rFonts w:ascii="Times New Roman" w:hAnsi="Times New Roman" w:cs="Times New Roman"/>
                <w:sz w:val="24"/>
                <w:szCs w:val="24"/>
              </w:rPr>
            </w:pPr>
            <w:r w:rsidRPr="004E4FFA">
              <w:rPr>
                <w:rFonts w:ascii="Times New Roman" w:hAnsi="Times New Roman" w:cs="Times New Roman"/>
                <w:b/>
                <w:sz w:val="24"/>
                <w:szCs w:val="24"/>
              </w:rPr>
              <w:t>Navrhovateľ zákona:</w:t>
            </w:r>
            <w:r w:rsidRPr="004E4FFA">
              <w:rPr>
                <w:rFonts w:ascii="Times New Roman" w:hAnsi="Times New Roman" w:cs="Times New Roman"/>
                <w:sz w:val="24"/>
                <w:szCs w:val="24"/>
              </w:rPr>
              <w:t xml:space="preserve"> Protimonopolný úrad Slovenskej republiky</w:t>
            </w:r>
          </w:p>
        </w:tc>
      </w:tr>
      <w:tr w:rsidR="00C747AF" w:rsidRPr="004E4FFA" w14:paraId="30934617" w14:textId="77777777" w:rsidTr="00263110">
        <w:trPr>
          <w:trHeight w:val="562"/>
        </w:trPr>
        <w:tc>
          <w:tcPr>
            <w:tcW w:w="396" w:type="dxa"/>
          </w:tcPr>
          <w:p w14:paraId="7D88C20B" w14:textId="77777777" w:rsidR="00C747AF" w:rsidRPr="004E4FFA" w:rsidRDefault="00C747AF" w:rsidP="00263110">
            <w:pPr>
              <w:tabs>
                <w:tab w:val="left" w:pos="360"/>
              </w:tabs>
              <w:jc w:val="both"/>
              <w:rPr>
                <w:rFonts w:ascii="Times New Roman" w:hAnsi="Times New Roman" w:cs="Times New Roman"/>
                <w:b/>
                <w:sz w:val="24"/>
                <w:szCs w:val="24"/>
              </w:rPr>
            </w:pPr>
            <w:r w:rsidRPr="004E4FFA">
              <w:rPr>
                <w:rFonts w:ascii="Times New Roman" w:hAnsi="Times New Roman" w:cs="Times New Roman"/>
                <w:b/>
                <w:sz w:val="24"/>
                <w:szCs w:val="24"/>
              </w:rPr>
              <w:t>2.</w:t>
            </w:r>
          </w:p>
        </w:tc>
        <w:tc>
          <w:tcPr>
            <w:tcW w:w="9191" w:type="dxa"/>
          </w:tcPr>
          <w:p w14:paraId="02892D9D" w14:textId="77777777" w:rsidR="00C747AF" w:rsidRPr="004E4FFA" w:rsidRDefault="00C747AF" w:rsidP="00263110">
            <w:pPr>
              <w:tabs>
                <w:tab w:val="left" w:pos="360"/>
              </w:tabs>
              <w:jc w:val="both"/>
              <w:rPr>
                <w:rFonts w:ascii="Times New Roman" w:hAnsi="Times New Roman" w:cs="Times New Roman"/>
                <w:sz w:val="24"/>
                <w:szCs w:val="24"/>
              </w:rPr>
            </w:pPr>
            <w:r w:rsidRPr="004E4FFA">
              <w:rPr>
                <w:rFonts w:ascii="Times New Roman" w:hAnsi="Times New Roman" w:cs="Times New Roman"/>
                <w:b/>
                <w:sz w:val="24"/>
                <w:szCs w:val="24"/>
              </w:rPr>
              <w:t>Názov návrhu zákona:</w:t>
            </w:r>
            <w:r w:rsidRPr="004E4FFA">
              <w:rPr>
                <w:rFonts w:ascii="Times New Roman" w:hAnsi="Times New Roman" w:cs="Times New Roman"/>
                <w:sz w:val="24"/>
                <w:szCs w:val="24"/>
              </w:rPr>
              <w:t xml:space="preserve"> Návrh zákona, ktorým sa mení a dopĺňa zákon č. 187/2021 Z. z. o</w:t>
            </w:r>
            <w:r>
              <w:rPr>
                <w:rFonts w:ascii="Times New Roman" w:hAnsi="Times New Roman" w:cs="Times New Roman"/>
                <w:sz w:val="24"/>
                <w:szCs w:val="24"/>
              </w:rPr>
              <w:t> </w:t>
            </w:r>
            <w:r w:rsidRPr="004E4FFA">
              <w:rPr>
                <w:rFonts w:ascii="Times New Roman" w:hAnsi="Times New Roman" w:cs="Times New Roman"/>
                <w:sz w:val="24"/>
                <w:szCs w:val="24"/>
              </w:rPr>
              <w:t>ochrane hospodárskej súťaže a o zmene a doplnení niektorých zákonov</w:t>
            </w:r>
            <w:r>
              <w:t xml:space="preserve"> </w:t>
            </w:r>
            <w:r>
              <w:rPr>
                <w:rFonts w:ascii="Times New Roman" w:hAnsi="Times New Roman" w:cs="Times New Roman"/>
                <w:sz w:val="24"/>
                <w:szCs w:val="24"/>
              </w:rPr>
              <w:t>v znení zákona č. </w:t>
            </w:r>
            <w:r w:rsidRPr="003D60D0">
              <w:rPr>
                <w:rFonts w:ascii="Times New Roman" w:hAnsi="Times New Roman" w:cs="Times New Roman"/>
                <w:sz w:val="24"/>
                <w:szCs w:val="24"/>
              </w:rPr>
              <w:t>309/2023 Z. z.</w:t>
            </w:r>
          </w:p>
          <w:p w14:paraId="63A79F33" w14:textId="77777777" w:rsidR="00C747AF" w:rsidRPr="004E4FFA" w:rsidRDefault="00C747AF" w:rsidP="00263110">
            <w:pPr>
              <w:tabs>
                <w:tab w:val="left" w:pos="360"/>
              </w:tabs>
              <w:jc w:val="both"/>
              <w:rPr>
                <w:rFonts w:ascii="Times New Roman" w:hAnsi="Times New Roman" w:cs="Times New Roman"/>
                <w:sz w:val="24"/>
                <w:szCs w:val="24"/>
              </w:rPr>
            </w:pPr>
          </w:p>
        </w:tc>
      </w:tr>
      <w:tr w:rsidR="00C747AF" w:rsidRPr="004E4FFA" w14:paraId="2AD1ABA5" w14:textId="77777777" w:rsidTr="00263110">
        <w:trPr>
          <w:trHeight w:val="273"/>
        </w:trPr>
        <w:tc>
          <w:tcPr>
            <w:tcW w:w="396" w:type="dxa"/>
          </w:tcPr>
          <w:p w14:paraId="1CF4B3AE" w14:textId="77777777" w:rsidR="00C747AF" w:rsidRPr="004E4FFA" w:rsidRDefault="00C747AF" w:rsidP="00263110">
            <w:pPr>
              <w:tabs>
                <w:tab w:val="left" w:pos="360"/>
              </w:tabs>
              <w:jc w:val="both"/>
              <w:rPr>
                <w:rFonts w:ascii="Times New Roman" w:hAnsi="Times New Roman" w:cs="Times New Roman"/>
                <w:b/>
                <w:sz w:val="24"/>
                <w:szCs w:val="24"/>
              </w:rPr>
            </w:pPr>
            <w:r w:rsidRPr="004E4FFA">
              <w:rPr>
                <w:rFonts w:ascii="Times New Roman" w:hAnsi="Times New Roman" w:cs="Times New Roman"/>
                <w:b/>
                <w:sz w:val="24"/>
                <w:szCs w:val="24"/>
              </w:rPr>
              <w:t>3.</w:t>
            </w:r>
          </w:p>
        </w:tc>
        <w:tc>
          <w:tcPr>
            <w:tcW w:w="9191" w:type="dxa"/>
          </w:tcPr>
          <w:p w14:paraId="729DCD16" w14:textId="77777777" w:rsidR="00C747AF" w:rsidRPr="000867B1" w:rsidRDefault="00C747AF" w:rsidP="00263110">
            <w:pPr>
              <w:tabs>
                <w:tab w:val="left" w:pos="360"/>
              </w:tabs>
              <w:jc w:val="both"/>
              <w:rPr>
                <w:rFonts w:ascii="Times New Roman" w:hAnsi="Times New Roman" w:cs="Times New Roman"/>
                <w:b/>
                <w:sz w:val="24"/>
                <w:szCs w:val="24"/>
              </w:rPr>
            </w:pPr>
            <w:r w:rsidRPr="004E4FFA">
              <w:rPr>
                <w:rFonts w:ascii="Times New Roman" w:hAnsi="Times New Roman" w:cs="Times New Roman"/>
                <w:b/>
                <w:sz w:val="24"/>
                <w:szCs w:val="24"/>
              </w:rPr>
              <w:t>Predmet návrhu zákona je upravený v práve Európskej únie:</w:t>
            </w:r>
          </w:p>
        </w:tc>
      </w:tr>
      <w:tr w:rsidR="00C747AF" w:rsidRPr="004E4FFA" w14:paraId="49240A67" w14:textId="77777777" w:rsidTr="00263110">
        <w:trPr>
          <w:trHeight w:val="562"/>
        </w:trPr>
        <w:tc>
          <w:tcPr>
            <w:tcW w:w="396" w:type="dxa"/>
          </w:tcPr>
          <w:p w14:paraId="48B2AD16" w14:textId="77777777" w:rsidR="00C747AF" w:rsidRPr="004E4FFA" w:rsidRDefault="00C747AF" w:rsidP="00263110">
            <w:pPr>
              <w:tabs>
                <w:tab w:val="left" w:pos="360"/>
              </w:tabs>
              <w:jc w:val="both"/>
              <w:rPr>
                <w:rFonts w:ascii="Times New Roman" w:hAnsi="Times New Roman" w:cs="Times New Roman"/>
                <w:sz w:val="24"/>
                <w:szCs w:val="24"/>
              </w:rPr>
            </w:pPr>
          </w:p>
        </w:tc>
        <w:tc>
          <w:tcPr>
            <w:tcW w:w="9191" w:type="dxa"/>
          </w:tcPr>
          <w:p w14:paraId="09A6FE29" w14:textId="77777777" w:rsidR="00C747AF" w:rsidRPr="004E4FFA" w:rsidRDefault="00C747AF" w:rsidP="00C747AF">
            <w:pPr>
              <w:pStyle w:val="Odsekzoznamu"/>
              <w:widowControl w:val="0"/>
              <w:numPr>
                <w:ilvl w:val="0"/>
                <w:numId w:val="6"/>
              </w:numPr>
              <w:tabs>
                <w:tab w:val="left" w:pos="360"/>
              </w:tabs>
              <w:autoSpaceDE w:val="0"/>
              <w:autoSpaceDN w:val="0"/>
              <w:adjustRightInd w:val="0"/>
              <w:spacing w:before="240"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v primárnom práve</w:t>
            </w:r>
          </w:p>
          <w:p w14:paraId="66712436" w14:textId="77777777" w:rsidR="00C747AF" w:rsidRPr="004E4FFA" w:rsidRDefault="00C747AF" w:rsidP="00C747AF">
            <w:pPr>
              <w:pStyle w:val="Odsekzoznamu"/>
              <w:widowControl w:val="0"/>
              <w:numPr>
                <w:ilvl w:val="0"/>
                <w:numId w:val="9"/>
              </w:numPr>
              <w:tabs>
                <w:tab w:val="left" w:pos="360"/>
              </w:tabs>
              <w:autoSpaceDE w:val="0"/>
              <w:autoSpaceDN w:val="0"/>
              <w:adjustRightInd w:val="0"/>
              <w:contextualSpacing w:val="0"/>
              <w:jc w:val="both"/>
              <w:rPr>
                <w:rFonts w:ascii="Times New Roman" w:hAnsi="Times New Roman" w:cs="Times New Roman"/>
                <w:i/>
                <w:sz w:val="24"/>
                <w:szCs w:val="24"/>
              </w:rPr>
            </w:pPr>
            <w:r w:rsidRPr="004E4FFA">
              <w:rPr>
                <w:rFonts w:ascii="Times New Roman" w:hAnsi="Times New Roman" w:cs="Times New Roman"/>
                <w:bCs/>
                <w:sz w:val="24"/>
                <w:szCs w:val="24"/>
              </w:rPr>
              <w:t>Článok 101 a 102 Zmluvy o fungovaní Európskej únie (</w:t>
            </w:r>
            <w:r w:rsidRPr="004E4FFA">
              <w:rPr>
                <w:rStyle w:val="Zvraznenie"/>
                <w:rFonts w:ascii="Times New Roman" w:hAnsi="Times New Roman" w:cs="Times New Roman"/>
                <w:sz w:val="24"/>
                <w:szCs w:val="24"/>
              </w:rPr>
              <w:t xml:space="preserve">Ú. v. EÚ C </w:t>
            </w:r>
            <w:r>
              <w:rPr>
                <w:rStyle w:val="Zvraznenie"/>
                <w:rFonts w:ascii="Times New Roman" w:hAnsi="Times New Roman" w:cs="Times New Roman"/>
                <w:sz w:val="24"/>
                <w:szCs w:val="24"/>
              </w:rPr>
              <w:t>202, 7.6.2016</w:t>
            </w:r>
            <w:r w:rsidRPr="004E4FFA">
              <w:rPr>
                <w:rStyle w:val="Zvraznenie"/>
                <w:rFonts w:ascii="Times New Roman" w:hAnsi="Times New Roman" w:cs="Times New Roman"/>
                <w:sz w:val="24"/>
                <w:szCs w:val="24"/>
              </w:rPr>
              <w:t>)</w:t>
            </w:r>
            <w:r w:rsidRPr="004E4FFA">
              <w:rPr>
                <w:rFonts w:ascii="Times New Roman" w:hAnsi="Times New Roman" w:cs="Times New Roman"/>
                <w:bCs/>
                <w:i/>
                <w:sz w:val="24"/>
                <w:szCs w:val="24"/>
              </w:rPr>
              <w:t>.</w:t>
            </w:r>
          </w:p>
          <w:p w14:paraId="1D872A19" w14:textId="77777777" w:rsidR="00C747AF" w:rsidRPr="004E4FFA" w:rsidRDefault="00C747AF" w:rsidP="00C747AF">
            <w:pPr>
              <w:pStyle w:val="Odsekzoznamu"/>
              <w:widowControl w:val="0"/>
              <w:numPr>
                <w:ilvl w:val="0"/>
                <w:numId w:val="6"/>
              </w:numPr>
              <w:tabs>
                <w:tab w:val="left" w:pos="360"/>
              </w:tabs>
              <w:autoSpaceDE w:val="0"/>
              <w:autoSpaceDN w:val="0"/>
              <w:adjustRightInd w:val="0"/>
              <w:spacing w:before="240"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v sekundárnom práve</w:t>
            </w:r>
          </w:p>
          <w:p w14:paraId="6566CBEF" w14:textId="77777777" w:rsidR="00C747AF" w:rsidRPr="004E4FFA" w:rsidRDefault="00C747AF" w:rsidP="00C747AF">
            <w:pPr>
              <w:pStyle w:val="Odsekzoznamu"/>
              <w:widowControl w:val="0"/>
              <w:numPr>
                <w:ilvl w:val="0"/>
                <w:numId w:val="8"/>
              </w:numPr>
              <w:tabs>
                <w:tab w:val="left" w:pos="360"/>
              </w:tabs>
              <w:autoSpaceDE w:val="0"/>
              <w:autoSpaceDN w:val="0"/>
              <w:adjustRightInd w:val="0"/>
              <w:spacing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Nariadenie Rady (ES) č. 1/2003 zo 16. decembra 2002 o vykonávaní pravidiel hospodárskej súťaže stanovených v článkoch 81 a 82 Zmluvy (Ú. v. ES L 001, 4.1.2003, Mimoriadne vydanie Ú. v. ES, kap. 8/zv.2) v platnom znení, gestor: PMÚ SR.</w:t>
            </w:r>
          </w:p>
          <w:p w14:paraId="33AA7B46" w14:textId="77777777" w:rsidR="00C747AF" w:rsidRPr="004E4FFA" w:rsidRDefault="00C747AF" w:rsidP="00C747AF">
            <w:pPr>
              <w:pStyle w:val="Odsekzoznamu"/>
              <w:widowControl w:val="0"/>
              <w:numPr>
                <w:ilvl w:val="0"/>
                <w:numId w:val="8"/>
              </w:numPr>
              <w:tabs>
                <w:tab w:val="left" w:pos="360"/>
              </w:tabs>
              <w:autoSpaceDE w:val="0"/>
              <w:autoSpaceDN w:val="0"/>
              <w:adjustRightInd w:val="0"/>
              <w:spacing w:after="240"/>
              <w:ind w:left="669"/>
              <w:contextualSpacing w:val="0"/>
              <w:jc w:val="both"/>
              <w:rPr>
                <w:rFonts w:ascii="Times New Roman" w:hAnsi="Times New Roman" w:cs="Times New Roman"/>
                <w:sz w:val="24"/>
                <w:szCs w:val="24"/>
              </w:rPr>
            </w:pPr>
            <w:r w:rsidRPr="004E4FFA">
              <w:rPr>
                <w:rFonts w:ascii="Times New Roman" w:hAnsi="Times New Roman" w:cs="Times New Roman"/>
                <w:sz w:val="24"/>
                <w:szCs w:val="24"/>
              </w:rPr>
              <w:t>Nariadenie Rady (ES) č. 139/2004 z 20. januára 2004 o kontrole koncentrácií medzi podnikmi (Nariadenie ES o fúziách) (Ú. V. EÚ L 24, 29.1.2004, Mimoriadne vydanie Ú. v. EÚ, kap. 8/zv.3), gestor: PMÚ SR.</w:t>
            </w:r>
          </w:p>
          <w:p w14:paraId="2E47F20A" w14:textId="77777777" w:rsidR="00C747AF" w:rsidRPr="004E4FFA" w:rsidRDefault="00C747AF" w:rsidP="00C747AF">
            <w:pPr>
              <w:pStyle w:val="Odsekzoznamu"/>
              <w:widowControl w:val="0"/>
              <w:numPr>
                <w:ilvl w:val="0"/>
                <w:numId w:val="8"/>
              </w:numPr>
              <w:tabs>
                <w:tab w:val="left" w:pos="360"/>
              </w:tabs>
              <w:autoSpaceDE w:val="0"/>
              <w:autoSpaceDN w:val="0"/>
              <w:adjustRightInd w:val="0"/>
              <w:spacing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Nariadenie Európskeho parlamentu a Rady (EÚ) 20</w:t>
            </w:r>
            <w:r>
              <w:rPr>
                <w:rFonts w:ascii="Times New Roman" w:hAnsi="Times New Roman" w:cs="Times New Roman"/>
                <w:sz w:val="24"/>
                <w:szCs w:val="24"/>
              </w:rPr>
              <w:t>22/1925 zo 14. septembra 2022 o </w:t>
            </w:r>
            <w:proofErr w:type="spellStart"/>
            <w:r w:rsidRPr="004E4FFA">
              <w:rPr>
                <w:rFonts w:ascii="Times New Roman" w:hAnsi="Times New Roman" w:cs="Times New Roman"/>
                <w:sz w:val="24"/>
                <w:szCs w:val="24"/>
              </w:rPr>
              <w:t>súťažeschopných</w:t>
            </w:r>
            <w:proofErr w:type="spellEnd"/>
            <w:r w:rsidRPr="004E4FFA">
              <w:rPr>
                <w:rFonts w:ascii="Times New Roman" w:hAnsi="Times New Roman" w:cs="Times New Roman"/>
                <w:sz w:val="24"/>
                <w:szCs w:val="24"/>
              </w:rPr>
              <w:t xml:space="preserve"> a spravodlivých trhoch digitálneho sektora a o zmene smerníc (EÚ) 2019/1937 a (EÚ) 2020/1828 (akt o digitálnych trhoch) (Ú. v. EÚ L 265, 12.10.2022), gestor: MH SR</w:t>
            </w:r>
            <w:r>
              <w:rPr>
                <w:rFonts w:ascii="Times New Roman" w:hAnsi="Times New Roman" w:cs="Times New Roman"/>
                <w:sz w:val="24"/>
                <w:szCs w:val="24"/>
              </w:rPr>
              <w:t>,</w:t>
            </w:r>
            <w:r w:rsidRPr="004E4FFA">
              <w:rPr>
                <w:rFonts w:ascii="Times New Roman" w:hAnsi="Times New Roman" w:cs="Times New Roman"/>
                <w:sz w:val="24"/>
                <w:szCs w:val="24"/>
              </w:rPr>
              <w:t xml:space="preserve"> PMÚ SR.</w:t>
            </w:r>
          </w:p>
          <w:p w14:paraId="191D39A9" w14:textId="77777777" w:rsidR="00C747AF" w:rsidRPr="004E4FFA" w:rsidRDefault="00C747AF" w:rsidP="00C747AF">
            <w:pPr>
              <w:pStyle w:val="Odsekzoznamu"/>
              <w:widowControl w:val="0"/>
              <w:numPr>
                <w:ilvl w:val="0"/>
                <w:numId w:val="8"/>
              </w:numPr>
              <w:tabs>
                <w:tab w:val="left" w:pos="360"/>
              </w:tabs>
              <w:autoSpaceDE w:val="0"/>
              <w:autoSpaceDN w:val="0"/>
              <w:adjustRightInd w:val="0"/>
              <w:spacing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Nariadenie Európskeho parlamentu a Rady (EÚ) 2022/2560 zo 14. decembra 2022 o</w:t>
            </w:r>
            <w:r>
              <w:rPr>
                <w:rFonts w:ascii="Times New Roman" w:hAnsi="Times New Roman" w:cs="Times New Roman"/>
                <w:sz w:val="24"/>
                <w:szCs w:val="24"/>
              </w:rPr>
              <w:t> </w:t>
            </w:r>
            <w:r w:rsidRPr="004E4FFA">
              <w:rPr>
                <w:rFonts w:ascii="Times New Roman" w:hAnsi="Times New Roman" w:cs="Times New Roman"/>
                <w:sz w:val="24"/>
                <w:szCs w:val="24"/>
              </w:rPr>
              <w:t>zahraničných subvenciách narúšajúcich vnútorný trh (Ú. v. EÚ L 330, 23.12.2022)</w:t>
            </w:r>
            <w:r>
              <w:rPr>
                <w:rFonts w:ascii="Times New Roman" w:hAnsi="Times New Roman" w:cs="Times New Roman"/>
                <w:sz w:val="24"/>
                <w:szCs w:val="24"/>
              </w:rPr>
              <w:t xml:space="preserve">, gestor: </w:t>
            </w:r>
            <w:r w:rsidRPr="009D4D4C">
              <w:rPr>
                <w:rFonts w:ascii="Times New Roman" w:hAnsi="Times New Roman" w:cs="Times New Roman"/>
                <w:sz w:val="24"/>
                <w:szCs w:val="24"/>
              </w:rPr>
              <w:t>MH SR, PMÚ SR, ÚVO</w:t>
            </w:r>
            <w:r w:rsidRPr="004E4FFA">
              <w:rPr>
                <w:rFonts w:ascii="Times New Roman" w:hAnsi="Times New Roman" w:cs="Times New Roman"/>
                <w:sz w:val="24"/>
                <w:szCs w:val="24"/>
              </w:rPr>
              <w:t>.</w:t>
            </w:r>
          </w:p>
          <w:p w14:paraId="1139BB93" w14:textId="77777777" w:rsidR="00C747AF" w:rsidRDefault="00C747AF" w:rsidP="00C747AF">
            <w:pPr>
              <w:pStyle w:val="Odsekzoznamu"/>
              <w:widowControl w:val="0"/>
              <w:numPr>
                <w:ilvl w:val="0"/>
                <w:numId w:val="6"/>
              </w:numPr>
              <w:tabs>
                <w:tab w:val="left" w:pos="360"/>
              </w:tabs>
              <w:autoSpaceDE w:val="0"/>
              <w:autoSpaceDN w:val="0"/>
              <w:adjustRightInd w:val="0"/>
              <w:spacing w:before="240" w:after="240"/>
              <w:contextualSpacing w:val="0"/>
              <w:jc w:val="both"/>
              <w:rPr>
                <w:rFonts w:ascii="Times New Roman" w:hAnsi="Times New Roman" w:cs="Times New Roman"/>
                <w:sz w:val="24"/>
                <w:szCs w:val="24"/>
              </w:rPr>
            </w:pPr>
            <w:r w:rsidRPr="004E4FFA">
              <w:rPr>
                <w:rFonts w:ascii="Times New Roman" w:hAnsi="Times New Roman" w:cs="Times New Roman"/>
                <w:sz w:val="24"/>
                <w:szCs w:val="24"/>
              </w:rPr>
              <w:t>v judikatúre Súdneho dvora Európskej únie</w:t>
            </w:r>
          </w:p>
          <w:p w14:paraId="6EDDAC33" w14:textId="77777777" w:rsidR="00C747AF" w:rsidRPr="000A4DD1" w:rsidRDefault="00C747AF" w:rsidP="00C747AF">
            <w:pPr>
              <w:pStyle w:val="Odsekzoznamu"/>
              <w:widowControl w:val="0"/>
              <w:numPr>
                <w:ilvl w:val="0"/>
                <w:numId w:val="8"/>
              </w:numPr>
              <w:tabs>
                <w:tab w:val="left" w:pos="360"/>
              </w:tabs>
              <w:autoSpaceDE w:val="0"/>
              <w:autoSpaceDN w:val="0"/>
              <w:adjustRightInd w:val="0"/>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Nie je </w:t>
            </w:r>
            <w:r w:rsidRPr="00034C37">
              <w:rPr>
                <w:rFonts w:ascii="Times New Roman" w:hAnsi="Times New Roman" w:cs="Times New Roman"/>
                <w:bCs/>
                <w:sz w:val="24"/>
                <w:szCs w:val="24"/>
              </w:rPr>
              <w:t>upravený</w:t>
            </w:r>
            <w:r>
              <w:rPr>
                <w:rFonts w:ascii="Times New Roman" w:hAnsi="Times New Roman" w:cs="Times New Roman"/>
                <w:sz w:val="24"/>
                <w:szCs w:val="24"/>
              </w:rPr>
              <w:t xml:space="preserve"> v </w:t>
            </w:r>
            <w:r w:rsidRPr="004E4FFA">
              <w:rPr>
                <w:rFonts w:ascii="Times New Roman" w:hAnsi="Times New Roman" w:cs="Times New Roman"/>
                <w:sz w:val="24"/>
                <w:szCs w:val="24"/>
              </w:rPr>
              <w:t>judikatúre Súdneho dvora Európskej únie</w:t>
            </w:r>
            <w:r>
              <w:rPr>
                <w:rFonts w:ascii="Times New Roman" w:hAnsi="Times New Roman" w:cs="Times New Roman"/>
                <w:sz w:val="24"/>
                <w:szCs w:val="24"/>
              </w:rPr>
              <w:t>.</w:t>
            </w:r>
          </w:p>
        </w:tc>
      </w:tr>
    </w:tbl>
    <w:p w14:paraId="06AFDE39" w14:textId="77777777" w:rsidR="00C747AF" w:rsidRPr="004E4FFA" w:rsidRDefault="00C747AF" w:rsidP="00C747AF">
      <w:pPr>
        <w:tabs>
          <w:tab w:val="left" w:pos="360"/>
        </w:tabs>
        <w:spacing w:before="360" w:after="240"/>
        <w:jc w:val="both"/>
        <w:rPr>
          <w:rFonts w:ascii="Times New Roman" w:hAnsi="Times New Roman" w:cs="Times New Roman"/>
          <w:b/>
          <w:sz w:val="24"/>
          <w:szCs w:val="24"/>
        </w:rPr>
      </w:pPr>
      <w:r w:rsidRPr="004E4FFA">
        <w:rPr>
          <w:rFonts w:ascii="Times New Roman" w:hAnsi="Times New Roman" w:cs="Times New Roman"/>
          <w:b/>
          <w:sz w:val="24"/>
          <w:szCs w:val="24"/>
        </w:rPr>
        <w:t xml:space="preserve">4. </w:t>
      </w:r>
      <w:r w:rsidRPr="004E4FFA">
        <w:rPr>
          <w:rFonts w:ascii="Times New Roman" w:hAnsi="Times New Roman" w:cs="Times New Roman"/>
          <w:b/>
          <w:sz w:val="24"/>
          <w:szCs w:val="24"/>
        </w:rPr>
        <w:tab/>
        <w:t>Záväzky Slovenskej republiky vo vzťahu k Európskej únii:</w:t>
      </w:r>
    </w:p>
    <w:p w14:paraId="23ECEB27" w14:textId="77777777" w:rsidR="00C747AF" w:rsidRPr="00034C37" w:rsidRDefault="00C747AF" w:rsidP="00C747AF">
      <w:pPr>
        <w:pStyle w:val="Odsekzoznamu"/>
        <w:widowControl w:val="0"/>
        <w:numPr>
          <w:ilvl w:val="0"/>
          <w:numId w:val="7"/>
        </w:numPr>
        <w:autoSpaceDE w:val="0"/>
        <w:autoSpaceDN w:val="0"/>
        <w:adjustRightInd w:val="0"/>
        <w:spacing w:before="240" w:after="120" w:line="240" w:lineRule="auto"/>
        <w:ind w:left="851" w:hanging="357"/>
        <w:contextualSpacing w:val="0"/>
        <w:jc w:val="both"/>
        <w:rPr>
          <w:rFonts w:ascii="Times New Roman" w:hAnsi="Times New Roman" w:cs="Times New Roman"/>
          <w:b/>
          <w:sz w:val="24"/>
          <w:szCs w:val="24"/>
        </w:rPr>
      </w:pPr>
      <w:r w:rsidRPr="004E4FFA">
        <w:rPr>
          <w:rFonts w:ascii="Times New Roman" w:hAnsi="Times New Roman" w:cs="Times New Roman"/>
          <w:sz w:val="24"/>
          <w:szCs w:val="24"/>
        </w:rPr>
        <w:t>uviesť lehotu na prebranie príslušného právneho aktu Európskej únie, príp. aj osobitnú lehotu účinnosti jeho ustanovení</w:t>
      </w:r>
      <w:r>
        <w:rPr>
          <w:rFonts w:ascii="Times New Roman" w:hAnsi="Times New Roman" w:cs="Times New Roman"/>
          <w:sz w:val="24"/>
          <w:szCs w:val="24"/>
        </w:rPr>
        <w:t>,</w:t>
      </w:r>
    </w:p>
    <w:p w14:paraId="530604B8" w14:textId="77777777" w:rsidR="00C747AF" w:rsidRPr="00034C37" w:rsidRDefault="00C747AF" w:rsidP="00C747AF">
      <w:pPr>
        <w:pStyle w:val="Odsekzoznamu"/>
        <w:widowControl w:val="0"/>
        <w:numPr>
          <w:ilvl w:val="0"/>
          <w:numId w:val="10"/>
        </w:numPr>
        <w:tabs>
          <w:tab w:val="left" w:pos="360"/>
        </w:tabs>
        <w:autoSpaceDE w:val="0"/>
        <w:autoSpaceDN w:val="0"/>
        <w:adjustRightInd w:val="0"/>
        <w:spacing w:after="120" w:line="240" w:lineRule="auto"/>
        <w:ind w:left="1191" w:hanging="340"/>
        <w:contextualSpacing w:val="0"/>
        <w:jc w:val="both"/>
        <w:rPr>
          <w:rFonts w:ascii="Times New Roman" w:hAnsi="Times New Roman" w:cs="Times New Roman"/>
          <w:b/>
          <w:sz w:val="24"/>
          <w:szCs w:val="24"/>
        </w:rPr>
      </w:pPr>
      <w:r>
        <w:rPr>
          <w:rFonts w:ascii="Times New Roman" w:hAnsi="Times New Roman" w:cs="Times New Roman"/>
          <w:sz w:val="24"/>
          <w:szCs w:val="24"/>
        </w:rPr>
        <w:t>N</w:t>
      </w:r>
      <w:r w:rsidRPr="00034C37">
        <w:rPr>
          <w:rFonts w:ascii="Times New Roman" w:hAnsi="Times New Roman" w:cs="Times New Roman"/>
          <w:sz w:val="24"/>
          <w:szCs w:val="24"/>
        </w:rPr>
        <w:t xml:space="preserve">ávrhom zákona sa </w:t>
      </w:r>
      <w:r>
        <w:rPr>
          <w:rFonts w:ascii="Times New Roman" w:hAnsi="Times New Roman" w:cs="Times New Roman"/>
          <w:sz w:val="24"/>
          <w:szCs w:val="24"/>
        </w:rPr>
        <w:t>nepreberá</w:t>
      </w:r>
      <w:r w:rsidRPr="00034C37">
        <w:rPr>
          <w:rFonts w:ascii="Times New Roman" w:hAnsi="Times New Roman" w:cs="Times New Roman"/>
          <w:sz w:val="24"/>
          <w:szCs w:val="24"/>
        </w:rPr>
        <w:t xml:space="preserve"> právny akt Európskej únie.</w:t>
      </w:r>
    </w:p>
    <w:p w14:paraId="28EFE09C" w14:textId="77777777" w:rsidR="00C747AF" w:rsidRPr="004E4FFA" w:rsidRDefault="00C747AF" w:rsidP="00C747AF">
      <w:pPr>
        <w:pStyle w:val="Odsekzoznamu"/>
        <w:widowControl w:val="0"/>
        <w:numPr>
          <w:ilvl w:val="0"/>
          <w:numId w:val="7"/>
        </w:numPr>
        <w:autoSpaceDE w:val="0"/>
        <w:autoSpaceDN w:val="0"/>
        <w:adjustRightInd w:val="0"/>
        <w:spacing w:before="240" w:after="120" w:line="240" w:lineRule="auto"/>
        <w:ind w:left="851" w:hanging="357"/>
        <w:contextualSpacing w:val="0"/>
        <w:jc w:val="both"/>
        <w:rPr>
          <w:rFonts w:ascii="Times New Roman" w:hAnsi="Times New Roman" w:cs="Times New Roman"/>
          <w:b/>
          <w:sz w:val="24"/>
          <w:szCs w:val="24"/>
        </w:rPr>
      </w:pPr>
      <w:r w:rsidRPr="004E4FFA">
        <w:rPr>
          <w:rFonts w:ascii="Times New Roman" w:hAnsi="Times New Roman" w:cs="Times New Roman"/>
          <w:sz w:val="24"/>
          <w:szCs w:val="24"/>
        </w:rPr>
        <w:t xml:space="preserve">uviesť informáciu o začatí konania v rámci „EÚ Pilot“ alebo o začatí postupu Európskej komisie, alebo o konaní Súdneho dvora Európskej únie proti Slovenskej </w:t>
      </w:r>
      <w:r w:rsidRPr="004E4FFA">
        <w:rPr>
          <w:rFonts w:ascii="Times New Roman" w:hAnsi="Times New Roman" w:cs="Times New Roman"/>
          <w:sz w:val="24"/>
          <w:szCs w:val="24"/>
        </w:rPr>
        <w:lastRenderedPageBreak/>
        <w:t>republike podľa čl. 258 a 260 Zmluvy o fungovaní Európskej únie v jej platnom znení, spolu s uvedením konkrétnych vytýkaných nedostatkov a požiada</w:t>
      </w:r>
      <w:r>
        <w:rPr>
          <w:rFonts w:ascii="Times New Roman" w:hAnsi="Times New Roman" w:cs="Times New Roman"/>
          <w:sz w:val="24"/>
          <w:szCs w:val="24"/>
        </w:rPr>
        <w:t>viek na zabezpečenie nápravy so </w:t>
      </w:r>
      <w:r w:rsidRPr="004E4FFA">
        <w:rPr>
          <w:rFonts w:ascii="Times New Roman" w:hAnsi="Times New Roman" w:cs="Times New Roman"/>
          <w:sz w:val="24"/>
          <w:szCs w:val="24"/>
        </w:rPr>
        <w:t>zreteľom na nariadenie Európskeho parlamentu a Rady (ES) č. 1049/2001 z 30. mája 2001 o prístupe verejnosti k dokumentom Európskeho parlamentu, Rady a</w:t>
      </w:r>
      <w:r>
        <w:rPr>
          <w:rFonts w:ascii="Times New Roman" w:hAnsi="Times New Roman" w:cs="Times New Roman"/>
          <w:sz w:val="24"/>
          <w:szCs w:val="24"/>
        </w:rPr>
        <w:t> </w:t>
      </w:r>
      <w:r w:rsidRPr="004E4FFA">
        <w:rPr>
          <w:rFonts w:ascii="Times New Roman" w:hAnsi="Times New Roman" w:cs="Times New Roman"/>
          <w:sz w:val="24"/>
          <w:szCs w:val="24"/>
        </w:rPr>
        <w:t>Komisie</w:t>
      </w:r>
      <w:r>
        <w:rPr>
          <w:rFonts w:ascii="Times New Roman" w:hAnsi="Times New Roman" w:cs="Times New Roman"/>
          <w:sz w:val="24"/>
          <w:szCs w:val="24"/>
        </w:rPr>
        <w:t>,</w:t>
      </w:r>
    </w:p>
    <w:p w14:paraId="15888B61" w14:textId="77777777" w:rsidR="00C747AF" w:rsidRPr="00034C37" w:rsidRDefault="00C747AF" w:rsidP="00C747AF">
      <w:pPr>
        <w:pStyle w:val="Odsekzoznamu"/>
        <w:widowControl w:val="0"/>
        <w:numPr>
          <w:ilvl w:val="0"/>
          <w:numId w:val="10"/>
        </w:numPr>
        <w:tabs>
          <w:tab w:val="left" w:pos="360"/>
        </w:tabs>
        <w:autoSpaceDE w:val="0"/>
        <w:autoSpaceDN w:val="0"/>
        <w:adjustRightInd w:val="0"/>
        <w:spacing w:after="120" w:line="240" w:lineRule="auto"/>
        <w:ind w:left="1191" w:hanging="340"/>
        <w:contextualSpacing w:val="0"/>
        <w:jc w:val="both"/>
        <w:rPr>
          <w:rFonts w:ascii="Times New Roman" w:hAnsi="Times New Roman" w:cs="Times New Roman"/>
          <w:sz w:val="24"/>
          <w:szCs w:val="24"/>
        </w:rPr>
      </w:pPr>
      <w:r w:rsidRPr="00034C37">
        <w:rPr>
          <w:rFonts w:ascii="Times New Roman" w:hAnsi="Times New Roman" w:cs="Times New Roman"/>
          <w:sz w:val="24"/>
          <w:szCs w:val="24"/>
        </w:rPr>
        <w:t xml:space="preserve">V tejto súvislosti neprebieha proti Slovenskej republike </w:t>
      </w:r>
      <w:r>
        <w:rPr>
          <w:rFonts w:ascii="Times New Roman" w:hAnsi="Times New Roman" w:cs="Times New Roman"/>
          <w:sz w:val="24"/>
          <w:szCs w:val="24"/>
        </w:rPr>
        <w:t>žiadne konanie v rámci „EÚ </w:t>
      </w:r>
      <w:r w:rsidRPr="00034C37">
        <w:rPr>
          <w:rFonts w:ascii="Times New Roman" w:hAnsi="Times New Roman" w:cs="Times New Roman"/>
          <w:sz w:val="24"/>
          <w:szCs w:val="24"/>
        </w:rPr>
        <w:t>Pilot“ ani Európska komisia nezačala postup alebo Súdny dvor Európskej únie nezačal konanie proti Slovenskej republike podľa čl. 258 a 260 Zmluvy o fungovaní Európskej únie v platnom znení.</w:t>
      </w:r>
    </w:p>
    <w:p w14:paraId="3257BF63" w14:textId="77777777" w:rsidR="00C747AF" w:rsidRPr="00034C37" w:rsidRDefault="00C747AF" w:rsidP="00C747AF">
      <w:pPr>
        <w:pStyle w:val="Odsekzoznamu"/>
        <w:widowControl w:val="0"/>
        <w:numPr>
          <w:ilvl w:val="0"/>
          <w:numId w:val="7"/>
        </w:numPr>
        <w:autoSpaceDE w:val="0"/>
        <w:autoSpaceDN w:val="0"/>
        <w:adjustRightInd w:val="0"/>
        <w:spacing w:before="240" w:after="120" w:line="240" w:lineRule="auto"/>
        <w:ind w:left="851" w:hanging="357"/>
        <w:contextualSpacing w:val="0"/>
        <w:jc w:val="both"/>
        <w:rPr>
          <w:rFonts w:ascii="Times New Roman" w:hAnsi="Times New Roman" w:cs="Times New Roman"/>
          <w:b/>
          <w:sz w:val="24"/>
          <w:szCs w:val="24"/>
        </w:rPr>
      </w:pPr>
      <w:r w:rsidRPr="004558E3">
        <w:rPr>
          <w:rFonts w:ascii="Times New Roman" w:hAnsi="Times New Roman" w:cs="Times New Roman"/>
          <w:sz w:val="24"/>
          <w:szCs w:val="24"/>
        </w:rPr>
        <w:t>uviesť</w:t>
      </w:r>
      <w:r w:rsidRPr="004E4FFA">
        <w:rPr>
          <w:rFonts w:ascii="Times New Roman" w:hAnsi="Times New Roman" w:cs="Times New Roman"/>
          <w:sz w:val="24"/>
          <w:szCs w:val="24"/>
        </w:rPr>
        <w:t xml:space="preserve"> informáciu o právnych predpisoch, v ktorých sú uvádzané právne akty Európskej únie už prebrané, spolu s uvedením rozsahu ich prebrania, príp. potreby prijatia ďalších úprav</w:t>
      </w:r>
      <w:r>
        <w:rPr>
          <w:rFonts w:ascii="Times New Roman" w:hAnsi="Times New Roman" w:cs="Times New Roman"/>
          <w:sz w:val="24"/>
          <w:szCs w:val="24"/>
        </w:rPr>
        <w:t>.</w:t>
      </w:r>
    </w:p>
    <w:p w14:paraId="6B5606D0" w14:textId="77777777" w:rsidR="00C747AF" w:rsidRPr="00034C37" w:rsidRDefault="00C747AF" w:rsidP="00C747AF">
      <w:pPr>
        <w:pStyle w:val="Odsekzoznamu"/>
        <w:widowControl w:val="0"/>
        <w:numPr>
          <w:ilvl w:val="0"/>
          <w:numId w:val="10"/>
        </w:numPr>
        <w:tabs>
          <w:tab w:val="left" w:pos="360"/>
        </w:tabs>
        <w:autoSpaceDE w:val="0"/>
        <w:autoSpaceDN w:val="0"/>
        <w:adjustRightInd w:val="0"/>
        <w:spacing w:after="120" w:line="240" w:lineRule="auto"/>
        <w:ind w:left="1191" w:hanging="340"/>
        <w:contextualSpacing w:val="0"/>
        <w:jc w:val="both"/>
        <w:rPr>
          <w:rFonts w:ascii="Times New Roman" w:hAnsi="Times New Roman" w:cs="Times New Roman"/>
          <w:b/>
          <w:sz w:val="24"/>
          <w:szCs w:val="24"/>
        </w:rPr>
      </w:pPr>
      <w:r>
        <w:rPr>
          <w:rFonts w:ascii="Times New Roman" w:hAnsi="Times New Roman" w:cs="Times New Roman"/>
          <w:sz w:val="24"/>
          <w:szCs w:val="24"/>
        </w:rPr>
        <w:t>N</w:t>
      </w:r>
      <w:r w:rsidRPr="00034C37">
        <w:rPr>
          <w:rFonts w:ascii="Times New Roman" w:hAnsi="Times New Roman" w:cs="Times New Roman"/>
          <w:sz w:val="24"/>
          <w:szCs w:val="24"/>
        </w:rPr>
        <w:t xml:space="preserve">ávrhom zákona sa </w:t>
      </w:r>
      <w:r>
        <w:rPr>
          <w:rFonts w:ascii="Times New Roman" w:hAnsi="Times New Roman" w:cs="Times New Roman"/>
          <w:sz w:val="24"/>
          <w:szCs w:val="24"/>
        </w:rPr>
        <w:t>nepreberá</w:t>
      </w:r>
      <w:r w:rsidRPr="00034C37">
        <w:rPr>
          <w:rFonts w:ascii="Times New Roman" w:hAnsi="Times New Roman" w:cs="Times New Roman"/>
          <w:sz w:val="24"/>
          <w:szCs w:val="24"/>
        </w:rPr>
        <w:t xml:space="preserve"> právny akt Európskej únie.</w:t>
      </w:r>
    </w:p>
    <w:p w14:paraId="5E504F33" w14:textId="77777777" w:rsidR="00C747AF" w:rsidRPr="004E4FFA" w:rsidRDefault="00C747AF" w:rsidP="00C747AF">
      <w:pPr>
        <w:tabs>
          <w:tab w:val="left" w:pos="360"/>
        </w:tabs>
        <w:spacing w:before="360" w:after="240"/>
        <w:jc w:val="both"/>
        <w:rPr>
          <w:rFonts w:ascii="Times New Roman" w:hAnsi="Times New Roman" w:cs="Times New Roman"/>
          <w:b/>
          <w:sz w:val="24"/>
          <w:szCs w:val="24"/>
        </w:rPr>
      </w:pPr>
      <w:r w:rsidRPr="004E4FFA">
        <w:rPr>
          <w:rFonts w:ascii="Times New Roman" w:hAnsi="Times New Roman" w:cs="Times New Roman"/>
          <w:b/>
          <w:sz w:val="24"/>
          <w:szCs w:val="24"/>
        </w:rPr>
        <w:t>5. Návrh právneho predpisu je zlučiteľný s právom Európskej únie:</w:t>
      </w:r>
    </w:p>
    <w:p w14:paraId="49FB3842" w14:textId="77777777" w:rsidR="00C747AF" w:rsidRDefault="00C747AF" w:rsidP="00C747AF">
      <w:pPr>
        <w:ind w:firstLine="708"/>
        <w:rPr>
          <w:rFonts w:ascii="Times New Roman" w:hAnsi="Times New Roman" w:cs="Times New Roman"/>
          <w:sz w:val="24"/>
          <w:szCs w:val="24"/>
        </w:rPr>
      </w:pPr>
      <w:r w:rsidRPr="004E4FFA">
        <w:rPr>
          <w:rFonts w:ascii="Times New Roman" w:hAnsi="Times New Roman" w:cs="Times New Roman"/>
          <w:sz w:val="24"/>
          <w:szCs w:val="24"/>
        </w:rPr>
        <w:t>- úplne</w:t>
      </w:r>
    </w:p>
    <w:p w14:paraId="45AA28EC" w14:textId="77777777" w:rsidR="00C747AF" w:rsidRPr="004E4FFA" w:rsidRDefault="00C747AF" w:rsidP="00C747AF">
      <w:pPr>
        <w:ind w:firstLine="708"/>
        <w:rPr>
          <w:rFonts w:ascii="Times New Roman" w:hAnsi="Times New Roman" w:cs="Times New Roman"/>
          <w:sz w:val="24"/>
          <w:szCs w:val="24"/>
        </w:rPr>
      </w:pPr>
    </w:p>
    <w:p w14:paraId="2BF0C39F" w14:textId="77777777" w:rsidR="00C747AF" w:rsidRDefault="00C747AF">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E8D7517" w14:textId="77777777" w:rsidR="00C747AF" w:rsidRPr="00046A9A" w:rsidRDefault="00C747AF" w:rsidP="00C747AF">
      <w:pPr>
        <w:pStyle w:val="Odsekzoznamu"/>
        <w:numPr>
          <w:ilvl w:val="0"/>
          <w:numId w:val="11"/>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Osobitná</w:t>
      </w:r>
      <w:r w:rsidRPr="00046A9A">
        <w:rPr>
          <w:rFonts w:ascii="Times New Roman" w:hAnsi="Times New Roman" w:cs="Times New Roman"/>
          <w:b/>
          <w:sz w:val="24"/>
          <w:szCs w:val="24"/>
        </w:rPr>
        <w:t xml:space="preserve"> časť</w:t>
      </w:r>
    </w:p>
    <w:p w14:paraId="23D1D464" w14:textId="77777777" w:rsidR="00C747AF" w:rsidRDefault="00C747AF" w:rsidP="00C747AF">
      <w:pPr>
        <w:spacing w:after="0" w:line="240" w:lineRule="auto"/>
        <w:rPr>
          <w:rFonts w:ascii="Times New Roman" w:hAnsi="Times New Roman" w:cs="Times New Roman"/>
          <w:b/>
          <w:sz w:val="24"/>
          <w:szCs w:val="24"/>
          <w:u w:val="single"/>
        </w:rPr>
      </w:pPr>
      <w:r w:rsidRPr="00511393">
        <w:rPr>
          <w:rFonts w:ascii="Times New Roman" w:hAnsi="Times New Roman" w:cs="Times New Roman"/>
          <w:b/>
          <w:sz w:val="24"/>
          <w:szCs w:val="24"/>
          <w:u w:val="single"/>
        </w:rPr>
        <w:t>K Čl. I</w:t>
      </w:r>
    </w:p>
    <w:p w14:paraId="43CDBC6C" w14:textId="77777777" w:rsidR="00C747AF" w:rsidRDefault="00C747AF" w:rsidP="00C747AF">
      <w:pPr>
        <w:spacing w:before="360" w:after="240" w:line="240" w:lineRule="auto"/>
        <w:rPr>
          <w:rFonts w:ascii="Times New Roman" w:hAnsi="Times New Roman" w:cs="Times New Roman"/>
          <w:sz w:val="24"/>
          <w:szCs w:val="24"/>
        </w:rPr>
      </w:pPr>
      <w:r>
        <w:rPr>
          <w:rFonts w:ascii="Times New Roman" w:hAnsi="Times New Roman" w:cs="Times New Roman"/>
          <w:sz w:val="24"/>
          <w:szCs w:val="24"/>
        </w:rPr>
        <w:t>K bodu 1</w:t>
      </w:r>
    </w:p>
    <w:p w14:paraId="46C248A3" w14:textId="77777777" w:rsidR="00C747AF" w:rsidRDefault="00C747AF" w:rsidP="00C747A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V nadväznosti na prijatie nariadenia DMA a nariadenia o zahraničných subvenciách a potrebu ich implementácie dochádza k úprave poznámky pod čiarou k odkazu 11.</w:t>
      </w:r>
    </w:p>
    <w:p w14:paraId="2669610B" w14:textId="77777777" w:rsidR="00C747AF" w:rsidRDefault="00C747AF" w:rsidP="00C747AF">
      <w:pPr>
        <w:spacing w:before="360" w:after="240" w:line="240" w:lineRule="auto"/>
        <w:rPr>
          <w:rFonts w:ascii="Times New Roman" w:hAnsi="Times New Roman" w:cs="Times New Roman"/>
          <w:sz w:val="24"/>
          <w:szCs w:val="24"/>
        </w:rPr>
      </w:pPr>
      <w:r>
        <w:rPr>
          <w:rFonts w:ascii="Times New Roman" w:hAnsi="Times New Roman" w:cs="Times New Roman"/>
          <w:sz w:val="24"/>
          <w:szCs w:val="24"/>
        </w:rPr>
        <w:t xml:space="preserve">K bodu 2 </w:t>
      </w:r>
      <w:r w:rsidRPr="00401928">
        <w:rPr>
          <w:rFonts w:ascii="Times New Roman" w:hAnsi="Times New Roman" w:cs="Times New Roman"/>
          <w:sz w:val="24"/>
          <w:szCs w:val="24"/>
        </w:rPr>
        <w:t>[</w:t>
      </w:r>
      <w:r>
        <w:rPr>
          <w:rFonts w:ascii="Times New Roman" w:hAnsi="Times New Roman" w:cs="Times New Roman"/>
          <w:sz w:val="24"/>
          <w:szCs w:val="24"/>
        </w:rPr>
        <w:t>§ 16 ods. 1 písm. c) a d)</w:t>
      </w:r>
      <w:r w:rsidRPr="00401928">
        <w:rPr>
          <w:rFonts w:ascii="Times New Roman" w:hAnsi="Times New Roman" w:cs="Times New Roman"/>
          <w:sz w:val="24"/>
          <w:szCs w:val="24"/>
        </w:rPr>
        <w:t>]</w:t>
      </w:r>
    </w:p>
    <w:p w14:paraId="33BCB5F1" w14:textId="77777777" w:rsidR="00C747AF" w:rsidRPr="001A4090" w:rsidRDefault="00C747AF" w:rsidP="00C747AF">
      <w:pPr>
        <w:spacing w:after="120" w:line="240" w:lineRule="auto"/>
        <w:jc w:val="both"/>
        <w:rPr>
          <w:rFonts w:ascii="Times New Roman" w:hAnsi="Times New Roman" w:cs="Times New Roman"/>
          <w:color w:val="000000"/>
          <w:sz w:val="24"/>
          <w:szCs w:val="24"/>
        </w:rPr>
      </w:pPr>
      <w:r w:rsidRPr="001A4090">
        <w:rPr>
          <w:rFonts w:ascii="Times New Roman" w:hAnsi="Times New Roman" w:cs="Times New Roman"/>
          <w:color w:val="000000"/>
          <w:sz w:val="24"/>
          <w:szCs w:val="24"/>
        </w:rPr>
        <w:t xml:space="preserve">Nariadenie DMA </w:t>
      </w:r>
      <w:r>
        <w:rPr>
          <w:rFonts w:ascii="Times New Roman" w:hAnsi="Times New Roman" w:cs="Times New Roman"/>
          <w:color w:val="000000"/>
          <w:sz w:val="24"/>
          <w:szCs w:val="24"/>
        </w:rPr>
        <w:t>určuje subjekty, ktorým ustanovuje povinnosti, pričom u</w:t>
      </w:r>
      <w:r w:rsidRPr="001A4090">
        <w:rPr>
          <w:rFonts w:ascii="Times New Roman" w:hAnsi="Times New Roman" w:cs="Times New Roman"/>
          <w:color w:val="000000"/>
          <w:sz w:val="24"/>
          <w:szCs w:val="24"/>
        </w:rPr>
        <w:t xml:space="preserve">stanovuje </w:t>
      </w:r>
      <w:r>
        <w:rPr>
          <w:rFonts w:ascii="Times New Roman" w:hAnsi="Times New Roman" w:cs="Times New Roman"/>
          <w:color w:val="000000"/>
          <w:sz w:val="24"/>
          <w:szCs w:val="24"/>
        </w:rPr>
        <w:t xml:space="preserve">určité </w:t>
      </w:r>
      <w:r w:rsidRPr="001A4090">
        <w:rPr>
          <w:rFonts w:ascii="Times New Roman" w:hAnsi="Times New Roman" w:cs="Times New Roman"/>
          <w:color w:val="000000"/>
          <w:sz w:val="24"/>
          <w:szCs w:val="24"/>
        </w:rPr>
        <w:t>povinnosti členským štátom, príslušným orgánom určených členským štátom a úradom na</w:t>
      </w:r>
      <w:r>
        <w:rPr>
          <w:rFonts w:ascii="Times New Roman" w:hAnsi="Times New Roman" w:cs="Times New Roman"/>
          <w:color w:val="000000"/>
          <w:sz w:val="24"/>
          <w:szCs w:val="24"/>
        </w:rPr>
        <w:t> </w:t>
      </w:r>
      <w:r w:rsidRPr="001A4090">
        <w:rPr>
          <w:rFonts w:ascii="Times New Roman" w:hAnsi="Times New Roman" w:cs="Times New Roman"/>
          <w:color w:val="000000"/>
          <w:sz w:val="24"/>
          <w:szCs w:val="24"/>
        </w:rPr>
        <w:t xml:space="preserve">ochranu hospodárskej súťaže. Návrh zákona kumuluje plnenie </w:t>
      </w:r>
      <w:r>
        <w:rPr>
          <w:rFonts w:ascii="Times New Roman" w:hAnsi="Times New Roman" w:cs="Times New Roman"/>
          <w:color w:val="000000"/>
          <w:sz w:val="24"/>
          <w:szCs w:val="24"/>
        </w:rPr>
        <w:t xml:space="preserve">týchto </w:t>
      </w:r>
      <w:r w:rsidRPr="001A4090">
        <w:rPr>
          <w:rFonts w:ascii="Times New Roman" w:hAnsi="Times New Roman" w:cs="Times New Roman"/>
          <w:color w:val="000000"/>
          <w:sz w:val="24"/>
          <w:szCs w:val="24"/>
        </w:rPr>
        <w:t>povinností v je</w:t>
      </w:r>
      <w:r>
        <w:rPr>
          <w:rFonts w:ascii="Times New Roman" w:hAnsi="Times New Roman" w:cs="Times New Roman"/>
          <w:color w:val="000000"/>
          <w:sz w:val="24"/>
          <w:szCs w:val="24"/>
        </w:rPr>
        <w:t>d</w:t>
      </w:r>
      <w:r w:rsidRPr="001A4090">
        <w:rPr>
          <w:rFonts w:ascii="Times New Roman" w:hAnsi="Times New Roman" w:cs="Times New Roman"/>
          <w:color w:val="000000"/>
          <w:sz w:val="24"/>
          <w:szCs w:val="24"/>
        </w:rPr>
        <w:t xml:space="preserve">nom ústrednom orgáne štátnej správy Slovenskej republiky, ktorým bude úrad. </w:t>
      </w:r>
      <w:r>
        <w:rPr>
          <w:rFonts w:ascii="Times New Roman" w:hAnsi="Times New Roman" w:cs="Times New Roman"/>
          <w:color w:val="000000"/>
          <w:sz w:val="24"/>
          <w:szCs w:val="24"/>
        </w:rPr>
        <w:t>Nariadenie DMA umožňuje Komisii požiadať úrad o</w:t>
      </w:r>
      <w:r w:rsidRPr="00463F79">
        <w:rPr>
          <w:rFonts w:ascii="Times New Roman" w:hAnsi="Times New Roman" w:cs="Times New Roman"/>
          <w:color w:val="000000"/>
          <w:sz w:val="24"/>
          <w:szCs w:val="24"/>
        </w:rPr>
        <w:t xml:space="preserve"> podporu pri ktoromkoľvek zo svojich prieskumov trhu podľa tohto nariadenia</w:t>
      </w:r>
      <w:r>
        <w:rPr>
          <w:rFonts w:ascii="Times New Roman" w:hAnsi="Times New Roman" w:cs="Times New Roman"/>
          <w:color w:val="000000"/>
          <w:sz w:val="24"/>
          <w:szCs w:val="24"/>
        </w:rPr>
        <w:t xml:space="preserve">. Je preto potrebné, aby mal úrad právomoc vykonať prešetrovanie na tento účel. </w:t>
      </w:r>
      <w:r w:rsidRPr="001A4090">
        <w:rPr>
          <w:rFonts w:ascii="Times New Roman" w:hAnsi="Times New Roman" w:cs="Times New Roman"/>
          <w:color w:val="000000"/>
          <w:sz w:val="24"/>
          <w:szCs w:val="24"/>
        </w:rPr>
        <w:t xml:space="preserve">Aj keď nariadenie DMA </w:t>
      </w:r>
      <w:r>
        <w:rPr>
          <w:rFonts w:ascii="Times New Roman" w:hAnsi="Times New Roman" w:cs="Times New Roman"/>
          <w:color w:val="000000"/>
          <w:sz w:val="24"/>
          <w:szCs w:val="24"/>
        </w:rPr>
        <w:t>u</w:t>
      </w:r>
      <w:r w:rsidRPr="001A4090">
        <w:rPr>
          <w:rFonts w:ascii="Times New Roman" w:hAnsi="Times New Roman" w:cs="Times New Roman"/>
          <w:color w:val="000000"/>
          <w:sz w:val="24"/>
          <w:szCs w:val="24"/>
        </w:rPr>
        <w:t>stanovuje ako jediný orgán vymáhania pravidiel podľa nariadenia DMA Komisiu, ponecháva istý priestor pre vykonanie prešetrovani</w:t>
      </w:r>
      <w:r>
        <w:rPr>
          <w:rFonts w:ascii="Times New Roman" w:hAnsi="Times New Roman" w:cs="Times New Roman"/>
          <w:color w:val="000000"/>
          <w:sz w:val="24"/>
          <w:szCs w:val="24"/>
        </w:rPr>
        <w:t>a</w:t>
      </w:r>
      <w:r w:rsidRPr="001A4090">
        <w:rPr>
          <w:rFonts w:ascii="Times New Roman" w:hAnsi="Times New Roman" w:cs="Times New Roman"/>
          <w:color w:val="000000"/>
          <w:sz w:val="24"/>
          <w:szCs w:val="24"/>
        </w:rPr>
        <w:t xml:space="preserve"> aj členským štátom, a to v čl. 38 ods. 7 nariadenia DMA.</w:t>
      </w:r>
      <w:r>
        <w:rPr>
          <w:rFonts w:ascii="Times New Roman" w:hAnsi="Times New Roman" w:cs="Times New Roman"/>
          <w:color w:val="000000"/>
          <w:sz w:val="24"/>
          <w:szCs w:val="24"/>
        </w:rPr>
        <w:t xml:space="preserve"> Uvedené je tak potrebné premietnuť do právneho poriadku Slovenskej republiky.</w:t>
      </w:r>
      <w:r w:rsidRPr="001A40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Č</w:t>
      </w:r>
      <w:r w:rsidRPr="001A4090">
        <w:rPr>
          <w:rFonts w:ascii="Times New Roman" w:hAnsi="Times New Roman" w:cs="Times New Roman"/>
          <w:color w:val="000000"/>
          <w:sz w:val="24"/>
          <w:szCs w:val="24"/>
        </w:rPr>
        <w:t>lenské štáty môžu podľa</w:t>
      </w:r>
      <w:r>
        <w:rPr>
          <w:rFonts w:ascii="Times New Roman" w:hAnsi="Times New Roman" w:cs="Times New Roman"/>
          <w:color w:val="000000"/>
          <w:sz w:val="24"/>
          <w:szCs w:val="24"/>
        </w:rPr>
        <w:t> </w:t>
      </w:r>
      <w:r w:rsidRPr="001A4090">
        <w:rPr>
          <w:rFonts w:ascii="Times New Roman" w:hAnsi="Times New Roman" w:cs="Times New Roman"/>
          <w:color w:val="000000"/>
          <w:sz w:val="24"/>
          <w:szCs w:val="24"/>
        </w:rPr>
        <w:t>čl.</w:t>
      </w:r>
      <w:r>
        <w:rPr>
          <w:rFonts w:ascii="Times New Roman" w:hAnsi="Times New Roman" w:cs="Times New Roman"/>
          <w:color w:val="000000"/>
          <w:sz w:val="24"/>
          <w:szCs w:val="24"/>
        </w:rPr>
        <w:t> </w:t>
      </w:r>
      <w:r w:rsidRPr="001A4090">
        <w:rPr>
          <w:rFonts w:ascii="Times New Roman" w:hAnsi="Times New Roman" w:cs="Times New Roman"/>
          <w:color w:val="000000"/>
          <w:sz w:val="24"/>
          <w:szCs w:val="24"/>
        </w:rPr>
        <w:t xml:space="preserve">41 nariadenia DMA Komisii navrhnúť preskúmanie dodržiavania konkrétnych článkov nariadenia DMA, resp. vykonania prieskumu trhu, napríklad, ak usudzujú, že existujú opodstatnené dôvody domnievať sa, že by určitý podnik mal byť označený za strážcu prístupu, že existujú opodstatnené dôvody domnievať sa, že strážca prístupu systematicky porušoval jednu alebo viaceré vymedzené povinnosti, prípadne, že existujú opodstatnené dôvody domnievať sa, </w:t>
      </w:r>
      <w:r>
        <w:rPr>
          <w:rFonts w:ascii="Times New Roman" w:hAnsi="Times New Roman" w:cs="Times New Roman"/>
          <w:color w:val="000000"/>
          <w:sz w:val="24"/>
          <w:szCs w:val="24"/>
        </w:rPr>
        <w:t xml:space="preserve">že </w:t>
      </w:r>
      <w:r w:rsidRPr="001A4090">
        <w:rPr>
          <w:rFonts w:ascii="Times New Roman" w:hAnsi="Times New Roman" w:cs="Times New Roman"/>
          <w:color w:val="000000"/>
          <w:sz w:val="24"/>
          <w:szCs w:val="24"/>
        </w:rPr>
        <w:t>by sa mala doplniť jedna alebo viac služieb v rámci digitálneho sektora do zoznamu základných platformových služieb podľa čl</w:t>
      </w:r>
      <w:r>
        <w:rPr>
          <w:rFonts w:ascii="Times New Roman" w:hAnsi="Times New Roman" w:cs="Times New Roman"/>
          <w:color w:val="000000"/>
          <w:sz w:val="24"/>
          <w:szCs w:val="24"/>
        </w:rPr>
        <w:t>.</w:t>
      </w:r>
      <w:r w:rsidRPr="001A4090">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ods.</w:t>
      </w:r>
      <w:r w:rsidRPr="001A4090">
        <w:rPr>
          <w:rFonts w:ascii="Times New Roman" w:hAnsi="Times New Roman" w:cs="Times New Roman"/>
          <w:color w:val="000000"/>
          <w:sz w:val="24"/>
          <w:szCs w:val="24"/>
        </w:rPr>
        <w:t xml:space="preserve"> 2 nariadenia DMA alebo </w:t>
      </w:r>
      <w:r>
        <w:rPr>
          <w:rFonts w:ascii="Times New Roman" w:hAnsi="Times New Roman" w:cs="Times New Roman"/>
          <w:color w:val="000000"/>
          <w:sz w:val="24"/>
          <w:szCs w:val="24"/>
        </w:rPr>
        <w:t xml:space="preserve">že </w:t>
      </w:r>
      <w:r w:rsidRPr="001A4090">
        <w:rPr>
          <w:rFonts w:ascii="Times New Roman" w:hAnsi="Times New Roman" w:cs="Times New Roman"/>
          <w:color w:val="000000"/>
          <w:sz w:val="24"/>
          <w:szCs w:val="24"/>
        </w:rPr>
        <w:t xml:space="preserve">sa v nariadení DMA účinne neupravuje jedna alebo viaceré praktiky, ktoré by mohli viesť k obmedzeniu </w:t>
      </w:r>
      <w:proofErr w:type="spellStart"/>
      <w:r w:rsidRPr="001A4090">
        <w:rPr>
          <w:rFonts w:ascii="Times New Roman" w:hAnsi="Times New Roman" w:cs="Times New Roman"/>
          <w:color w:val="000000"/>
          <w:sz w:val="24"/>
          <w:szCs w:val="24"/>
        </w:rPr>
        <w:t>súťažeschopnosti</w:t>
      </w:r>
      <w:proofErr w:type="spellEnd"/>
      <w:r w:rsidRPr="001A4090">
        <w:rPr>
          <w:rFonts w:ascii="Times New Roman" w:hAnsi="Times New Roman" w:cs="Times New Roman"/>
          <w:color w:val="000000"/>
          <w:sz w:val="24"/>
          <w:szCs w:val="24"/>
        </w:rPr>
        <w:t xml:space="preserve"> základných platformových služieb alebo by mohli byť nekalé. Na tento účel sú však členské štáty povinné Komisii predložiť aj dôkazy.</w:t>
      </w:r>
    </w:p>
    <w:p w14:paraId="699CBB4F" w14:textId="77777777" w:rsidR="00C747AF" w:rsidRDefault="00C747AF" w:rsidP="00C747AF">
      <w:pPr>
        <w:spacing w:after="120" w:line="240" w:lineRule="auto"/>
        <w:jc w:val="both"/>
        <w:rPr>
          <w:rFonts w:ascii="Times New Roman" w:hAnsi="Times New Roman" w:cs="Times New Roman"/>
          <w:color w:val="000000"/>
          <w:sz w:val="24"/>
          <w:szCs w:val="24"/>
        </w:rPr>
      </w:pPr>
      <w:r w:rsidRPr="001A4090">
        <w:rPr>
          <w:rFonts w:ascii="Times New Roman" w:hAnsi="Times New Roman" w:cs="Times New Roman"/>
          <w:color w:val="000000"/>
          <w:sz w:val="24"/>
          <w:szCs w:val="24"/>
        </w:rPr>
        <w:t xml:space="preserve">S ohľadom na uvedené je potrebné </w:t>
      </w:r>
      <w:r>
        <w:rPr>
          <w:rFonts w:ascii="Times New Roman" w:hAnsi="Times New Roman" w:cs="Times New Roman"/>
          <w:color w:val="000000"/>
          <w:sz w:val="24"/>
          <w:szCs w:val="24"/>
        </w:rPr>
        <w:t>u</w:t>
      </w:r>
      <w:r w:rsidRPr="001A4090">
        <w:rPr>
          <w:rFonts w:ascii="Times New Roman" w:hAnsi="Times New Roman" w:cs="Times New Roman"/>
          <w:color w:val="000000"/>
          <w:sz w:val="24"/>
          <w:szCs w:val="24"/>
        </w:rPr>
        <w:t>stanoviť možnosť prešetrovania pre úrad aj na účel vykonávania nariadenia DMA. Ak podľa nariadenia DMA úrad požiada Komisiu o vykonanie prieskumu trhu podľa čl.</w:t>
      </w:r>
      <w:r>
        <w:rPr>
          <w:rFonts w:ascii="Times New Roman" w:hAnsi="Times New Roman" w:cs="Times New Roman"/>
          <w:color w:val="000000"/>
          <w:sz w:val="24"/>
          <w:szCs w:val="24"/>
        </w:rPr>
        <w:t xml:space="preserve"> </w:t>
      </w:r>
      <w:r w:rsidRPr="001A4090">
        <w:rPr>
          <w:rFonts w:ascii="Times New Roman" w:hAnsi="Times New Roman" w:cs="Times New Roman"/>
          <w:color w:val="000000"/>
          <w:sz w:val="24"/>
          <w:szCs w:val="24"/>
        </w:rPr>
        <w:t xml:space="preserve">41 nariadenia DMA, je povinný k takému návrhu predložiť aj dôkazy. </w:t>
      </w:r>
    </w:p>
    <w:p w14:paraId="3CCAC0F5" w14:textId="77777777" w:rsidR="00C747AF" w:rsidRDefault="00C747AF" w:rsidP="00C747AF">
      <w:pPr>
        <w:spacing w:after="120" w:line="240" w:lineRule="auto"/>
        <w:jc w:val="both"/>
        <w:rPr>
          <w:rFonts w:ascii="Times New Roman" w:hAnsi="Times New Roman" w:cs="Times New Roman"/>
          <w:color w:val="000000"/>
          <w:sz w:val="24"/>
          <w:szCs w:val="24"/>
        </w:rPr>
      </w:pPr>
      <w:r w:rsidRPr="001A4090">
        <w:rPr>
          <w:rFonts w:ascii="Times New Roman" w:hAnsi="Times New Roman" w:cs="Times New Roman"/>
          <w:color w:val="000000"/>
          <w:sz w:val="24"/>
          <w:szCs w:val="24"/>
        </w:rPr>
        <w:t xml:space="preserve">Je preto potrebné zabezpečiť, aby úrad mohol Komisii predložiť kvalifikovaný návrh a na ten účel v prípade potreby vykonať prešetrovanie. </w:t>
      </w:r>
    </w:p>
    <w:p w14:paraId="49594920" w14:textId="77777777" w:rsidR="00C747AF" w:rsidRDefault="00C747AF" w:rsidP="00C747AF">
      <w:pPr>
        <w:spacing w:after="120" w:line="240" w:lineRule="auto"/>
        <w:jc w:val="both"/>
        <w:rPr>
          <w:rFonts w:ascii="Times New Roman" w:hAnsi="Times New Roman" w:cs="Times New Roman"/>
          <w:color w:val="000000"/>
          <w:sz w:val="24"/>
          <w:szCs w:val="24"/>
        </w:rPr>
      </w:pPr>
      <w:r w:rsidRPr="001A4090">
        <w:rPr>
          <w:rFonts w:ascii="Times New Roman" w:hAnsi="Times New Roman" w:cs="Times New Roman"/>
          <w:color w:val="000000"/>
          <w:sz w:val="24"/>
          <w:szCs w:val="24"/>
        </w:rPr>
        <w:t>Zároveň by úrad mal byť plnohodnotným partnerom spolupráce pre Komisiu a v rámci ostatných spolupracujúcich inštitúcií v </w:t>
      </w:r>
      <w:r>
        <w:rPr>
          <w:rFonts w:ascii="Times New Roman" w:hAnsi="Times New Roman" w:cs="Times New Roman"/>
          <w:color w:val="000000"/>
          <w:sz w:val="24"/>
          <w:szCs w:val="24"/>
        </w:rPr>
        <w:t>Európskej únii</w:t>
      </w:r>
      <w:r w:rsidRPr="001A4090">
        <w:rPr>
          <w:rFonts w:ascii="Times New Roman" w:hAnsi="Times New Roman" w:cs="Times New Roman"/>
          <w:color w:val="000000"/>
          <w:sz w:val="24"/>
          <w:szCs w:val="24"/>
        </w:rPr>
        <w:t xml:space="preserve"> a poznať podmienky v oblasti dig</w:t>
      </w:r>
      <w:r>
        <w:rPr>
          <w:rFonts w:ascii="Times New Roman" w:hAnsi="Times New Roman" w:cs="Times New Roman"/>
          <w:color w:val="000000"/>
          <w:sz w:val="24"/>
          <w:szCs w:val="24"/>
        </w:rPr>
        <w:t>itálnych trhov, čo bez možnosti vykonávať prešetrovania s použitím ďalších právomocí, na ten účel nebude možné.</w:t>
      </w:r>
    </w:p>
    <w:p w14:paraId="01572D77" w14:textId="77777777" w:rsidR="00C747AF" w:rsidRDefault="00C747AF" w:rsidP="00C747AF">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Navrhované ustanovenie § 16 ods. 1 písm. c) používa pojem podnikateľ, pričom p</w:t>
      </w:r>
      <w:r>
        <w:rPr>
          <w:rFonts w:ascii="Times New Roman" w:hAnsi="Times New Roman" w:cs="Times New Roman"/>
          <w:sz w:val="24"/>
          <w:szCs w:val="24"/>
        </w:rPr>
        <w:t xml:space="preserve">ojem strážca prístupu je definovaný v čl. 2 ods. 1 nariadenia DMA a označuje podnik poskytujúci základné platformové služby označené podľa čl. 3 nariadenia DMA. Strážcom prístupu sa podľa nariadenia rozumie nielen podnik spĺňajúci kvantitatívne </w:t>
      </w:r>
      <w:r w:rsidRPr="00FB450C">
        <w:rPr>
          <w:rFonts w:ascii="Times New Roman" w:hAnsi="Times New Roman" w:cs="Times New Roman"/>
          <w:sz w:val="24"/>
          <w:szCs w:val="24"/>
        </w:rPr>
        <w:t>prahové hodnoty stanovené v tomto nariadení</w:t>
      </w:r>
      <w:r>
        <w:rPr>
          <w:rFonts w:ascii="Times New Roman" w:hAnsi="Times New Roman" w:cs="Times New Roman"/>
          <w:sz w:val="24"/>
          <w:szCs w:val="24"/>
        </w:rPr>
        <w:t>, ale z</w:t>
      </w:r>
      <w:r w:rsidRPr="00FB450C">
        <w:rPr>
          <w:rFonts w:ascii="Times New Roman" w:hAnsi="Times New Roman" w:cs="Times New Roman"/>
          <w:sz w:val="24"/>
          <w:szCs w:val="24"/>
        </w:rPr>
        <w:t xml:space="preserve">a strážcu prístupu môže byť </w:t>
      </w:r>
      <w:r>
        <w:rPr>
          <w:rFonts w:ascii="Times New Roman" w:hAnsi="Times New Roman" w:cs="Times New Roman"/>
          <w:sz w:val="24"/>
          <w:szCs w:val="24"/>
        </w:rPr>
        <w:t xml:space="preserve">podľa nariadenia </w:t>
      </w:r>
      <w:r w:rsidRPr="00FB450C">
        <w:rPr>
          <w:rFonts w:ascii="Times New Roman" w:hAnsi="Times New Roman" w:cs="Times New Roman"/>
          <w:sz w:val="24"/>
          <w:szCs w:val="24"/>
        </w:rPr>
        <w:t xml:space="preserve">identifikovaný aj podnik, ktorý </w:t>
      </w:r>
      <w:r>
        <w:rPr>
          <w:rFonts w:ascii="Times New Roman" w:hAnsi="Times New Roman" w:cs="Times New Roman"/>
          <w:sz w:val="24"/>
          <w:szCs w:val="24"/>
        </w:rPr>
        <w:t>spĺňa len prierezové kval</w:t>
      </w:r>
      <w:r w:rsidRPr="00FB450C">
        <w:rPr>
          <w:rFonts w:ascii="Times New Roman" w:hAnsi="Times New Roman" w:cs="Times New Roman"/>
          <w:sz w:val="24"/>
          <w:szCs w:val="24"/>
        </w:rPr>
        <w:t>itatívne kritériá a môže byť označený za „budúceho“ vznikajúceho strážcu prístupu, hoci len dočasne, v dôsledku čoho mu môžu byť uložené</w:t>
      </w:r>
      <w:r>
        <w:rPr>
          <w:rFonts w:ascii="Times New Roman" w:hAnsi="Times New Roman" w:cs="Times New Roman"/>
          <w:sz w:val="24"/>
          <w:szCs w:val="24"/>
        </w:rPr>
        <w:t xml:space="preserve"> niektoré</w:t>
      </w:r>
      <w:r w:rsidRPr="00FB450C">
        <w:rPr>
          <w:rFonts w:ascii="Times New Roman" w:hAnsi="Times New Roman" w:cs="Times New Roman"/>
          <w:sz w:val="24"/>
          <w:szCs w:val="24"/>
        </w:rPr>
        <w:t xml:space="preserve"> povinnosti</w:t>
      </w:r>
      <w:r>
        <w:rPr>
          <w:rFonts w:ascii="Times New Roman" w:hAnsi="Times New Roman" w:cs="Times New Roman"/>
          <w:sz w:val="24"/>
          <w:szCs w:val="24"/>
        </w:rPr>
        <w:t xml:space="preserve"> strážcu prístupu.</w:t>
      </w:r>
      <w:r w:rsidRPr="00FB450C">
        <w:rPr>
          <w:rFonts w:ascii="Times New Roman" w:hAnsi="Times New Roman" w:cs="Times New Roman"/>
          <w:sz w:val="24"/>
          <w:szCs w:val="24"/>
        </w:rPr>
        <w:t xml:space="preserve"> </w:t>
      </w:r>
    </w:p>
    <w:p w14:paraId="0877E3BC" w14:textId="77777777" w:rsidR="00C747AF" w:rsidRDefault="00C747AF" w:rsidP="00C747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Poskytovanie základných platformových služieb strážcami prístupu v zmysle čl. 3 nariadenia DMA je vo všeobecnosti možné považovať za ekonomickú aktivitu, ktorá spĺňa všetky znaky hospodárskej činnosti podľa definície podnikateľa v zmysle § 3 ods. 1 zákona </w:t>
      </w:r>
      <w:r w:rsidRPr="004261BB">
        <w:rPr>
          <w:rFonts w:ascii="Times New Roman" w:hAnsi="Times New Roman" w:cs="Times New Roman"/>
          <w:sz w:val="24"/>
          <w:szCs w:val="24"/>
        </w:rPr>
        <w:t>č. 187/2021 Z.</w:t>
      </w:r>
      <w:r>
        <w:rPr>
          <w:rFonts w:ascii="Times New Roman" w:hAnsi="Times New Roman" w:cs="Times New Roman"/>
          <w:sz w:val="24"/>
          <w:szCs w:val="24"/>
        </w:rPr>
        <w:t> </w:t>
      </w:r>
      <w:r w:rsidRPr="004261BB">
        <w:rPr>
          <w:rFonts w:ascii="Times New Roman" w:hAnsi="Times New Roman" w:cs="Times New Roman"/>
          <w:sz w:val="24"/>
          <w:szCs w:val="24"/>
        </w:rPr>
        <w:t>z. o ochrane hospodárskej súťaže a o zmene a doplnení niektorých zákonov</w:t>
      </w:r>
      <w:r>
        <w:rPr>
          <w:rFonts w:ascii="Times New Roman" w:hAnsi="Times New Roman" w:cs="Times New Roman"/>
          <w:sz w:val="24"/>
          <w:szCs w:val="24"/>
        </w:rPr>
        <w:t xml:space="preserve"> (ďalej len ako „zákon č. 187/2021 Z. z.“). Podľa uvedeného sa podnikateľom rozumie </w:t>
      </w:r>
      <w:r w:rsidRPr="00523F67">
        <w:rPr>
          <w:rFonts w:ascii="Times New Roman" w:hAnsi="Times New Roman" w:cs="Times New Roman"/>
          <w:sz w:val="24"/>
          <w:szCs w:val="24"/>
        </w:rPr>
        <w:t>entita, ktorá vykonáva hospodársku činnosť alebo ak ide o jej činnosť a konanie, ktoré súvisí alebo môže súvisieť so súťažou, bez ohľadu na jej právnu formu, existenciu právnej subjektivity, spôsob jej financovania, a to, či je jej činnosť zameraná na dosahovanie zisku.</w:t>
      </w:r>
      <w:r>
        <w:rPr>
          <w:rFonts w:ascii="Times New Roman" w:hAnsi="Times New Roman" w:cs="Times New Roman"/>
          <w:sz w:val="24"/>
          <w:szCs w:val="24"/>
        </w:rPr>
        <w:t xml:space="preserve"> V súlade s legislatívnou definíciou „podnikateľ“, ako je obsiahnutá v § 3 ods. 1 zákona</w:t>
      </w:r>
      <w:r w:rsidRPr="0042501E">
        <w:rPr>
          <w:rFonts w:ascii="Times New Roman" w:hAnsi="Times New Roman" w:cs="Times New Roman"/>
          <w:sz w:val="24"/>
          <w:szCs w:val="24"/>
        </w:rPr>
        <w:t xml:space="preserve"> </w:t>
      </w:r>
      <w:r>
        <w:rPr>
          <w:rFonts w:ascii="Times New Roman" w:hAnsi="Times New Roman" w:cs="Times New Roman"/>
          <w:sz w:val="24"/>
          <w:szCs w:val="24"/>
        </w:rPr>
        <w:t xml:space="preserve">č. 187/2021 Z. z., je vo všeobecnosti možné za podnikateľa považovať aj každého strážcu prístupu. </w:t>
      </w:r>
    </w:p>
    <w:p w14:paraId="7A684AEF" w14:textId="77777777" w:rsidR="00C747AF" w:rsidRDefault="00C747AF" w:rsidP="00C747AF">
      <w:pPr>
        <w:spacing w:after="120" w:line="240" w:lineRule="auto"/>
        <w:jc w:val="both"/>
        <w:rPr>
          <w:rFonts w:ascii="Times New Roman" w:hAnsi="Times New Roman" w:cs="Times New Roman"/>
          <w:color w:val="000000"/>
          <w:sz w:val="24"/>
          <w:szCs w:val="24"/>
        </w:rPr>
      </w:pPr>
      <w:r w:rsidRPr="0082799D">
        <w:rPr>
          <w:rFonts w:ascii="Times New Roman" w:hAnsi="Times New Roman" w:cs="Times New Roman"/>
          <w:sz w:val="24"/>
          <w:szCs w:val="24"/>
        </w:rPr>
        <w:t>Definícia podnikateľa</w:t>
      </w:r>
      <w:r>
        <w:rPr>
          <w:rFonts w:ascii="Times New Roman" w:hAnsi="Times New Roman" w:cs="Times New Roman"/>
          <w:sz w:val="24"/>
          <w:szCs w:val="24"/>
        </w:rPr>
        <w:t xml:space="preserve"> podľa § 3 ods. 1 zákona</w:t>
      </w:r>
      <w:r w:rsidRPr="0042501E">
        <w:rPr>
          <w:rFonts w:ascii="Times New Roman" w:hAnsi="Times New Roman" w:cs="Times New Roman"/>
          <w:sz w:val="24"/>
          <w:szCs w:val="24"/>
        </w:rPr>
        <w:t xml:space="preserve"> </w:t>
      </w:r>
      <w:r>
        <w:rPr>
          <w:rFonts w:ascii="Times New Roman" w:hAnsi="Times New Roman" w:cs="Times New Roman"/>
          <w:sz w:val="24"/>
          <w:szCs w:val="24"/>
        </w:rPr>
        <w:t>č. 187/2021 Z. z.,</w:t>
      </w:r>
      <w:r w:rsidRPr="0082799D">
        <w:rPr>
          <w:rFonts w:ascii="Times New Roman" w:hAnsi="Times New Roman" w:cs="Times New Roman"/>
          <w:sz w:val="24"/>
          <w:szCs w:val="24"/>
        </w:rPr>
        <w:t xml:space="preserve"> rovnako vychádza a je v súlade s konceptom „podniku“ podľa európskej judikatúry </w:t>
      </w:r>
      <w:r>
        <w:rPr>
          <w:rFonts w:ascii="Times New Roman" w:hAnsi="Times New Roman" w:cs="Times New Roman"/>
          <w:sz w:val="24"/>
          <w:szCs w:val="24"/>
        </w:rPr>
        <w:t xml:space="preserve">Súdneho dvora Európskej Únie </w:t>
      </w:r>
      <w:r w:rsidRPr="0082799D">
        <w:rPr>
          <w:rFonts w:ascii="Times New Roman" w:hAnsi="Times New Roman" w:cs="Times New Roman"/>
          <w:sz w:val="24"/>
          <w:szCs w:val="24"/>
        </w:rPr>
        <w:t>a rozhodovacej praxe európskych inštitúcií, z terminologického hľadiska je pojem „podnik“ v slovenskom právnom poriadku v inom význame po</w:t>
      </w:r>
      <w:r>
        <w:rPr>
          <w:rFonts w:ascii="Times New Roman" w:hAnsi="Times New Roman" w:cs="Times New Roman"/>
          <w:sz w:val="24"/>
          <w:szCs w:val="24"/>
        </w:rPr>
        <w:t xml:space="preserve">užívaný v Obchodnom zákonníku. </w:t>
      </w:r>
    </w:p>
    <w:p w14:paraId="0E0F9B8A" w14:textId="77777777" w:rsidR="00C747AF" w:rsidRDefault="00C747AF" w:rsidP="00C747AF">
      <w:pPr>
        <w:spacing w:before="360" w:after="240" w:line="240" w:lineRule="auto"/>
        <w:jc w:val="both"/>
        <w:rPr>
          <w:rFonts w:ascii="Times New Roman" w:hAnsi="Times New Roman" w:cs="Times New Roman"/>
          <w:color w:val="000000"/>
          <w:sz w:val="24"/>
          <w:szCs w:val="24"/>
        </w:rPr>
      </w:pPr>
      <w:r w:rsidRPr="00511393">
        <w:rPr>
          <w:rFonts w:ascii="Times New Roman" w:hAnsi="Times New Roman" w:cs="Times New Roman"/>
          <w:color w:val="000000"/>
          <w:sz w:val="24"/>
          <w:szCs w:val="24"/>
        </w:rPr>
        <w:t>K</w:t>
      </w:r>
      <w:r>
        <w:rPr>
          <w:rFonts w:ascii="Times New Roman" w:hAnsi="Times New Roman" w:cs="Times New Roman"/>
          <w:color w:val="000000"/>
          <w:sz w:val="24"/>
          <w:szCs w:val="24"/>
        </w:rPr>
        <w:t xml:space="preserve"> bodom 3 a 6 </w:t>
      </w:r>
      <w:r w:rsidRPr="00401928">
        <w:rPr>
          <w:rFonts w:ascii="Times New Roman" w:hAnsi="Times New Roman" w:cs="Times New Roman"/>
          <w:sz w:val="24"/>
          <w:szCs w:val="24"/>
        </w:rPr>
        <w:t>[</w:t>
      </w:r>
      <w:r w:rsidRPr="007715A4">
        <w:rPr>
          <w:rFonts w:ascii="Times New Roman" w:hAnsi="Times New Roman" w:cs="Times New Roman"/>
          <w:color w:val="000000"/>
          <w:sz w:val="24"/>
          <w:szCs w:val="24"/>
        </w:rPr>
        <w:t>§ 16 ods. 1 písm. h)</w:t>
      </w:r>
      <w:r>
        <w:rPr>
          <w:rFonts w:ascii="Times New Roman" w:hAnsi="Times New Roman" w:cs="Times New Roman"/>
          <w:color w:val="000000"/>
          <w:sz w:val="24"/>
          <w:szCs w:val="24"/>
        </w:rPr>
        <w:t xml:space="preserve"> a </w:t>
      </w:r>
      <w:r w:rsidRPr="007715A4">
        <w:rPr>
          <w:rFonts w:ascii="Times New Roman" w:hAnsi="Times New Roman" w:cs="Times New Roman"/>
          <w:color w:val="000000"/>
          <w:sz w:val="24"/>
          <w:szCs w:val="24"/>
        </w:rPr>
        <w:t>q)</w:t>
      </w:r>
      <w:r w:rsidRPr="00401928">
        <w:rPr>
          <w:rFonts w:ascii="Times New Roman" w:hAnsi="Times New Roman" w:cs="Times New Roman"/>
          <w:sz w:val="24"/>
          <w:szCs w:val="24"/>
        </w:rPr>
        <w:t>]</w:t>
      </w:r>
      <w:r>
        <w:rPr>
          <w:rFonts w:ascii="Times New Roman" w:hAnsi="Times New Roman" w:cs="Times New Roman"/>
          <w:sz w:val="24"/>
          <w:szCs w:val="24"/>
        </w:rPr>
        <w:t xml:space="preserve"> </w:t>
      </w:r>
    </w:p>
    <w:p w14:paraId="07CEBDCD" w14:textId="77777777" w:rsidR="00C747AF" w:rsidRDefault="00C747AF" w:rsidP="00C747AF">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Navrhuje sa zmena poznámky pod čiarou v nadväznosti na úpravu obsahu poznámky pod čiarou k odkazu 11.</w:t>
      </w:r>
    </w:p>
    <w:p w14:paraId="21540B96" w14:textId="77777777" w:rsidR="00C747AF" w:rsidRDefault="00C747AF" w:rsidP="00C747AF">
      <w:pPr>
        <w:spacing w:before="360" w:after="240" w:line="240" w:lineRule="auto"/>
        <w:jc w:val="both"/>
        <w:rPr>
          <w:rFonts w:ascii="Times New Roman" w:hAnsi="Times New Roman" w:cs="Times New Roman"/>
          <w:color w:val="000000"/>
          <w:sz w:val="24"/>
          <w:szCs w:val="24"/>
        </w:rPr>
      </w:pPr>
      <w:r w:rsidRPr="00511393">
        <w:rPr>
          <w:rFonts w:ascii="Times New Roman" w:hAnsi="Times New Roman" w:cs="Times New Roman"/>
          <w:color w:val="000000"/>
          <w:sz w:val="24"/>
          <w:szCs w:val="24"/>
        </w:rPr>
        <w:t>K</w:t>
      </w:r>
      <w:r>
        <w:rPr>
          <w:rFonts w:ascii="Times New Roman" w:hAnsi="Times New Roman" w:cs="Times New Roman"/>
          <w:color w:val="000000"/>
          <w:sz w:val="24"/>
          <w:szCs w:val="24"/>
        </w:rPr>
        <w:t xml:space="preserve"> bodu 4 </w:t>
      </w:r>
      <w:r w:rsidRPr="00401928">
        <w:rPr>
          <w:rFonts w:ascii="Times New Roman" w:hAnsi="Times New Roman" w:cs="Times New Roman"/>
          <w:sz w:val="24"/>
          <w:szCs w:val="24"/>
        </w:rPr>
        <w:t>[</w:t>
      </w:r>
      <w:r>
        <w:rPr>
          <w:rFonts w:ascii="Times New Roman" w:hAnsi="Times New Roman" w:cs="Times New Roman"/>
          <w:sz w:val="24"/>
          <w:szCs w:val="24"/>
        </w:rPr>
        <w:t>§ 16 ods. 1 písm. j)</w:t>
      </w:r>
      <w:r w:rsidRPr="00401928">
        <w:rPr>
          <w:rFonts w:ascii="Times New Roman" w:hAnsi="Times New Roman" w:cs="Times New Roman"/>
          <w:sz w:val="24"/>
          <w:szCs w:val="24"/>
        </w:rPr>
        <w:t>]</w:t>
      </w:r>
    </w:p>
    <w:p w14:paraId="304D301E" w14:textId="77777777" w:rsidR="00C747AF" w:rsidRDefault="00C747AF" w:rsidP="00C747AF">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1A4090">
        <w:rPr>
          <w:rFonts w:ascii="Times New Roman" w:hAnsi="Times New Roman" w:cs="Times New Roman"/>
          <w:color w:val="000000"/>
          <w:sz w:val="24"/>
          <w:szCs w:val="24"/>
        </w:rPr>
        <w:t xml:space="preserve">ariadenie DMA </w:t>
      </w:r>
      <w:r>
        <w:rPr>
          <w:rFonts w:ascii="Times New Roman" w:hAnsi="Times New Roman" w:cs="Times New Roman"/>
          <w:color w:val="000000"/>
          <w:sz w:val="24"/>
          <w:szCs w:val="24"/>
        </w:rPr>
        <w:t xml:space="preserve">určuje subjekty, ktorým stanovuje povinnosti, pričom niektoré z nich konkretizuje a vyplývajú pre úrady na ochranu hospodárskej súťaže priamo, pre iné je potrebné v rámci členského štátu určiť konkrétny subjekt. </w:t>
      </w:r>
      <w:r w:rsidRPr="001A4090">
        <w:rPr>
          <w:rFonts w:ascii="Times New Roman" w:hAnsi="Times New Roman" w:cs="Times New Roman"/>
          <w:color w:val="000000"/>
          <w:sz w:val="24"/>
          <w:szCs w:val="24"/>
        </w:rPr>
        <w:t xml:space="preserve">Návrh zákona kumuluje plnenie </w:t>
      </w:r>
      <w:r>
        <w:rPr>
          <w:rFonts w:ascii="Times New Roman" w:hAnsi="Times New Roman" w:cs="Times New Roman"/>
          <w:color w:val="000000"/>
          <w:sz w:val="24"/>
          <w:szCs w:val="24"/>
        </w:rPr>
        <w:t xml:space="preserve">týchto </w:t>
      </w:r>
      <w:r w:rsidRPr="001A4090">
        <w:rPr>
          <w:rFonts w:ascii="Times New Roman" w:hAnsi="Times New Roman" w:cs="Times New Roman"/>
          <w:color w:val="000000"/>
          <w:sz w:val="24"/>
          <w:szCs w:val="24"/>
        </w:rPr>
        <w:t>povinností v je</w:t>
      </w:r>
      <w:r>
        <w:rPr>
          <w:rFonts w:ascii="Times New Roman" w:hAnsi="Times New Roman" w:cs="Times New Roman"/>
          <w:color w:val="000000"/>
          <w:sz w:val="24"/>
          <w:szCs w:val="24"/>
        </w:rPr>
        <w:t>d</w:t>
      </w:r>
      <w:r w:rsidRPr="001A4090">
        <w:rPr>
          <w:rFonts w:ascii="Times New Roman" w:hAnsi="Times New Roman" w:cs="Times New Roman"/>
          <w:color w:val="000000"/>
          <w:sz w:val="24"/>
          <w:szCs w:val="24"/>
        </w:rPr>
        <w:t>nom ústrednom orgáne štátnej správy Slovenskej republiky, ktorým bude úrad.</w:t>
      </w:r>
      <w:r>
        <w:rPr>
          <w:rFonts w:ascii="Times New Roman" w:hAnsi="Times New Roman" w:cs="Times New Roman"/>
          <w:color w:val="000000"/>
          <w:sz w:val="24"/>
          <w:szCs w:val="24"/>
        </w:rPr>
        <w:t xml:space="preserve"> Nariadenie o zahraničných subvenciách neurčuje, ktorý konkrétny orgán má v rámci členského štátu Európskej únie napríklad na účely výkonu inšpekcií a žiadosti o informácie poskytnúť Komisii súčinnosť. Týmto orgánom tak bude úrad (mimo oblasti verejného obstarávania, ktorú úrad nemá v pôsobnosti), keďže úrad má s výkonom inšpekcií pre Komisiu skúsenosti.</w:t>
      </w:r>
    </w:p>
    <w:p w14:paraId="1C3BB256" w14:textId="77777777" w:rsidR="00C747AF" w:rsidRDefault="00C747AF" w:rsidP="00C747AF">
      <w:pPr>
        <w:spacing w:before="360"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 bodom 5, 7, 10, 11 a 13 </w:t>
      </w:r>
      <w:r w:rsidRPr="00F04334">
        <w:rPr>
          <w:rFonts w:ascii="Times New Roman" w:hAnsi="Times New Roman" w:cs="Times New Roman"/>
          <w:color w:val="000000"/>
          <w:sz w:val="24"/>
          <w:szCs w:val="24"/>
        </w:rPr>
        <w:t>[§ 16 ods. 1 písm. o)</w:t>
      </w:r>
      <w:r>
        <w:rPr>
          <w:rFonts w:ascii="Times New Roman" w:hAnsi="Times New Roman" w:cs="Times New Roman"/>
          <w:color w:val="000000"/>
          <w:sz w:val="24"/>
          <w:szCs w:val="24"/>
        </w:rPr>
        <w:t xml:space="preserve">, </w:t>
      </w:r>
      <w:r>
        <w:rPr>
          <w:rFonts w:ascii="Times New Roman" w:hAnsi="Times New Roman" w:cs="Times New Roman"/>
          <w:sz w:val="24"/>
          <w:szCs w:val="24"/>
        </w:rPr>
        <w:t>§ 16 ods. 2, 7, 9, 10 a 13 a § 17 ods. 5</w:t>
      </w:r>
      <w:r w:rsidRPr="00F04334">
        <w:rPr>
          <w:rFonts w:ascii="Times New Roman" w:hAnsi="Times New Roman" w:cs="Times New Roman"/>
          <w:color w:val="000000"/>
          <w:sz w:val="24"/>
          <w:szCs w:val="24"/>
        </w:rPr>
        <w:t>]</w:t>
      </w:r>
    </w:p>
    <w:p w14:paraId="39355300" w14:textId="77777777" w:rsidR="00C747AF" w:rsidRDefault="00C747AF" w:rsidP="00C747AF">
      <w:pPr>
        <w:spacing w:before="360"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Navrhuje sa zmena vnútorných odkazov v nadväznosti na novelizačné body 2, 4 a 9. </w:t>
      </w:r>
    </w:p>
    <w:p w14:paraId="4DBE04F6" w14:textId="77777777" w:rsidR="00C747AF" w:rsidRDefault="00C747AF" w:rsidP="00C747AF">
      <w:pPr>
        <w:spacing w:before="360" w:after="240" w:line="240" w:lineRule="auto"/>
        <w:jc w:val="both"/>
        <w:rPr>
          <w:rFonts w:ascii="Times New Roman" w:hAnsi="Times New Roman" w:cs="Times New Roman"/>
          <w:color w:val="000000"/>
          <w:sz w:val="24"/>
          <w:szCs w:val="24"/>
        </w:rPr>
      </w:pPr>
      <w:r w:rsidRPr="00511393">
        <w:rPr>
          <w:rFonts w:ascii="Times New Roman" w:hAnsi="Times New Roman" w:cs="Times New Roman"/>
          <w:color w:val="000000"/>
          <w:sz w:val="24"/>
          <w:szCs w:val="24"/>
        </w:rPr>
        <w:t>K bod</w:t>
      </w:r>
      <w:r>
        <w:rPr>
          <w:rFonts w:ascii="Times New Roman" w:hAnsi="Times New Roman" w:cs="Times New Roman"/>
          <w:color w:val="000000"/>
          <w:sz w:val="24"/>
          <w:szCs w:val="24"/>
        </w:rPr>
        <w:t>om</w:t>
      </w:r>
      <w:r w:rsidRPr="00511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8, 12 a 14</w:t>
      </w:r>
      <w:r w:rsidRPr="00511393">
        <w:rPr>
          <w:rFonts w:ascii="Times New Roman" w:hAnsi="Times New Roman" w:cs="Times New Roman"/>
          <w:color w:val="000000"/>
          <w:sz w:val="24"/>
          <w:szCs w:val="24"/>
        </w:rPr>
        <w:t xml:space="preserve"> (§ 16 ods. 3 </w:t>
      </w:r>
      <w:r>
        <w:rPr>
          <w:rFonts w:ascii="Times New Roman" w:hAnsi="Times New Roman" w:cs="Times New Roman"/>
          <w:color w:val="000000"/>
          <w:sz w:val="24"/>
          <w:szCs w:val="24"/>
        </w:rPr>
        <w:t xml:space="preserve">a 4 </w:t>
      </w:r>
      <w:r w:rsidRPr="00511393">
        <w:rPr>
          <w:rFonts w:ascii="Times New Roman" w:hAnsi="Times New Roman" w:cs="Times New Roman"/>
          <w:color w:val="000000"/>
          <w:sz w:val="24"/>
          <w:szCs w:val="24"/>
        </w:rPr>
        <w:t>a § 17</w:t>
      </w:r>
      <w:r>
        <w:rPr>
          <w:rFonts w:ascii="Times New Roman" w:hAnsi="Times New Roman" w:cs="Times New Roman"/>
          <w:color w:val="000000"/>
          <w:sz w:val="24"/>
          <w:szCs w:val="24"/>
        </w:rPr>
        <w:t xml:space="preserve"> ods. 1, 2 a 11</w:t>
      </w:r>
      <w:r w:rsidRPr="00511393">
        <w:rPr>
          <w:rFonts w:ascii="Times New Roman" w:hAnsi="Times New Roman" w:cs="Times New Roman"/>
          <w:color w:val="000000"/>
          <w:sz w:val="24"/>
          <w:szCs w:val="24"/>
        </w:rPr>
        <w:t>)</w:t>
      </w:r>
    </w:p>
    <w:p w14:paraId="0DD122AB" w14:textId="77777777" w:rsidR="00C747AF" w:rsidRDefault="00C747AF" w:rsidP="00C747AF">
      <w:pPr>
        <w:spacing w:after="120" w:line="240" w:lineRule="auto"/>
        <w:jc w:val="both"/>
        <w:rPr>
          <w:rFonts w:ascii="Times New Roman" w:hAnsi="Times New Roman" w:cs="Times New Roman"/>
          <w:color w:val="000000"/>
          <w:sz w:val="24"/>
          <w:szCs w:val="24"/>
        </w:rPr>
      </w:pPr>
      <w:r w:rsidRPr="001A4090">
        <w:rPr>
          <w:rFonts w:ascii="Times New Roman" w:hAnsi="Times New Roman" w:cs="Times New Roman"/>
          <w:color w:val="000000"/>
          <w:sz w:val="24"/>
          <w:szCs w:val="24"/>
        </w:rPr>
        <w:t xml:space="preserve">Nariadenie DMA a nariadenie o zahraničných subvenciách predpokladajú potrebu zisťovania informácií a výkon inšpekcií. Je preto potrebné upraviť znenie ustanovení tak, aby bolo možné právomoci a povinnosti úradu reálne vykonávať aj na účely výkonu týchto nariadení a tiež nových úloh vymedzených v čl. 16 ods. 1 písm. c) a d) návrhu zákona. Bez výkonu týchto najdôležitejších právomocí nebude môcť úrad plniť svoje úlohy. </w:t>
      </w:r>
    </w:p>
    <w:p w14:paraId="2B2BB0AC" w14:textId="77777777" w:rsidR="00C747AF" w:rsidRPr="00511393" w:rsidRDefault="00C747AF" w:rsidP="00C747AF">
      <w:pPr>
        <w:spacing w:before="360" w:after="240" w:line="240" w:lineRule="auto"/>
        <w:jc w:val="both"/>
        <w:rPr>
          <w:rFonts w:ascii="Times New Roman" w:hAnsi="Times New Roman" w:cs="Times New Roman"/>
          <w:color w:val="000000"/>
          <w:sz w:val="24"/>
          <w:szCs w:val="24"/>
        </w:rPr>
      </w:pPr>
      <w:r w:rsidRPr="00511393">
        <w:rPr>
          <w:rFonts w:ascii="Times New Roman" w:hAnsi="Times New Roman" w:cs="Times New Roman"/>
          <w:color w:val="000000"/>
          <w:sz w:val="24"/>
          <w:szCs w:val="24"/>
        </w:rPr>
        <w:t xml:space="preserve">K bodu </w:t>
      </w:r>
      <w:r>
        <w:rPr>
          <w:rFonts w:ascii="Times New Roman" w:hAnsi="Times New Roman" w:cs="Times New Roman"/>
          <w:color w:val="000000"/>
          <w:sz w:val="24"/>
          <w:szCs w:val="24"/>
        </w:rPr>
        <w:t>9</w:t>
      </w:r>
      <w:r w:rsidRPr="00511393">
        <w:rPr>
          <w:rFonts w:ascii="Times New Roman" w:hAnsi="Times New Roman" w:cs="Times New Roman"/>
          <w:color w:val="000000"/>
          <w:sz w:val="24"/>
          <w:szCs w:val="24"/>
        </w:rPr>
        <w:t xml:space="preserve"> (§ 16 ods. 5)</w:t>
      </w:r>
    </w:p>
    <w:p w14:paraId="462572F4" w14:textId="77777777" w:rsidR="00C747AF" w:rsidRDefault="00C747AF" w:rsidP="00C747AF">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1A4090">
        <w:rPr>
          <w:rFonts w:ascii="Times New Roman" w:hAnsi="Times New Roman" w:cs="Times New Roman"/>
          <w:color w:val="000000"/>
          <w:sz w:val="24"/>
          <w:szCs w:val="24"/>
        </w:rPr>
        <w:t xml:space="preserve">ediným orgánom v rámci </w:t>
      </w:r>
      <w:r>
        <w:rPr>
          <w:rFonts w:ascii="Times New Roman" w:hAnsi="Times New Roman" w:cs="Times New Roman"/>
          <w:color w:val="000000"/>
          <w:sz w:val="24"/>
          <w:szCs w:val="24"/>
        </w:rPr>
        <w:t>Slovenskej republiky príslušným</w:t>
      </w:r>
      <w:r w:rsidRPr="001A4090">
        <w:rPr>
          <w:rFonts w:ascii="Times New Roman" w:hAnsi="Times New Roman" w:cs="Times New Roman"/>
          <w:color w:val="000000"/>
          <w:sz w:val="24"/>
          <w:szCs w:val="24"/>
        </w:rPr>
        <w:t xml:space="preserve"> na plnenie povinností vyplývajúcich členským štátom z nariadenia DMA bude úrad, avšak </w:t>
      </w:r>
      <w:r>
        <w:rPr>
          <w:rFonts w:ascii="Times New Roman" w:hAnsi="Times New Roman" w:cs="Times New Roman"/>
          <w:color w:val="000000"/>
          <w:sz w:val="24"/>
          <w:szCs w:val="24"/>
        </w:rPr>
        <w:t xml:space="preserve">niektorými </w:t>
      </w:r>
      <w:r w:rsidRPr="001A4090">
        <w:rPr>
          <w:rFonts w:ascii="Times New Roman" w:hAnsi="Times New Roman" w:cs="Times New Roman"/>
          <w:color w:val="000000"/>
          <w:sz w:val="24"/>
          <w:szCs w:val="24"/>
        </w:rPr>
        <w:t>informáci</w:t>
      </w:r>
      <w:r>
        <w:rPr>
          <w:rFonts w:ascii="Times New Roman" w:hAnsi="Times New Roman" w:cs="Times New Roman"/>
          <w:color w:val="000000"/>
          <w:sz w:val="24"/>
          <w:szCs w:val="24"/>
        </w:rPr>
        <w:t>ami potrebnými</w:t>
      </w:r>
      <w:r w:rsidRPr="001A4090">
        <w:rPr>
          <w:rFonts w:ascii="Times New Roman" w:hAnsi="Times New Roman" w:cs="Times New Roman"/>
          <w:color w:val="000000"/>
          <w:sz w:val="24"/>
          <w:szCs w:val="24"/>
        </w:rPr>
        <w:t xml:space="preserve"> na plnenie </w:t>
      </w:r>
      <w:r>
        <w:rPr>
          <w:rFonts w:ascii="Times New Roman" w:hAnsi="Times New Roman" w:cs="Times New Roman"/>
          <w:color w:val="000000"/>
          <w:sz w:val="24"/>
          <w:szCs w:val="24"/>
        </w:rPr>
        <w:t xml:space="preserve">týchto </w:t>
      </w:r>
      <w:r w:rsidRPr="001A4090">
        <w:rPr>
          <w:rFonts w:ascii="Times New Roman" w:hAnsi="Times New Roman" w:cs="Times New Roman"/>
          <w:color w:val="000000"/>
          <w:sz w:val="24"/>
          <w:szCs w:val="24"/>
        </w:rPr>
        <w:t xml:space="preserve">úloh budú </w:t>
      </w:r>
      <w:r>
        <w:rPr>
          <w:rFonts w:ascii="Times New Roman" w:hAnsi="Times New Roman" w:cs="Times New Roman"/>
          <w:color w:val="000000"/>
          <w:sz w:val="24"/>
          <w:szCs w:val="24"/>
        </w:rPr>
        <w:t>disponovať aj</w:t>
      </w:r>
      <w:r w:rsidRPr="001A4090">
        <w:rPr>
          <w:rFonts w:ascii="Times New Roman" w:hAnsi="Times New Roman" w:cs="Times New Roman"/>
          <w:color w:val="000000"/>
          <w:sz w:val="24"/>
          <w:szCs w:val="24"/>
        </w:rPr>
        <w:t xml:space="preserve"> iné ústredné orgány štátnej správy</w:t>
      </w:r>
      <w:r>
        <w:rPr>
          <w:rFonts w:ascii="Times New Roman" w:hAnsi="Times New Roman" w:cs="Times New Roman"/>
          <w:color w:val="000000"/>
          <w:sz w:val="24"/>
          <w:szCs w:val="24"/>
        </w:rPr>
        <w:t>. Z toho dôvodu je</w:t>
      </w:r>
      <w:r w:rsidRPr="001A4090">
        <w:rPr>
          <w:rFonts w:ascii="Times New Roman" w:hAnsi="Times New Roman" w:cs="Times New Roman"/>
          <w:color w:val="000000"/>
          <w:sz w:val="24"/>
          <w:szCs w:val="24"/>
        </w:rPr>
        <w:t xml:space="preserve"> potrebné zabezpečiť poskytovanie súčinnosti zo strany </w:t>
      </w:r>
      <w:r>
        <w:rPr>
          <w:rFonts w:ascii="Times New Roman" w:hAnsi="Times New Roman" w:cs="Times New Roman"/>
          <w:color w:val="000000"/>
          <w:sz w:val="24"/>
          <w:szCs w:val="24"/>
        </w:rPr>
        <w:t>týchto</w:t>
      </w:r>
      <w:r w:rsidRPr="001A4090">
        <w:rPr>
          <w:rFonts w:ascii="Times New Roman" w:hAnsi="Times New Roman" w:cs="Times New Roman"/>
          <w:color w:val="000000"/>
          <w:sz w:val="24"/>
          <w:szCs w:val="24"/>
        </w:rPr>
        <w:t xml:space="preserve"> ústredných </w:t>
      </w:r>
      <w:r w:rsidRPr="001A4090">
        <w:rPr>
          <w:rFonts w:ascii="Times New Roman" w:hAnsi="Times New Roman" w:cs="Times New Roman"/>
          <w:color w:val="000000"/>
          <w:sz w:val="24"/>
          <w:szCs w:val="24"/>
        </w:rPr>
        <w:lastRenderedPageBreak/>
        <w:t>orgánov štátnej správy</w:t>
      </w:r>
      <w:r w:rsidRPr="000D00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 prípadoch potrebných na účely plnenia úloh podľa nariadenia DMA</w:t>
      </w:r>
      <w:r w:rsidRPr="001A40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Ide o osobitné ustanovenie, pričom sa predpokladá systém efektívnej spolupráce, a preto sa za nedodržanie nestanovuje v tejto fáze sankcia. V prípade potreby súčinnosti zo strany iných orgánov a právnických osôb sa bude postupovať podľa odsekov 3, 4 v spojení s odsekom 7 (súčasný odsek 6). </w:t>
      </w:r>
    </w:p>
    <w:p w14:paraId="25B7C486" w14:textId="77777777" w:rsidR="00C747AF" w:rsidRDefault="00C747AF" w:rsidP="00C747AF">
      <w:pPr>
        <w:spacing w:before="360" w:after="240" w:line="240" w:lineRule="auto"/>
        <w:jc w:val="both"/>
        <w:rPr>
          <w:rFonts w:ascii="Times New Roman" w:hAnsi="Times New Roman" w:cs="Times New Roman"/>
          <w:color w:val="000000"/>
          <w:sz w:val="24"/>
          <w:szCs w:val="24"/>
        </w:rPr>
      </w:pPr>
      <w:r w:rsidRPr="00511393">
        <w:rPr>
          <w:rFonts w:ascii="Times New Roman" w:hAnsi="Times New Roman" w:cs="Times New Roman"/>
          <w:color w:val="000000"/>
          <w:sz w:val="24"/>
          <w:szCs w:val="24"/>
        </w:rPr>
        <w:t>K</w:t>
      </w:r>
      <w:r>
        <w:rPr>
          <w:rFonts w:ascii="Times New Roman" w:hAnsi="Times New Roman" w:cs="Times New Roman"/>
          <w:color w:val="000000"/>
          <w:sz w:val="24"/>
          <w:szCs w:val="24"/>
        </w:rPr>
        <w:t> bodu 15 (§ 18)</w:t>
      </w:r>
    </w:p>
    <w:p w14:paraId="15FAFFE8" w14:textId="77777777" w:rsidR="00C747AF" w:rsidRDefault="00C747AF" w:rsidP="00C747AF">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Navrhuje sa zmena ustanovenia § 18 v nadväznosti na novú úpravu ustanovenia § 16 ods. 1, kde sa za písmeno b) vkladajú nové písmená c) a d), ktoré reflektujú nové právomoci a povinnosti úradu vyplývajúce z úloh nariadenia DMA a nariadenia o zahraničných subvenciách. Touto úpravou sa zachováva súčasný stav, v zmysle ktorého sa na postup úradu pri prešetrovaní nevzťahujú ustanovenia zákona, ktoré upravujú konanie a taktiež Správny poriadok, okrem ustanovení o plynutí lehôt, doručovaní, zastupovaní, zápisnici a vylúčení zamestnancov alebo členov správneho orgánu, ktoré sa použijú primerane. Zároveň dochádza k úprave vnútorného odkazu v nadväznosti na novelizačné body 2 a 4.</w:t>
      </w:r>
    </w:p>
    <w:p w14:paraId="593815BC" w14:textId="77777777" w:rsidR="00C747AF" w:rsidRPr="00511393" w:rsidRDefault="00C747AF" w:rsidP="00C747AF">
      <w:pPr>
        <w:pStyle w:val="Bezriadkovania"/>
        <w:spacing w:before="360" w:after="240"/>
        <w:rPr>
          <w:rFonts w:ascii="Times New Roman" w:hAnsi="Times New Roman"/>
          <w:sz w:val="24"/>
          <w:szCs w:val="24"/>
        </w:rPr>
      </w:pPr>
      <w:r w:rsidRPr="00511393">
        <w:rPr>
          <w:rFonts w:ascii="Times New Roman" w:hAnsi="Times New Roman"/>
          <w:sz w:val="24"/>
          <w:szCs w:val="24"/>
        </w:rPr>
        <w:t>K bodu</w:t>
      </w:r>
      <w:r>
        <w:rPr>
          <w:rFonts w:ascii="Times New Roman" w:hAnsi="Times New Roman"/>
          <w:sz w:val="24"/>
          <w:szCs w:val="24"/>
        </w:rPr>
        <w:t xml:space="preserve"> 16</w:t>
      </w:r>
      <w:r w:rsidRPr="00511393">
        <w:rPr>
          <w:rFonts w:ascii="Times New Roman" w:hAnsi="Times New Roman"/>
          <w:sz w:val="24"/>
          <w:szCs w:val="24"/>
        </w:rPr>
        <w:t xml:space="preserve"> (§ </w:t>
      </w:r>
      <w:r>
        <w:rPr>
          <w:rFonts w:ascii="Times New Roman" w:hAnsi="Times New Roman"/>
          <w:sz w:val="24"/>
          <w:szCs w:val="24"/>
        </w:rPr>
        <w:t>56</w:t>
      </w:r>
      <w:r w:rsidRPr="00511393">
        <w:rPr>
          <w:rFonts w:ascii="Times New Roman" w:hAnsi="Times New Roman"/>
          <w:sz w:val="24"/>
          <w:szCs w:val="24"/>
        </w:rPr>
        <w:t xml:space="preserve"> ods. </w:t>
      </w:r>
      <w:r>
        <w:rPr>
          <w:rFonts w:ascii="Times New Roman" w:hAnsi="Times New Roman"/>
          <w:sz w:val="24"/>
          <w:szCs w:val="24"/>
        </w:rPr>
        <w:t>4</w:t>
      </w:r>
      <w:r w:rsidRPr="00511393">
        <w:rPr>
          <w:rFonts w:ascii="Times New Roman" w:hAnsi="Times New Roman"/>
          <w:sz w:val="24"/>
          <w:szCs w:val="24"/>
        </w:rPr>
        <w:t>)</w:t>
      </w:r>
    </w:p>
    <w:p w14:paraId="57A6BED0" w14:textId="77777777" w:rsidR="00C747AF" w:rsidRPr="001A4090" w:rsidRDefault="00C747AF" w:rsidP="00C747AF">
      <w:pPr>
        <w:pStyle w:val="Bezriadkovania"/>
        <w:spacing w:after="120"/>
        <w:rPr>
          <w:rFonts w:ascii="Times New Roman" w:hAnsi="Times New Roman"/>
          <w:bCs/>
          <w:color w:val="000000"/>
          <w:sz w:val="24"/>
          <w:szCs w:val="24"/>
        </w:rPr>
      </w:pPr>
      <w:r w:rsidRPr="001A4090">
        <w:rPr>
          <w:rFonts w:ascii="Times New Roman" w:hAnsi="Times New Roman"/>
          <w:sz w:val="24"/>
          <w:szCs w:val="24"/>
        </w:rPr>
        <w:t xml:space="preserve">Ustanovenie § </w:t>
      </w:r>
      <w:r>
        <w:rPr>
          <w:rFonts w:ascii="Times New Roman" w:hAnsi="Times New Roman"/>
          <w:sz w:val="24"/>
          <w:szCs w:val="24"/>
        </w:rPr>
        <w:t>56</w:t>
      </w:r>
      <w:r w:rsidRPr="001A4090">
        <w:rPr>
          <w:rFonts w:ascii="Times New Roman" w:hAnsi="Times New Roman"/>
          <w:sz w:val="24"/>
          <w:szCs w:val="24"/>
        </w:rPr>
        <w:t xml:space="preserve"> sa dopĺňa o nový odsek </w:t>
      </w:r>
      <w:r>
        <w:rPr>
          <w:rFonts w:ascii="Times New Roman" w:hAnsi="Times New Roman"/>
          <w:sz w:val="24"/>
          <w:szCs w:val="24"/>
        </w:rPr>
        <w:t>4</w:t>
      </w:r>
      <w:r w:rsidRPr="001A4090">
        <w:rPr>
          <w:rFonts w:ascii="Times New Roman" w:hAnsi="Times New Roman"/>
          <w:sz w:val="24"/>
          <w:szCs w:val="24"/>
        </w:rPr>
        <w:t xml:space="preserve"> </w:t>
      </w:r>
      <w:r w:rsidRPr="001A4090">
        <w:rPr>
          <w:rFonts w:ascii="Times New Roman" w:hAnsi="Times New Roman"/>
          <w:color w:val="000000"/>
          <w:sz w:val="24"/>
          <w:szCs w:val="24"/>
        </w:rPr>
        <w:t xml:space="preserve">a to tak, že sa </w:t>
      </w:r>
      <w:r>
        <w:rPr>
          <w:rFonts w:ascii="Times New Roman" w:hAnsi="Times New Roman"/>
          <w:color w:val="000000"/>
          <w:sz w:val="24"/>
          <w:szCs w:val="24"/>
        </w:rPr>
        <w:t>u</w:t>
      </w:r>
      <w:r w:rsidRPr="001A4090">
        <w:rPr>
          <w:rFonts w:ascii="Times New Roman" w:hAnsi="Times New Roman"/>
          <w:color w:val="000000"/>
          <w:sz w:val="24"/>
          <w:szCs w:val="24"/>
        </w:rPr>
        <w:t xml:space="preserve">stanovujú už existujúce podmienky použitia informácií a podkladov úradu súvisiacich s prešetrovaním alebo správnym konaním úradu a zaobchádzania s nimi. Touto úpravou sa zachováva súčasný </w:t>
      </w:r>
      <w:r w:rsidRPr="001A4090">
        <w:rPr>
          <w:rFonts w:ascii="Times New Roman" w:hAnsi="Times New Roman"/>
          <w:i/>
          <w:color w:val="000000"/>
          <w:sz w:val="24"/>
          <w:szCs w:val="24"/>
        </w:rPr>
        <w:t xml:space="preserve">status </w:t>
      </w:r>
      <w:proofErr w:type="spellStart"/>
      <w:r w:rsidRPr="001A4090">
        <w:rPr>
          <w:rFonts w:ascii="Times New Roman" w:hAnsi="Times New Roman"/>
          <w:i/>
          <w:color w:val="000000"/>
          <w:sz w:val="24"/>
          <w:szCs w:val="24"/>
        </w:rPr>
        <w:t>quo</w:t>
      </w:r>
      <w:proofErr w:type="spellEnd"/>
      <w:r w:rsidRPr="001A4090">
        <w:rPr>
          <w:rFonts w:ascii="Times New Roman" w:hAnsi="Times New Roman"/>
          <w:color w:val="000000"/>
          <w:sz w:val="24"/>
          <w:szCs w:val="24"/>
        </w:rPr>
        <w:t xml:space="preserve">, v zmysle ktorého úrad nesprístupňuje informácie a podklady súvisiace s prešetrovaním alebo </w:t>
      </w:r>
      <w:r>
        <w:rPr>
          <w:rFonts w:ascii="Times New Roman" w:hAnsi="Times New Roman"/>
          <w:color w:val="000000"/>
          <w:sz w:val="24"/>
          <w:szCs w:val="24"/>
        </w:rPr>
        <w:t xml:space="preserve">so </w:t>
      </w:r>
      <w:r w:rsidRPr="001A4090">
        <w:rPr>
          <w:rFonts w:ascii="Times New Roman" w:hAnsi="Times New Roman"/>
          <w:color w:val="000000"/>
          <w:sz w:val="24"/>
          <w:szCs w:val="24"/>
        </w:rPr>
        <w:t>správnym konaním a dochádza iba k zosúladeniu s </w:t>
      </w:r>
      <w:r>
        <w:rPr>
          <w:rFonts w:ascii="Times New Roman" w:hAnsi="Times New Roman"/>
          <w:color w:val="000000"/>
          <w:sz w:val="24"/>
          <w:szCs w:val="24"/>
        </w:rPr>
        <w:t>§ 11 ods. 4</w:t>
      </w:r>
      <w:r w:rsidRPr="001A4090">
        <w:rPr>
          <w:rFonts w:ascii="Times New Roman" w:hAnsi="Times New Roman"/>
          <w:color w:val="000000"/>
          <w:sz w:val="24"/>
          <w:szCs w:val="24"/>
        </w:rPr>
        <w:t xml:space="preserve"> zákona č. 211/2000 Z. z. </w:t>
      </w:r>
      <w:r w:rsidRPr="001A4090">
        <w:rPr>
          <w:rFonts w:ascii="Times New Roman" w:hAnsi="Times New Roman"/>
          <w:bCs/>
          <w:color w:val="000000"/>
          <w:sz w:val="24"/>
          <w:szCs w:val="24"/>
        </w:rPr>
        <w:t>o</w:t>
      </w:r>
      <w:r>
        <w:rPr>
          <w:rFonts w:ascii="Times New Roman" w:hAnsi="Times New Roman"/>
          <w:bCs/>
          <w:color w:val="000000"/>
          <w:sz w:val="24"/>
          <w:szCs w:val="24"/>
        </w:rPr>
        <w:t> </w:t>
      </w:r>
      <w:r w:rsidRPr="001A4090">
        <w:rPr>
          <w:rFonts w:ascii="Times New Roman" w:hAnsi="Times New Roman"/>
          <w:bCs/>
          <w:color w:val="000000"/>
          <w:sz w:val="24"/>
          <w:szCs w:val="24"/>
        </w:rPr>
        <w:t xml:space="preserve">slobodnom prístupe k informáciám o zmene a doplnení niektorých zákonov </w:t>
      </w:r>
      <w:r w:rsidRPr="0023372E">
        <w:rPr>
          <w:rFonts w:ascii="Times New Roman" w:hAnsi="Times New Roman"/>
          <w:bCs/>
          <w:color w:val="000000"/>
          <w:sz w:val="24"/>
          <w:szCs w:val="24"/>
        </w:rPr>
        <w:t>(zákon o slobode informácií)</w:t>
      </w:r>
      <w:r>
        <w:rPr>
          <w:rFonts w:ascii="Times New Roman" w:hAnsi="Times New Roman"/>
          <w:bCs/>
          <w:color w:val="000000"/>
          <w:sz w:val="24"/>
          <w:szCs w:val="24"/>
        </w:rPr>
        <w:t xml:space="preserve"> </w:t>
      </w:r>
      <w:r w:rsidRPr="001A4090">
        <w:rPr>
          <w:rFonts w:ascii="Times New Roman" w:hAnsi="Times New Roman"/>
          <w:bCs/>
          <w:color w:val="000000"/>
          <w:sz w:val="24"/>
          <w:szCs w:val="24"/>
        </w:rPr>
        <w:t>v znení zákona č. 428/2022 Z.</w:t>
      </w:r>
      <w:r>
        <w:rPr>
          <w:rFonts w:ascii="Times New Roman" w:hAnsi="Times New Roman"/>
          <w:bCs/>
          <w:color w:val="000000"/>
          <w:sz w:val="24"/>
          <w:szCs w:val="24"/>
        </w:rPr>
        <w:t> </w:t>
      </w:r>
      <w:r w:rsidRPr="001A4090">
        <w:rPr>
          <w:rFonts w:ascii="Times New Roman" w:hAnsi="Times New Roman"/>
          <w:bCs/>
          <w:color w:val="000000"/>
          <w:sz w:val="24"/>
          <w:szCs w:val="24"/>
        </w:rPr>
        <w:t>z</w:t>
      </w:r>
      <w:r>
        <w:rPr>
          <w:rFonts w:ascii="Times New Roman" w:hAnsi="Times New Roman"/>
          <w:bCs/>
          <w:color w:val="000000"/>
          <w:sz w:val="24"/>
          <w:szCs w:val="24"/>
        </w:rPr>
        <w:t>.</w:t>
      </w:r>
      <w:r w:rsidRPr="001A4090">
        <w:rPr>
          <w:rFonts w:ascii="Times New Roman" w:hAnsi="Times New Roman"/>
          <w:bCs/>
          <w:color w:val="000000"/>
          <w:sz w:val="24"/>
          <w:szCs w:val="24"/>
        </w:rPr>
        <w:t>, ktor</w:t>
      </w:r>
      <w:r>
        <w:rPr>
          <w:rFonts w:ascii="Times New Roman" w:hAnsi="Times New Roman"/>
          <w:bCs/>
          <w:color w:val="000000"/>
          <w:sz w:val="24"/>
          <w:szCs w:val="24"/>
        </w:rPr>
        <w:t>ý</w:t>
      </w:r>
      <w:r w:rsidRPr="001A4090">
        <w:rPr>
          <w:rFonts w:ascii="Times New Roman" w:hAnsi="Times New Roman"/>
          <w:bCs/>
          <w:color w:val="000000"/>
          <w:sz w:val="24"/>
          <w:szCs w:val="24"/>
        </w:rPr>
        <w:t xml:space="preserve"> upravuj</w:t>
      </w:r>
      <w:r>
        <w:rPr>
          <w:rFonts w:ascii="Times New Roman" w:hAnsi="Times New Roman"/>
          <w:bCs/>
          <w:color w:val="000000"/>
          <w:sz w:val="24"/>
          <w:szCs w:val="24"/>
        </w:rPr>
        <w:t>e</w:t>
      </w:r>
      <w:r w:rsidRPr="001A4090">
        <w:rPr>
          <w:rFonts w:ascii="Times New Roman" w:hAnsi="Times New Roman"/>
          <w:bCs/>
          <w:color w:val="000000"/>
          <w:sz w:val="24"/>
          <w:szCs w:val="24"/>
        </w:rPr>
        <w:t xml:space="preserve"> podmienky obmedzenia sprístupnenia takýchto informácií a podkladov. S</w:t>
      </w:r>
      <w:r>
        <w:rPr>
          <w:rFonts w:ascii="Times New Roman" w:hAnsi="Times New Roman"/>
          <w:bCs/>
          <w:color w:val="000000"/>
          <w:sz w:val="24"/>
          <w:szCs w:val="24"/>
        </w:rPr>
        <w:t> </w:t>
      </w:r>
      <w:r w:rsidRPr="001A4090">
        <w:rPr>
          <w:rFonts w:ascii="Times New Roman" w:hAnsi="Times New Roman"/>
          <w:bCs/>
          <w:color w:val="000000"/>
          <w:sz w:val="24"/>
          <w:szCs w:val="24"/>
        </w:rPr>
        <w:t xml:space="preserve">ohľadom na citlivosť údajov a dôležitosť zachovania efektivity prešetrovaní a správnych konaní úradu a dodržania podmienok vyplývajúcich z právnej úpravy </w:t>
      </w:r>
      <w:r>
        <w:rPr>
          <w:rFonts w:ascii="Times New Roman" w:hAnsi="Times New Roman"/>
          <w:color w:val="000000"/>
          <w:sz w:val="24"/>
          <w:szCs w:val="24"/>
        </w:rPr>
        <w:t>Európskej únie</w:t>
      </w:r>
      <w:r w:rsidRPr="001A4090">
        <w:rPr>
          <w:rFonts w:ascii="Times New Roman" w:hAnsi="Times New Roman"/>
          <w:bCs/>
          <w:color w:val="000000"/>
          <w:sz w:val="24"/>
          <w:szCs w:val="24"/>
        </w:rPr>
        <w:t>, je potrebné vyjadriť uvedené aj explicitným ustanovením.</w:t>
      </w:r>
    </w:p>
    <w:p w14:paraId="32F31285" w14:textId="77777777" w:rsidR="00263110" w:rsidRDefault="00263110" w:rsidP="00EF14D7">
      <w:pPr>
        <w:spacing w:after="0"/>
        <w:rPr>
          <w:rFonts w:ascii="Times New Roman" w:hAnsi="Times New Roman" w:cs="Times New Roman"/>
          <w:b/>
          <w:sz w:val="24"/>
          <w:szCs w:val="24"/>
          <w:u w:val="single"/>
        </w:rPr>
      </w:pPr>
    </w:p>
    <w:p w14:paraId="321A53CE" w14:textId="77777777" w:rsidR="00C747AF" w:rsidRDefault="00C747AF" w:rsidP="00EF14D7">
      <w:pPr>
        <w:spacing w:after="240" w:line="240" w:lineRule="auto"/>
        <w:rPr>
          <w:rFonts w:ascii="Times New Roman" w:hAnsi="Times New Roman" w:cs="Times New Roman"/>
          <w:b/>
          <w:sz w:val="24"/>
          <w:szCs w:val="24"/>
          <w:u w:val="single"/>
        </w:rPr>
      </w:pPr>
      <w:r w:rsidRPr="00511393">
        <w:rPr>
          <w:rFonts w:ascii="Times New Roman" w:hAnsi="Times New Roman" w:cs="Times New Roman"/>
          <w:b/>
          <w:sz w:val="24"/>
          <w:szCs w:val="24"/>
          <w:u w:val="single"/>
        </w:rPr>
        <w:t>K Čl. I</w:t>
      </w:r>
      <w:r>
        <w:rPr>
          <w:rFonts w:ascii="Times New Roman" w:hAnsi="Times New Roman" w:cs="Times New Roman"/>
          <w:b/>
          <w:sz w:val="24"/>
          <w:szCs w:val="24"/>
          <w:u w:val="single"/>
        </w:rPr>
        <w:t>I</w:t>
      </w:r>
    </w:p>
    <w:p w14:paraId="370DD75C" w14:textId="77777777" w:rsidR="00263110" w:rsidRDefault="00C747AF" w:rsidP="00EF1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Navrhovaná účinnosť bola určená s ohľadom na povahu a rozsah navrhovaných zmien, dĺžku legislatívneho procesu a potrebnú legisvakanciu.</w:t>
      </w:r>
    </w:p>
    <w:p w14:paraId="290BAFE0" w14:textId="77777777" w:rsidR="00263110" w:rsidRPr="00263110" w:rsidRDefault="00263110" w:rsidP="00263110">
      <w:pPr>
        <w:rPr>
          <w:rFonts w:ascii="Times New Roman" w:hAnsi="Times New Roman" w:cs="Times New Roman"/>
          <w:sz w:val="24"/>
          <w:szCs w:val="24"/>
        </w:rPr>
      </w:pPr>
    </w:p>
    <w:p w14:paraId="4066FAD8" w14:textId="36227CBF" w:rsidR="00263110" w:rsidRPr="007F4238" w:rsidRDefault="00004577" w:rsidP="00EF14D7">
      <w:pPr>
        <w:adjustRightInd w:val="0"/>
        <w:spacing w:after="72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Bratislave</w:t>
      </w:r>
      <w:r w:rsidR="00263110" w:rsidRPr="00D46A10">
        <w:rPr>
          <w:rFonts w:ascii="Times New Roman" w:eastAsia="Times New Roman" w:hAnsi="Times New Roman" w:cs="Times New Roman"/>
          <w:color w:val="000000"/>
          <w:sz w:val="24"/>
          <w:szCs w:val="24"/>
          <w:lang w:eastAsia="sk-SK"/>
        </w:rPr>
        <w:t xml:space="preserve"> </w:t>
      </w:r>
      <w:r w:rsidR="00D46A10" w:rsidRPr="00D46A10">
        <w:rPr>
          <w:rFonts w:ascii="Times New Roman" w:eastAsia="Times New Roman" w:hAnsi="Times New Roman" w:cs="Times New Roman"/>
          <w:color w:val="000000"/>
          <w:sz w:val="24"/>
          <w:szCs w:val="24"/>
          <w:lang w:eastAsia="sk-SK"/>
        </w:rPr>
        <w:t>6</w:t>
      </w:r>
      <w:r w:rsidR="00263110" w:rsidRPr="00D46A10">
        <w:rPr>
          <w:rFonts w:ascii="Times New Roman" w:eastAsia="Times New Roman" w:hAnsi="Times New Roman" w:cs="Times New Roman"/>
          <w:color w:val="000000"/>
          <w:sz w:val="24"/>
          <w:szCs w:val="24"/>
          <w:lang w:eastAsia="sk-SK"/>
        </w:rPr>
        <w:t>. decembra 2023</w:t>
      </w:r>
    </w:p>
    <w:p w14:paraId="49B1FB79" w14:textId="39A5CE1B" w:rsidR="00263110" w:rsidRPr="007F4238" w:rsidRDefault="00247A26" w:rsidP="00263110">
      <w:pPr>
        <w:adjustRightInd w:val="0"/>
        <w:spacing w:before="24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b/>
          <w:color w:val="000000"/>
          <w:sz w:val="24"/>
          <w:szCs w:val="24"/>
          <w:lang w:eastAsia="sk-SK"/>
        </w:rPr>
        <w:t>Ro</w:t>
      </w:r>
      <w:r w:rsidR="00EF14D7">
        <w:rPr>
          <w:rFonts w:ascii="Times New Roman" w:eastAsia="Times New Roman" w:hAnsi="Times New Roman" w:cs="Times New Roman"/>
          <w:b/>
          <w:color w:val="000000"/>
          <w:sz w:val="24"/>
          <w:szCs w:val="24"/>
          <w:lang w:eastAsia="sk-SK"/>
        </w:rPr>
        <w:t>bert Fico</w:t>
      </w:r>
      <w:r w:rsidR="00F22AF2">
        <w:rPr>
          <w:rFonts w:ascii="Times New Roman" w:eastAsia="Times New Roman" w:hAnsi="Times New Roman" w:cs="Times New Roman"/>
          <w:b/>
          <w:color w:val="000000"/>
          <w:sz w:val="24"/>
          <w:szCs w:val="24"/>
          <w:lang w:eastAsia="sk-SK"/>
        </w:rPr>
        <w:t xml:space="preserve"> v. r.</w:t>
      </w:r>
    </w:p>
    <w:p w14:paraId="4C0923FA" w14:textId="77777777" w:rsidR="00263110" w:rsidRPr="007F4238" w:rsidRDefault="00263110" w:rsidP="00EF14D7">
      <w:pPr>
        <w:adjustRightInd w:val="0"/>
        <w:spacing w:after="840"/>
        <w:jc w:val="center"/>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color w:val="000000"/>
          <w:sz w:val="24"/>
          <w:szCs w:val="24"/>
          <w:lang w:eastAsia="sk-SK"/>
        </w:rPr>
        <w:t>pred</w:t>
      </w:r>
      <w:r w:rsidR="00EF14D7">
        <w:rPr>
          <w:rFonts w:ascii="Times New Roman" w:eastAsia="Times New Roman" w:hAnsi="Times New Roman" w:cs="Times New Roman"/>
          <w:color w:val="000000"/>
          <w:sz w:val="24"/>
          <w:szCs w:val="24"/>
          <w:lang w:eastAsia="sk-SK"/>
        </w:rPr>
        <w:t>seda vlády Slovenskej republiky</w:t>
      </w:r>
    </w:p>
    <w:p w14:paraId="15B6118E" w14:textId="0B8D748E" w:rsidR="00263110" w:rsidRPr="00895A6D" w:rsidRDefault="00EF14D7" w:rsidP="00263110">
      <w:pPr>
        <w:adjustRightInd w:val="0"/>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Juraj Beňa</w:t>
      </w:r>
      <w:r w:rsidR="00F22AF2">
        <w:rPr>
          <w:rFonts w:ascii="Times New Roman" w:eastAsia="Times New Roman" w:hAnsi="Times New Roman" w:cs="Times New Roman"/>
          <w:b/>
          <w:color w:val="000000"/>
          <w:sz w:val="24"/>
          <w:szCs w:val="24"/>
          <w:lang w:eastAsia="sk-SK"/>
        </w:rPr>
        <w:t xml:space="preserve"> v. r.</w:t>
      </w:r>
      <w:bookmarkStart w:id="1" w:name="_GoBack"/>
      <w:bookmarkEnd w:id="1"/>
    </w:p>
    <w:p w14:paraId="04CC1F00" w14:textId="77777777" w:rsidR="00263110" w:rsidRDefault="00263110" w:rsidP="00263110">
      <w:pPr>
        <w:adjustRightInd w:val="0"/>
        <w:jc w:val="center"/>
      </w:pPr>
      <w:r w:rsidRPr="007F4238">
        <w:rPr>
          <w:rFonts w:ascii="Times New Roman" w:eastAsia="Times New Roman" w:hAnsi="Times New Roman" w:cs="Times New Roman"/>
          <w:color w:val="000000"/>
          <w:sz w:val="24"/>
          <w:szCs w:val="24"/>
          <w:lang w:eastAsia="sk-SK"/>
        </w:rPr>
        <w:t>predsed</w:t>
      </w:r>
      <w:r>
        <w:rPr>
          <w:rFonts w:ascii="Times New Roman" w:eastAsia="Times New Roman" w:hAnsi="Times New Roman" w:cs="Times New Roman"/>
          <w:color w:val="000000"/>
          <w:sz w:val="24"/>
          <w:szCs w:val="24"/>
          <w:lang w:eastAsia="sk-SK"/>
        </w:rPr>
        <w:t>a</w:t>
      </w:r>
      <w:r w:rsidRPr="007F4238">
        <w:rPr>
          <w:rFonts w:ascii="Times New Roman" w:eastAsia="Times New Roman" w:hAnsi="Times New Roman" w:cs="Times New Roman"/>
          <w:color w:val="000000"/>
          <w:sz w:val="24"/>
          <w:szCs w:val="24"/>
          <w:lang w:eastAsia="sk-SK"/>
        </w:rPr>
        <w:t xml:space="preserve"> </w:t>
      </w:r>
      <w:r w:rsidR="00EF14D7">
        <w:rPr>
          <w:rFonts w:ascii="Times New Roman" w:eastAsia="Times New Roman" w:hAnsi="Times New Roman" w:cs="Times New Roman"/>
          <w:color w:val="000000"/>
          <w:sz w:val="24"/>
          <w:szCs w:val="24"/>
          <w:lang w:eastAsia="sk-SK"/>
        </w:rPr>
        <w:t>Protimonopolného</w:t>
      </w:r>
      <w:r>
        <w:rPr>
          <w:rFonts w:ascii="Times New Roman" w:eastAsia="Times New Roman" w:hAnsi="Times New Roman" w:cs="Times New Roman"/>
          <w:color w:val="000000"/>
          <w:sz w:val="24"/>
          <w:szCs w:val="24"/>
          <w:lang w:eastAsia="sk-SK"/>
        </w:rPr>
        <w:t xml:space="preserve"> úradu </w:t>
      </w:r>
      <w:r w:rsidRPr="007F4238">
        <w:rPr>
          <w:rFonts w:ascii="Times New Roman" w:eastAsia="Times New Roman" w:hAnsi="Times New Roman" w:cs="Times New Roman"/>
          <w:color w:val="000000"/>
          <w:sz w:val="24"/>
          <w:szCs w:val="24"/>
          <w:lang w:eastAsia="sk-SK"/>
        </w:rPr>
        <w:t xml:space="preserve">Slovenskej republiky </w:t>
      </w:r>
    </w:p>
    <w:sectPr w:rsidR="0026311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C10DA" w14:textId="77777777" w:rsidR="00B613D8" w:rsidRDefault="00B613D8" w:rsidP="00C747AF">
      <w:pPr>
        <w:spacing w:after="0" w:line="240" w:lineRule="auto"/>
      </w:pPr>
      <w:r>
        <w:separator/>
      </w:r>
    </w:p>
  </w:endnote>
  <w:endnote w:type="continuationSeparator" w:id="0">
    <w:p w14:paraId="6284676B" w14:textId="77777777" w:rsidR="00B613D8" w:rsidRDefault="00B613D8" w:rsidP="00C7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753D" w14:textId="77777777" w:rsidR="00263110" w:rsidRDefault="002631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B4287D7" w14:textId="77777777" w:rsidR="00263110" w:rsidRDefault="00263110">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08483"/>
      <w:docPartObj>
        <w:docPartGallery w:val="Page Numbers (Bottom of Page)"/>
        <w:docPartUnique/>
      </w:docPartObj>
    </w:sdtPr>
    <w:sdtEndPr>
      <w:rPr>
        <w:rFonts w:ascii="Times New Roman" w:hAnsi="Times New Roman" w:cs="Times New Roman"/>
        <w:sz w:val="24"/>
        <w:szCs w:val="24"/>
      </w:rPr>
    </w:sdtEndPr>
    <w:sdtContent>
      <w:p w14:paraId="1A4212FA" w14:textId="205CE8FD" w:rsidR="00263110" w:rsidRPr="00C747AF" w:rsidRDefault="00263110">
        <w:pPr>
          <w:pStyle w:val="Pta"/>
          <w:jc w:val="center"/>
          <w:rPr>
            <w:rFonts w:ascii="Times New Roman" w:hAnsi="Times New Roman" w:cs="Times New Roman"/>
            <w:sz w:val="24"/>
            <w:szCs w:val="24"/>
          </w:rPr>
        </w:pPr>
        <w:r w:rsidRPr="00C747AF">
          <w:rPr>
            <w:rFonts w:ascii="Times New Roman" w:hAnsi="Times New Roman" w:cs="Times New Roman"/>
            <w:sz w:val="24"/>
            <w:szCs w:val="24"/>
          </w:rPr>
          <w:fldChar w:fldCharType="begin"/>
        </w:r>
        <w:r w:rsidRPr="00C747AF">
          <w:rPr>
            <w:rFonts w:ascii="Times New Roman" w:hAnsi="Times New Roman" w:cs="Times New Roman"/>
            <w:sz w:val="24"/>
            <w:szCs w:val="24"/>
          </w:rPr>
          <w:instrText>PAGE   \* MERGEFORMAT</w:instrText>
        </w:r>
        <w:r w:rsidRPr="00C747AF">
          <w:rPr>
            <w:rFonts w:ascii="Times New Roman" w:hAnsi="Times New Roman" w:cs="Times New Roman"/>
            <w:sz w:val="24"/>
            <w:szCs w:val="24"/>
          </w:rPr>
          <w:fldChar w:fldCharType="separate"/>
        </w:r>
        <w:r w:rsidR="00F22AF2">
          <w:rPr>
            <w:rFonts w:ascii="Times New Roman" w:hAnsi="Times New Roman" w:cs="Times New Roman"/>
            <w:noProof/>
            <w:sz w:val="24"/>
            <w:szCs w:val="24"/>
          </w:rPr>
          <w:t>16</w:t>
        </w:r>
        <w:r w:rsidRPr="00C747AF">
          <w:rPr>
            <w:rFonts w:ascii="Times New Roman" w:hAnsi="Times New Roman" w:cs="Times New Roman"/>
            <w:sz w:val="24"/>
            <w:szCs w:val="24"/>
          </w:rPr>
          <w:fldChar w:fldCharType="end"/>
        </w:r>
      </w:p>
    </w:sdtContent>
  </w:sdt>
  <w:p w14:paraId="73DEAE86" w14:textId="77777777" w:rsidR="00263110" w:rsidRDefault="00263110">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5B73A" w14:textId="77777777" w:rsidR="00263110" w:rsidRDefault="00263110">
    <w:pPr>
      <w:pStyle w:val="Pta"/>
      <w:jc w:val="right"/>
    </w:pPr>
    <w:r>
      <w:fldChar w:fldCharType="begin"/>
    </w:r>
    <w:r>
      <w:instrText>PAGE   \* MERGEFORMAT</w:instrText>
    </w:r>
    <w:r>
      <w:fldChar w:fldCharType="separate"/>
    </w:r>
    <w:r>
      <w:rPr>
        <w:noProof/>
      </w:rPr>
      <w:t>0</w:t>
    </w:r>
    <w:r>
      <w:fldChar w:fldCharType="end"/>
    </w:r>
  </w:p>
  <w:p w14:paraId="4322DFC5" w14:textId="77777777" w:rsidR="00263110" w:rsidRDefault="00263110">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DD62" w14:textId="77777777" w:rsidR="00263110" w:rsidRDefault="00263110">
    <w:pPr>
      <w:pStyle w:val="Pt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95640"/>
      <w:docPartObj>
        <w:docPartGallery w:val="Page Numbers (Bottom of Page)"/>
        <w:docPartUnique/>
      </w:docPartObj>
    </w:sdtPr>
    <w:sdtEndPr>
      <w:rPr>
        <w:rFonts w:ascii="Times New Roman" w:hAnsi="Times New Roman" w:cs="Times New Roman"/>
        <w:sz w:val="24"/>
        <w:szCs w:val="24"/>
      </w:rPr>
    </w:sdtEndPr>
    <w:sdtContent>
      <w:p w14:paraId="085A2CDE" w14:textId="28769B9E" w:rsidR="00263110" w:rsidRPr="002D209C" w:rsidRDefault="00263110">
        <w:pPr>
          <w:pStyle w:val="Pta"/>
          <w:jc w:val="center"/>
          <w:rPr>
            <w:rFonts w:ascii="Times New Roman" w:hAnsi="Times New Roman" w:cs="Times New Roman"/>
            <w:sz w:val="24"/>
            <w:szCs w:val="24"/>
          </w:rPr>
        </w:pPr>
        <w:r w:rsidRPr="002D209C">
          <w:rPr>
            <w:rFonts w:ascii="Times New Roman" w:hAnsi="Times New Roman" w:cs="Times New Roman"/>
            <w:sz w:val="24"/>
            <w:szCs w:val="24"/>
          </w:rPr>
          <w:fldChar w:fldCharType="begin"/>
        </w:r>
        <w:r w:rsidRPr="002D209C">
          <w:rPr>
            <w:rFonts w:ascii="Times New Roman" w:hAnsi="Times New Roman" w:cs="Times New Roman"/>
            <w:sz w:val="24"/>
            <w:szCs w:val="24"/>
          </w:rPr>
          <w:instrText>PAGE   \* MERGEFORMAT</w:instrText>
        </w:r>
        <w:r w:rsidRPr="002D209C">
          <w:rPr>
            <w:rFonts w:ascii="Times New Roman" w:hAnsi="Times New Roman" w:cs="Times New Roman"/>
            <w:sz w:val="24"/>
            <w:szCs w:val="24"/>
          </w:rPr>
          <w:fldChar w:fldCharType="separate"/>
        </w:r>
        <w:r w:rsidR="00F22AF2">
          <w:rPr>
            <w:rFonts w:ascii="Times New Roman" w:hAnsi="Times New Roman" w:cs="Times New Roman"/>
            <w:noProof/>
            <w:sz w:val="24"/>
            <w:szCs w:val="24"/>
          </w:rPr>
          <w:t>20</w:t>
        </w:r>
        <w:r w:rsidRPr="002D209C">
          <w:rPr>
            <w:rFonts w:ascii="Times New Roman" w:hAnsi="Times New Roman" w:cs="Times New Roman"/>
            <w:sz w:val="24"/>
            <w:szCs w:val="24"/>
          </w:rPr>
          <w:fldChar w:fldCharType="end"/>
        </w:r>
      </w:p>
    </w:sdtContent>
  </w:sdt>
  <w:p w14:paraId="06780177" w14:textId="77777777" w:rsidR="00263110" w:rsidRDefault="00263110">
    <w:pPr>
      <w:pStyle w:val="Pt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C81" w14:textId="77777777" w:rsidR="00263110" w:rsidRDefault="0026311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A005E" w14:textId="77777777" w:rsidR="00B613D8" w:rsidRDefault="00B613D8" w:rsidP="00C747AF">
      <w:pPr>
        <w:spacing w:after="0" w:line="240" w:lineRule="auto"/>
      </w:pPr>
      <w:r>
        <w:separator/>
      </w:r>
    </w:p>
  </w:footnote>
  <w:footnote w:type="continuationSeparator" w:id="0">
    <w:p w14:paraId="6FAD0A21" w14:textId="77777777" w:rsidR="00B613D8" w:rsidRDefault="00B613D8" w:rsidP="00C7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AB1B7" w14:textId="77777777" w:rsidR="00263110" w:rsidRDefault="00263110" w:rsidP="00263110">
    <w:pPr>
      <w:pStyle w:val="Hlavika"/>
      <w:jc w:val="right"/>
      <w:rPr>
        <w:sz w:val="24"/>
        <w:szCs w:val="24"/>
      </w:rPr>
    </w:pPr>
    <w:r>
      <w:rPr>
        <w:sz w:val="24"/>
        <w:szCs w:val="24"/>
      </w:rPr>
      <w:t>Príloha č. 2</w:t>
    </w:r>
  </w:p>
  <w:p w14:paraId="1A9080F7" w14:textId="77777777" w:rsidR="00263110" w:rsidRPr="00EB59C8" w:rsidRDefault="00263110" w:rsidP="00263110">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6B0B" w14:textId="77777777" w:rsidR="00263110" w:rsidRPr="0024067A" w:rsidRDefault="00263110">
    <w:pPr>
      <w:pStyle w:val="Hlavika"/>
      <w:jc w:val="right"/>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25F0B" w14:textId="77777777" w:rsidR="00263110" w:rsidRPr="000A15AE" w:rsidRDefault="00263110" w:rsidP="00263110">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AB78" w14:textId="77777777" w:rsidR="00263110" w:rsidRDefault="00263110">
    <w:pPr>
      <w:pStyle w:val="Hlavik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AA1A" w14:textId="77777777" w:rsidR="00263110" w:rsidRDefault="00263110">
    <w:pPr>
      <w:pStyle w:val="Hlavik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7A89" w14:textId="77777777" w:rsidR="00263110" w:rsidRDefault="0026311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33E51"/>
    <w:multiLevelType w:val="hybridMultilevel"/>
    <w:tmpl w:val="68D299E0"/>
    <w:lvl w:ilvl="0" w:tplc="5E963520">
      <w:start w:val="2"/>
      <w:numFmt w:val="bullet"/>
      <w:lvlText w:val="-"/>
      <w:lvlJc w:val="left"/>
      <w:pPr>
        <w:ind w:left="673" w:hanging="360"/>
      </w:pPr>
      <w:rPr>
        <w:rFonts w:ascii="Times New Roman" w:eastAsia="Times New Roman" w:hAnsi="Times New Roman" w:cs="Times New Roman" w:hint="default"/>
      </w:rPr>
    </w:lvl>
    <w:lvl w:ilvl="1" w:tplc="041B0003" w:tentative="1">
      <w:start w:val="1"/>
      <w:numFmt w:val="bullet"/>
      <w:lvlText w:val="o"/>
      <w:lvlJc w:val="left"/>
      <w:pPr>
        <w:ind w:left="1393" w:hanging="360"/>
      </w:pPr>
      <w:rPr>
        <w:rFonts w:ascii="Courier New" w:hAnsi="Courier New" w:cs="Courier New" w:hint="default"/>
      </w:rPr>
    </w:lvl>
    <w:lvl w:ilvl="2" w:tplc="041B0005" w:tentative="1">
      <w:start w:val="1"/>
      <w:numFmt w:val="bullet"/>
      <w:lvlText w:val=""/>
      <w:lvlJc w:val="left"/>
      <w:pPr>
        <w:ind w:left="2113" w:hanging="360"/>
      </w:pPr>
      <w:rPr>
        <w:rFonts w:ascii="Wingdings" w:hAnsi="Wingdings" w:hint="default"/>
      </w:rPr>
    </w:lvl>
    <w:lvl w:ilvl="3" w:tplc="041B0001" w:tentative="1">
      <w:start w:val="1"/>
      <w:numFmt w:val="bullet"/>
      <w:lvlText w:val=""/>
      <w:lvlJc w:val="left"/>
      <w:pPr>
        <w:ind w:left="2833" w:hanging="360"/>
      </w:pPr>
      <w:rPr>
        <w:rFonts w:ascii="Symbol" w:hAnsi="Symbol" w:hint="default"/>
      </w:rPr>
    </w:lvl>
    <w:lvl w:ilvl="4" w:tplc="041B0003" w:tentative="1">
      <w:start w:val="1"/>
      <w:numFmt w:val="bullet"/>
      <w:lvlText w:val="o"/>
      <w:lvlJc w:val="left"/>
      <w:pPr>
        <w:ind w:left="3553" w:hanging="360"/>
      </w:pPr>
      <w:rPr>
        <w:rFonts w:ascii="Courier New" w:hAnsi="Courier New" w:cs="Courier New" w:hint="default"/>
      </w:rPr>
    </w:lvl>
    <w:lvl w:ilvl="5" w:tplc="041B0005" w:tentative="1">
      <w:start w:val="1"/>
      <w:numFmt w:val="bullet"/>
      <w:lvlText w:val=""/>
      <w:lvlJc w:val="left"/>
      <w:pPr>
        <w:ind w:left="4273" w:hanging="360"/>
      </w:pPr>
      <w:rPr>
        <w:rFonts w:ascii="Wingdings" w:hAnsi="Wingdings" w:hint="default"/>
      </w:rPr>
    </w:lvl>
    <w:lvl w:ilvl="6" w:tplc="041B0001" w:tentative="1">
      <w:start w:val="1"/>
      <w:numFmt w:val="bullet"/>
      <w:lvlText w:val=""/>
      <w:lvlJc w:val="left"/>
      <w:pPr>
        <w:ind w:left="4993" w:hanging="360"/>
      </w:pPr>
      <w:rPr>
        <w:rFonts w:ascii="Symbol" w:hAnsi="Symbol" w:hint="default"/>
      </w:rPr>
    </w:lvl>
    <w:lvl w:ilvl="7" w:tplc="041B0003" w:tentative="1">
      <w:start w:val="1"/>
      <w:numFmt w:val="bullet"/>
      <w:lvlText w:val="o"/>
      <w:lvlJc w:val="left"/>
      <w:pPr>
        <w:ind w:left="5713" w:hanging="360"/>
      </w:pPr>
      <w:rPr>
        <w:rFonts w:ascii="Courier New" w:hAnsi="Courier New" w:cs="Courier New" w:hint="default"/>
      </w:rPr>
    </w:lvl>
    <w:lvl w:ilvl="8" w:tplc="041B0005" w:tentative="1">
      <w:start w:val="1"/>
      <w:numFmt w:val="bullet"/>
      <w:lvlText w:val=""/>
      <w:lvlJc w:val="left"/>
      <w:pPr>
        <w:ind w:left="6433"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F5753E"/>
    <w:multiLevelType w:val="hybridMultilevel"/>
    <w:tmpl w:val="04B0329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D3AFE"/>
    <w:multiLevelType w:val="hybridMultilevel"/>
    <w:tmpl w:val="68D299E0"/>
    <w:lvl w:ilvl="0" w:tplc="5E963520">
      <w:start w:val="2"/>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6" w15:restartNumberingAfterBreak="0">
    <w:nsid w:val="4E820BD0"/>
    <w:multiLevelType w:val="hybridMultilevel"/>
    <w:tmpl w:val="04B0329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AF2D25"/>
    <w:multiLevelType w:val="hybridMultilevel"/>
    <w:tmpl w:val="5276E4AC"/>
    <w:lvl w:ilvl="0" w:tplc="4EC40A92">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 w15:restartNumberingAfterBreak="0">
    <w:nsid w:val="771F4308"/>
    <w:multiLevelType w:val="hybridMultilevel"/>
    <w:tmpl w:val="4B12506E"/>
    <w:lvl w:ilvl="0" w:tplc="97702F4E">
      <w:start w:val="2"/>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9"/>
  </w:num>
  <w:num w:numId="3">
    <w:abstractNumId w:val="2"/>
  </w:num>
  <w:num w:numId="4">
    <w:abstractNumId w:val="4"/>
  </w:num>
  <w:num w:numId="5">
    <w:abstractNumId w:val="0"/>
  </w:num>
  <w:num w:numId="6">
    <w:abstractNumId w:val="10"/>
  </w:num>
  <w:num w:numId="7">
    <w:abstractNumId w:val="7"/>
  </w:num>
  <w:num w:numId="8">
    <w:abstractNumId w:val="1"/>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E8"/>
    <w:rsid w:val="00004577"/>
    <w:rsid w:val="00060448"/>
    <w:rsid w:val="000A4655"/>
    <w:rsid w:val="0011725A"/>
    <w:rsid w:val="001D54F9"/>
    <w:rsid w:val="00201174"/>
    <w:rsid w:val="00247A26"/>
    <w:rsid w:val="00263110"/>
    <w:rsid w:val="0029468A"/>
    <w:rsid w:val="0044571C"/>
    <w:rsid w:val="00513301"/>
    <w:rsid w:val="00887E6F"/>
    <w:rsid w:val="009335E8"/>
    <w:rsid w:val="00A874E2"/>
    <w:rsid w:val="00AB24AB"/>
    <w:rsid w:val="00B11759"/>
    <w:rsid w:val="00B613D8"/>
    <w:rsid w:val="00C61644"/>
    <w:rsid w:val="00C747AF"/>
    <w:rsid w:val="00CC4065"/>
    <w:rsid w:val="00D46A10"/>
    <w:rsid w:val="00E717E2"/>
    <w:rsid w:val="00EA4AE7"/>
    <w:rsid w:val="00EF14D7"/>
    <w:rsid w:val="00F22AF2"/>
    <w:rsid w:val="00FB0578"/>
    <w:rsid w:val="00FF2F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5E0B1"/>
  <w15:chartTrackingRefBased/>
  <w15:docId w15:val="{70588157-C49D-48CA-942B-AEBF0BEC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47A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47AF"/>
    <w:pPr>
      <w:ind w:left="720"/>
      <w:contextualSpacing/>
    </w:pPr>
  </w:style>
  <w:style w:type="paragraph" w:styleId="Hlavika">
    <w:name w:val="header"/>
    <w:basedOn w:val="Normlny"/>
    <w:link w:val="HlavikaChar"/>
    <w:uiPriority w:val="99"/>
    <w:unhideWhenUsed/>
    <w:rsid w:val="00C747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47AF"/>
  </w:style>
  <w:style w:type="paragraph" w:styleId="Pta">
    <w:name w:val="footer"/>
    <w:basedOn w:val="Normlny"/>
    <w:link w:val="PtaChar"/>
    <w:uiPriority w:val="99"/>
    <w:unhideWhenUsed/>
    <w:rsid w:val="00C747AF"/>
    <w:pPr>
      <w:tabs>
        <w:tab w:val="center" w:pos="4536"/>
        <w:tab w:val="right" w:pos="9072"/>
      </w:tabs>
      <w:spacing w:after="0" w:line="240" w:lineRule="auto"/>
    </w:pPr>
  </w:style>
  <w:style w:type="character" w:customStyle="1" w:styleId="PtaChar">
    <w:name w:val="Päta Char"/>
    <w:basedOn w:val="Predvolenpsmoodseku"/>
    <w:link w:val="Pta"/>
    <w:uiPriority w:val="99"/>
    <w:rsid w:val="00C747AF"/>
  </w:style>
  <w:style w:type="table" w:customStyle="1" w:styleId="Mriekatabuky1">
    <w:name w:val="Mriežka tabuľky1"/>
    <w:basedOn w:val="Normlnatabuka"/>
    <w:next w:val="Mriekatabuky"/>
    <w:uiPriority w:val="59"/>
    <w:rsid w:val="00C7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47A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C747AF"/>
    <w:rPr>
      <w:color w:val="0563C1" w:themeColor="hyperlink"/>
      <w:u w:val="single"/>
    </w:rPr>
  </w:style>
  <w:style w:type="character" w:customStyle="1" w:styleId="NormlnywebovChar">
    <w:name w:val="Normálny (webový) Char"/>
    <w:basedOn w:val="Predvolenpsmoodseku"/>
    <w:link w:val="Normlnywebov"/>
    <w:uiPriority w:val="99"/>
    <w:semiHidden/>
    <w:locked/>
    <w:rsid w:val="00C747AF"/>
  </w:style>
  <w:style w:type="paragraph" w:styleId="Normlnywebov">
    <w:name w:val="Normal (Web)"/>
    <w:basedOn w:val="Normlny"/>
    <w:link w:val="NormlnywebovChar"/>
    <w:uiPriority w:val="99"/>
    <w:semiHidden/>
    <w:unhideWhenUsed/>
    <w:rsid w:val="00C747AF"/>
    <w:pPr>
      <w:spacing w:before="100" w:beforeAutospacing="1" w:after="100" w:afterAutospacing="1" w:line="240" w:lineRule="auto"/>
    </w:pPr>
  </w:style>
  <w:style w:type="paragraph" w:customStyle="1" w:styleId="xxxmsonormal">
    <w:name w:val="x_xxmsonormal"/>
    <w:basedOn w:val="Normlny"/>
    <w:rsid w:val="00C747AF"/>
    <w:pPr>
      <w:spacing w:after="0" w:line="240" w:lineRule="auto"/>
    </w:pPr>
    <w:rPr>
      <w:rFonts w:ascii="Times New Roman" w:hAnsi="Times New Roman" w:cs="Times New Roman"/>
      <w:sz w:val="24"/>
      <w:szCs w:val="24"/>
      <w:lang w:eastAsia="sk-SK"/>
    </w:rPr>
  </w:style>
  <w:style w:type="table" w:styleId="Mriekatabuky">
    <w:name w:val="Table Grid"/>
    <w:basedOn w:val="Normlnatabuka"/>
    <w:uiPriority w:val="39"/>
    <w:rsid w:val="00C7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C747AF"/>
    <w:rPr>
      <w:rFonts w:cs="Times New Roman"/>
    </w:rPr>
  </w:style>
  <w:style w:type="paragraph" w:styleId="Textbubliny">
    <w:name w:val="Balloon Text"/>
    <w:basedOn w:val="Normlny"/>
    <w:link w:val="TextbublinyChar"/>
    <w:uiPriority w:val="99"/>
    <w:semiHidden/>
    <w:unhideWhenUsed/>
    <w:rsid w:val="00C747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747AF"/>
    <w:rPr>
      <w:rFonts w:ascii="Tahoma" w:hAnsi="Tahoma" w:cs="Tahoma"/>
      <w:sz w:val="16"/>
      <w:szCs w:val="16"/>
    </w:rPr>
  </w:style>
  <w:style w:type="paragraph" w:styleId="Revzia">
    <w:name w:val="Revision"/>
    <w:hidden/>
    <w:uiPriority w:val="99"/>
    <w:semiHidden/>
    <w:rsid w:val="00C747AF"/>
    <w:pPr>
      <w:spacing w:after="0" w:line="240" w:lineRule="auto"/>
    </w:pPr>
  </w:style>
  <w:style w:type="character" w:styleId="Odkaznakomentr">
    <w:name w:val="annotation reference"/>
    <w:basedOn w:val="Predvolenpsmoodseku"/>
    <w:uiPriority w:val="99"/>
    <w:semiHidden/>
    <w:unhideWhenUsed/>
    <w:rsid w:val="00C747AF"/>
    <w:rPr>
      <w:sz w:val="16"/>
      <w:szCs w:val="16"/>
    </w:rPr>
  </w:style>
  <w:style w:type="paragraph" w:styleId="Textkomentra">
    <w:name w:val="annotation text"/>
    <w:basedOn w:val="Normlny"/>
    <w:link w:val="TextkomentraChar"/>
    <w:uiPriority w:val="99"/>
    <w:semiHidden/>
    <w:unhideWhenUsed/>
    <w:rsid w:val="00C747A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C747AF"/>
    <w:rPr>
      <w:sz w:val="20"/>
      <w:szCs w:val="20"/>
    </w:rPr>
  </w:style>
  <w:style w:type="paragraph" w:styleId="Predmetkomentra">
    <w:name w:val="annotation subject"/>
    <w:basedOn w:val="Textkomentra"/>
    <w:next w:val="Textkomentra"/>
    <w:link w:val="PredmetkomentraChar"/>
    <w:uiPriority w:val="99"/>
    <w:semiHidden/>
    <w:unhideWhenUsed/>
    <w:rsid w:val="00C747AF"/>
    <w:rPr>
      <w:b/>
      <w:bCs/>
    </w:rPr>
  </w:style>
  <w:style w:type="character" w:customStyle="1" w:styleId="PredmetkomentraChar">
    <w:name w:val="Predmet komentára Char"/>
    <w:basedOn w:val="TextkomentraChar"/>
    <w:link w:val="Predmetkomentra"/>
    <w:uiPriority w:val="99"/>
    <w:semiHidden/>
    <w:rsid w:val="00C747AF"/>
    <w:rPr>
      <w:b/>
      <w:bCs/>
      <w:sz w:val="20"/>
      <w:szCs w:val="20"/>
    </w:rPr>
  </w:style>
  <w:style w:type="character" w:styleId="Zvraznenie">
    <w:name w:val="Emphasis"/>
    <w:basedOn w:val="Predvolenpsmoodseku"/>
    <w:uiPriority w:val="20"/>
    <w:qFormat/>
    <w:rsid w:val="00C747AF"/>
    <w:rPr>
      <w:i/>
      <w:iCs/>
    </w:rPr>
  </w:style>
  <w:style w:type="paragraph" w:styleId="Bezriadkovania">
    <w:name w:val="No Spacing"/>
    <w:uiPriority w:val="1"/>
    <w:qFormat/>
    <w:rsid w:val="00C747AF"/>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pzv@antimon.gov.sk"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7460</Words>
  <Characters>42524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OLOÚOŠS</dc:creator>
  <cp:keywords/>
  <dc:description/>
  <cp:lastModifiedBy>OLOÚOŠS</cp:lastModifiedBy>
  <cp:revision>5</cp:revision>
  <dcterms:created xsi:type="dcterms:W3CDTF">2023-12-08T09:13:00Z</dcterms:created>
  <dcterms:modified xsi:type="dcterms:W3CDTF">2023-12-15T07:44:00Z</dcterms:modified>
</cp:coreProperties>
</file>