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1.xml" ContentType="application/vnd.openxmlformats-officedocument.drawingml.chartshapes+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09720558"/>
        <w:placeholder>
          <w:docPart w:val="4CFA9320A03148E98EF733F7A917AECF"/>
        </w:placeholder>
      </w:sdtPr>
      <w:sdtEndPr/>
      <w:sdtContent>
        <w:p w14:paraId="12D0BE3D" w14:textId="14C8741A" w:rsidR="00196D31" w:rsidRDefault="006C125B" w:rsidP="00FF5DA3">
          <w:pPr>
            <w:pStyle w:val="Nzov"/>
            <w:spacing w:before="4800"/>
          </w:pPr>
          <w:r>
            <w:t xml:space="preserve">STANOVISKO </w:t>
          </w:r>
          <w:r>
            <w:br/>
            <w:t xml:space="preserve">najvyššieho kontrolného úradu sr k návrhu štátneho rozpočtu sr na rok </w:t>
          </w:r>
          <w:r w:rsidRPr="009A64E6">
            <w:t>202</w:t>
          </w:r>
          <w:r w:rsidR="00714AE1">
            <w:t>4</w:t>
          </w:r>
        </w:p>
      </w:sdtContent>
    </w:sdt>
    <w:p w14:paraId="6D1ED517" w14:textId="77777777" w:rsidR="00F539EB" w:rsidRDefault="00F539EB" w:rsidP="00FF5DA3">
      <w:pPr>
        <w:pStyle w:val="Podtitul"/>
        <w:spacing w:after="1200"/>
      </w:pPr>
    </w:p>
    <w:p w14:paraId="427B3189" w14:textId="14BBDB98" w:rsidR="00F071B7" w:rsidRDefault="008F2232" w:rsidP="00F071B7">
      <w:pPr>
        <w:jc w:val="center"/>
        <w:rPr>
          <w:b/>
          <w:color w:val="314364" w:themeColor="text2"/>
          <w:sz w:val="32"/>
          <w:szCs w:val="32"/>
        </w:rPr>
      </w:pPr>
      <w:r>
        <w:rPr>
          <w:b/>
          <w:color w:val="314364" w:themeColor="text2"/>
          <w:sz w:val="32"/>
          <w:szCs w:val="32"/>
        </w:rPr>
        <w:t>December</w:t>
      </w:r>
      <w:r w:rsidR="00F071B7" w:rsidRPr="00FF5DA3">
        <w:rPr>
          <w:b/>
          <w:color w:val="314364" w:themeColor="text2"/>
          <w:sz w:val="32"/>
          <w:szCs w:val="32"/>
        </w:rPr>
        <w:t xml:space="preserve"> </w:t>
      </w:r>
      <w:r w:rsidR="00F071B7">
        <w:rPr>
          <w:b/>
          <w:color w:val="314364" w:themeColor="text2"/>
          <w:sz w:val="32"/>
          <w:szCs w:val="32"/>
        </w:rPr>
        <w:t>202</w:t>
      </w:r>
      <w:r w:rsidR="00714AE1">
        <w:rPr>
          <w:b/>
          <w:color w:val="314364" w:themeColor="text2"/>
          <w:sz w:val="32"/>
          <w:szCs w:val="32"/>
        </w:rPr>
        <w:t>3</w:t>
      </w:r>
    </w:p>
    <w:p w14:paraId="0B2834C2" w14:textId="77777777" w:rsidR="00F071B7" w:rsidRDefault="00F071B7" w:rsidP="00F071B7">
      <w:pPr>
        <w:jc w:val="center"/>
        <w:rPr>
          <w:b/>
          <w:color w:val="314364" w:themeColor="text2"/>
          <w:sz w:val="32"/>
          <w:szCs w:val="32"/>
        </w:rPr>
      </w:pPr>
    </w:p>
    <w:p w14:paraId="207C9DBE" w14:textId="77777777" w:rsidR="00F071B7" w:rsidRDefault="00F071B7" w:rsidP="00F071B7">
      <w:pPr>
        <w:jc w:val="center"/>
        <w:rPr>
          <w:b/>
          <w:color w:val="314364" w:themeColor="text2"/>
          <w:sz w:val="32"/>
          <w:szCs w:val="32"/>
        </w:rPr>
      </w:pPr>
    </w:p>
    <w:p w14:paraId="67BC3C64" w14:textId="77777777" w:rsidR="00F071B7" w:rsidRDefault="00F071B7" w:rsidP="00F071B7">
      <w:pPr>
        <w:jc w:val="center"/>
        <w:rPr>
          <w:b/>
          <w:color w:val="314364" w:themeColor="text2"/>
          <w:sz w:val="32"/>
          <w:szCs w:val="32"/>
        </w:rPr>
      </w:pPr>
    </w:p>
    <w:p w14:paraId="3B65B546" w14:textId="77777777" w:rsidR="00F071B7" w:rsidRDefault="00F071B7" w:rsidP="00F071B7">
      <w:pPr>
        <w:jc w:val="center"/>
        <w:rPr>
          <w:b/>
          <w:color w:val="314364" w:themeColor="text2"/>
          <w:sz w:val="32"/>
          <w:szCs w:val="32"/>
        </w:rPr>
      </w:pPr>
    </w:p>
    <w:p w14:paraId="2E9319C2" w14:textId="6E5666E2" w:rsidR="00F81151" w:rsidRDefault="00F81151" w:rsidP="00F81151">
      <w:pPr>
        <w:tabs>
          <w:tab w:val="left" w:pos="3615"/>
        </w:tabs>
        <w:rPr>
          <w:sz w:val="32"/>
          <w:szCs w:val="32"/>
        </w:rPr>
      </w:pPr>
      <w:r>
        <w:rPr>
          <w:sz w:val="32"/>
          <w:szCs w:val="32"/>
        </w:rPr>
        <w:tab/>
      </w:r>
    </w:p>
    <w:p w14:paraId="0AE2ECA2" w14:textId="6C6FCA99" w:rsidR="00F071B7" w:rsidRPr="00F81151" w:rsidRDefault="00F81151" w:rsidP="00BB1B27">
      <w:pPr>
        <w:tabs>
          <w:tab w:val="left" w:pos="3615"/>
          <w:tab w:val="left" w:pos="4035"/>
        </w:tabs>
        <w:rPr>
          <w:sz w:val="32"/>
          <w:szCs w:val="32"/>
        </w:rPr>
        <w:sectPr w:rsidR="00F071B7" w:rsidRPr="00F81151" w:rsidSect="00A9226D">
          <w:headerReference w:type="default" r:id="rId8"/>
          <w:footerReference w:type="default" r:id="rId9"/>
          <w:pgSz w:w="11906" w:h="16838" w:code="9"/>
          <w:pgMar w:top="1985" w:right="1418" w:bottom="1134" w:left="1418" w:header="0" w:footer="284" w:gutter="0"/>
          <w:cols w:space="708"/>
          <w:docGrid w:linePitch="360"/>
        </w:sectPr>
      </w:pPr>
      <w:r>
        <w:rPr>
          <w:sz w:val="32"/>
          <w:szCs w:val="32"/>
        </w:rPr>
        <w:tab/>
      </w:r>
      <w:r w:rsidR="00BB1B27">
        <w:rPr>
          <w:sz w:val="32"/>
          <w:szCs w:val="32"/>
        </w:rPr>
        <w:tab/>
      </w:r>
    </w:p>
    <w:sdt>
      <w:sdtPr>
        <w:rPr>
          <w:rFonts w:eastAsiaTheme="minorHAnsi" w:cstheme="minorBidi"/>
          <w:color w:val="auto"/>
          <w:sz w:val="20"/>
          <w:szCs w:val="22"/>
          <w:lang w:eastAsia="en-US"/>
        </w:rPr>
        <w:id w:val="1304823830"/>
        <w:docPartObj>
          <w:docPartGallery w:val="Table of Contents"/>
          <w:docPartUnique/>
        </w:docPartObj>
      </w:sdtPr>
      <w:sdtEndPr>
        <w:rPr>
          <w:b/>
          <w:bCs/>
        </w:rPr>
      </w:sdtEndPr>
      <w:sdtContent>
        <w:p w14:paraId="5C4FE225" w14:textId="77777777" w:rsidR="00F071B7" w:rsidRDefault="00F071B7" w:rsidP="00F071B7">
          <w:pPr>
            <w:pStyle w:val="Hlavikaobsahu"/>
          </w:pPr>
          <w:r>
            <w:t>Obsah</w:t>
          </w:r>
        </w:p>
        <w:p w14:paraId="47BFEC20" w14:textId="1505D486" w:rsidR="00592C4B" w:rsidRDefault="006C125B">
          <w:pPr>
            <w:pStyle w:val="Obsah1"/>
            <w:rPr>
              <w:rFonts w:eastAsiaTheme="minorEastAsia" w:cstheme="minorBidi"/>
              <w:b w:val="0"/>
              <w:bCs w:val="0"/>
              <w:caps w:val="0"/>
              <w:color w:val="auto"/>
              <w:sz w:val="22"/>
              <w:szCs w:val="22"/>
              <w:lang w:eastAsia="sk-SK"/>
            </w:rPr>
          </w:pPr>
          <w:r>
            <w:fldChar w:fldCharType="begin"/>
          </w:r>
          <w:r>
            <w:instrText xml:space="preserve"> TOC \o "1-3" \h \z \u </w:instrText>
          </w:r>
          <w:r>
            <w:fldChar w:fldCharType="separate"/>
          </w:r>
          <w:hyperlink w:anchor="_Toc153784690" w:history="1">
            <w:r w:rsidR="00592C4B" w:rsidRPr="00CF0394">
              <w:rPr>
                <w:rStyle w:val="Hypertextovprepojenie"/>
              </w:rPr>
              <w:t>Zhrnutie</w:t>
            </w:r>
            <w:r w:rsidR="00592C4B">
              <w:rPr>
                <w:webHidden/>
              </w:rPr>
              <w:tab/>
            </w:r>
            <w:r w:rsidR="00592C4B">
              <w:rPr>
                <w:webHidden/>
              </w:rPr>
              <w:fldChar w:fldCharType="begin"/>
            </w:r>
            <w:r w:rsidR="00592C4B">
              <w:rPr>
                <w:webHidden/>
              </w:rPr>
              <w:instrText xml:space="preserve"> PAGEREF _Toc153784690 \h </w:instrText>
            </w:r>
            <w:r w:rsidR="00592C4B">
              <w:rPr>
                <w:webHidden/>
              </w:rPr>
            </w:r>
            <w:r w:rsidR="00592C4B">
              <w:rPr>
                <w:webHidden/>
              </w:rPr>
              <w:fldChar w:fldCharType="separate"/>
            </w:r>
            <w:r w:rsidR="00592C4B">
              <w:rPr>
                <w:webHidden/>
              </w:rPr>
              <w:t>4</w:t>
            </w:r>
            <w:r w:rsidR="00592C4B">
              <w:rPr>
                <w:webHidden/>
              </w:rPr>
              <w:fldChar w:fldCharType="end"/>
            </w:r>
          </w:hyperlink>
        </w:p>
        <w:p w14:paraId="28D26776" w14:textId="602E387D" w:rsidR="00592C4B" w:rsidRDefault="008920FD">
          <w:pPr>
            <w:pStyle w:val="Obsah1"/>
            <w:rPr>
              <w:rFonts w:eastAsiaTheme="minorEastAsia" w:cstheme="minorBidi"/>
              <w:b w:val="0"/>
              <w:bCs w:val="0"/>
              <w:caps w:val="0"/>
              <w:color w:val="auto"/>
              <w:sz w:val="22"/>
              <w:szCs w:val="22"/>
              <w:lang w:eastAsia="sk-SK"/>
            </w:rPr>
          </w:pPr>
          <w:hyperlink w:anchor="_Toc153784691" w:history="1">
            <w:r w:rsidR="00592C4B" w:rsidRPr="00CF0394">
              <w:rPr>
                <w:rStyle w:val="Hypertextovprepojenie"/>
              </w:rPr>
              <w:t>1</w:t>
            </w:r>
            <w:r w:rsidR="00592C4B">
              <w:rPr>
                <w:rFonts w:eastAsiaTheme="minorEastAsia" w:cstheme="minorBidi"/>
                <w:b w:val="0"/>
                <w:bCs w:val="0"/>
                <w:caps w:val="0"/>
                <w:color w:val="auto"/>
                <w:sz w:val="22"/>
                <w:szCs w:val="22"/>
                <w:lang w:eastAsia="sk-SK"/>
              </w:rPr>
              <w:tab/>
            </w:r>
            <w:r w:rsidR="00592C4B" w:rsidRPr="00CF0394">
              <w:rPr>
                <w:rStyle w:val="Hypertextovprepojenie"/>
              </w:rPr>
              <w:t>Makroekonomické predpoklady rozpočtu</w:t>
            </w:r>
            <w:r w:rsidR="00592C4B">
              <w:rPr>
                <w:webHidden/>
              </w:rPr>
              <w:tab/>
            </w:r>
            <w:r w:rsidR="00592C4B">
              <w:rPr>
                <w:webHidden/>
              </w:rPr>
              <w:fldChar w:fldCharType="begin"/>
            </w:r>
            <w:r w:rsidR="00592C4B">
              <w:rPr>
                <w:webHidden/>
              </w:rPr>
              <w:instrText xml:space="preserve"> PAGEREF _Toc153784691 \h </w:instrText>
            </w:r>
            <w:r w:rsidR="00592C4B">
              <w:rPr>
                <w:webHidden/>
              </w:rPr>
            </w:r>
            <w:r w:rsidR="00592C4B">
              <w:rPr>
                <w:webHidden/>
              </w:rPr>
              <w:fldChar w:fldCharType="separate"/>
            </w:r>
            <w:r w:rsidR="00592C4B">
              <w:rPr>
                <w:webHidden/>
              </w:rPr>
              <w:t>7</w:t>
            </w:r>
            <w:r w:rsidR="00592C4B">
              <w:rPr>
                <w:webHidden/>
              </w:rPr>
              <w:fldChar w:fldCharType="end"/>
            </w:r>
          </w:hyperlink>
        </w:p>
        <w:p w14:paraId="2AD7D98F" w14:textId="36F2C8AB" w:rsidR="00592C4B" w:rsidRDefault="008920FD">
          <w:pPr>
            <w:pStyle w:val="Obsah1"/>
            <w:rPr>
              <w:rFonts w:eastAsiaTheme="minorEastAsia" w:cstheme="minorBidi"/>
              <w:b w:val="0"/>
              <w:bCs w:val="0"/>
              <w:caps w:val="0"/>
              <w:color w:val="auto"/>
              <w:sz w:val="22"/>
              <w:szCs w:val="22"/>
              <w:lang w:eastAsia="sk-SK"/>
            </w:rPr>
          </w:pPr>
          <w:hyperlink w:anchor="_Toc153784692" w:history="1">
            <w:r w:rsidR="00592C4B" w:rsidRPr="00CF0394">
              <w:rPr>
                <w:rStyle w:val="Hypertextovprepojenie"/>
              </w:rPr>
              <w:t>2</w:t>
            </w:r>
            <w:r w:rsidR="00592C4B">
              <w:rPr>
                <w:rFonts w:eastAsiaTheme="minorEastAsia" w:cstheme="minorBidi"/>
                <w:b w:val="0"/>
                <w:bCs w:val="0"/>
                <w:caps w:val="0"/>
                <w:color w:val="auto"/>
                <w:sz w:val="22"/>
                <w:szCs w:val="22"/>
                <w:lang w:eastAsia="sk-SK"/>
              </w:rPr>
              <w:tab/>
            </w:r>
            <w:r w:rsidR="00592C4B" w:rsidRPr="00CF0394">
              <w:rPr>
                <w:rStyle w:val="Hypertextovprepojenie"/>
              </w:rPr>
              <w:t>Východiskový rámec návrhu RVS</w:t>
            </w:r>
            <w:r w:rsidR="00592C4B">
              <w:rPr>
                <w:webHidden/>
              </w:rPr>
              <w:tab/>
            </w:r>
            <w:r w:rsidR="00592C4B">
              <w:rPr>
                <w:webHidden/>
              </w:rPr>
              <w:fldChar w:fldCharType="begin"/>
            </w:r>
            <w:r w:rsidR="00592C4B">
              <w:rPr>
                <w:webHidden/>
              </w:rPr>
              <w:instrText xml:space="preserve"> PAGEREF _Toc153784692 \h </w:instrText>
            </w:r>
            <w:r w:rsidR="00592C4B">
              <w:rPr>
                <w:webHidden/>
              </w:rPr>
            </w:r>
            <w:r w:rsidR="00592C4B">
              <w:rPr>
                <w:webHidden/>
              </w:rPr>
              <w:fldChar w:fldCharType="separate"/>
            </w:r>
            <w:r w:rsidR="00592C4B">
              <w:rPr>
                <w:webHidden/>
              </w:rPr>
              <w:t>8</w:t>
            </w:r>
            <w:r w:rsidR="00592C4B">
              <w:rPr>
                <w:webHidden/>
              </w:rPr>
              <w:fldChar w:fldCharType="end"/>
            </w:r>
          </w:hyperlink>
        </w:p>
        <w:p w14:paraId="35C20590" w14:textId="7FAAC8DC" w:rsidR="00592C4B" w:rsidRDefault="008920FD">
          <w:pPr>
            <w:pStyle w:val="Obsah2"/>
            <w:tabs>
              <w:tab w:val="left" w:pos="800"/>
              <w:tab w:val="right" w:leader="dot" w:pos="9060"/>
            </w:tabs>
            <w:rPr>
              <w:rFonts w:eastAsiaTheme="minorEastAsia" w:cstheme="minorBidi"/>
              <w:smallCaps w:val="0"/>
              <w:noProof/>
              <w:sz w:val="22"/>
              <w:szCs w:val="22"/>
              <w:lang w:eastAsia="sk-SK"/>
            </w:rPr>
          </w:pPr>
          <w:hyperlink w:anchor="_Toc153784693" w:history="1">
            <w:r w:rsidR="00592C4B" w:rsidRPr="00CF0394">
              <w:rPr>
                <w:rStyle w:val="Hypertextovprepojenie"/>
                <w:noProof/>
              </w:rPr>
              <w:t>2.1</w:t>
            </w:r>
            <w:r w:rsidR="00592C4B">
              <w:rPr>
                <w:rFonts w:eastAsiaTheme="minorEastAsia" w:cstheme="minorBidi"/>
                <w:smallCaps w:val="0"/>
                <w:noProof/>
                <w:sz w:val="22"/>
                <w:szCs w:val="22"/>
                <w:lang w:eastAsia="sk-SK"/>
              </w:rPr>
              <w:tab/>
            </w:r>
            <w:r w:rsidR="00592C4B" w:rsidRPr="00CF0394">
              <w:rPr>
                <w:rStyle w:val="Hypertextovprepojenie"/>
                <w:noProof/>
              </w:rPr>
              <w:t>Daňové a odvodové príjmy VS</w:t>
            </w:r>
            <w:r w:rsidR="00592C4B">
              <w:rPr>
                <w:noProof/>
                <w:webHidden/>
              </w:rPr>
              <w:tab/>
            </w:r>
            <w:r w:rsidR="00592C4B">
              <w:rPr>
                <w:noProof/>
                <w:webHidden/>
              </w:rPr>
              <w:fldChar w:fldCharType="begin"/>
            </w:r>
            <w:r w:rsidR="00592C4B">
              <w:rPr>
                <w:noProof/>
                <w:webHidden/>
              </w:rPr>
              <w:instrText xml:space="preserve"> PAGEREF _Toc153784693 \h </w:instrText>
            </w:r>
            <w:r w:rsidR="00592C4B">
              <w:rPr>
                <w:noProof/>
                <w:webHidden/>
              </w:rPr>
            </w:r>
            <w:r w:rsidR="00592C4B">
              <w:rPr>
                <w:noProof/>
                <w:webHidden/>
              </w:rPr>
              <w:fldChar w:fldCharType="separate"/>
            </w:r>
            <w:r w:rsidR="00592C4B">
              <w:rPr>
                <w:noProof/>
                <w:webHidden/>
              </w:rPr>
              <w:t>8</w:t>
            </w:r>
            <w:r w:rsidR="00592C4B">
              <w:rPr>
                <w:noProof/>
                <w:webHidden/>
              </w:rPr>
              <w:fldChar w:fldCharType="end"/>
            </w:r>
          </w:hyperlink>
        </w:p>
        <w:p w14:paraId="6F5C2B25" w14:textId="46318E1B" w:rsidR="00592C4B" w:rsidRDefault="008920FD">
          <w:pPr>
            <w:pStyle w:val="Obsah2"/>
            <w:tabs>
              <w:tab w:val="left" w:pos="800"/>
              <w:tab w:val="right" w:leader="dot" w:pos="9060"/>
            </w:tabs>
            <w:rPr>
              <w:rFonts w:eastAsiaTheme="minorEastAsia" w:cstheme="minorBidi"/>
              <w:smallCaps w:val="0"/>
              <w:noProof/>
              <w:sz w:val="22"/>
              <w:szCs w:val="22"/>
              <w:lang w:eastAsia="sk-SK"/>
            </w:rPr>
          </w:pPr>
          <w:hyperlink w:anchor="_Toc153784694" w:history="1">
            <w:r w:rsidR="00592C4B" w:rsidRPr="00CF0394">
              <w:rPr>
                <w:rStyle w:val="Hypertextovprepojenie"/>
                <w:noProof/>
              </w:rPr>
              <w:t>2.2</w:t>
            </w:r>
            <w:r w:rsidR="00592C4B">
              <w:rPr>
                <w:rFonts w:eastAsiaTheme="minorEastAsia" w:cstheme="minorBidi"/>
                <w:smallCaps w:val="0"/>
                <w:noProof/>
                <w:sz w:val="22"/>
                <w:szCs w:val="22"/>
                <w:lang w:eastAsia="sk-SK"/>
              </w:rPr>
              <w:tab/>
            </w:r>
            <w:r w:rsidR="00592C4B" w:rsidRPr="00CF0394">
              <w:rPr>
                <w:rStyle w:val="Hypertextovprepojenie"/>
                <w:noProof/>
              </w:rPr>
              <w:t>Fiškálny rámec návrhu RVS</w:t>
            </w:r>
            <w:r w:rsidR="00592C4B">
              <w:rPr>
                <w:noProof/>
                <w:webHidden/>
              </w:rPr>
              <w:tab/>
            </w:r>
            <w:r w:rsidR="00592C4B">
              <w:rPr>
                <w:noProof/>
                <w:webHidden/>
              </w:rPr>
              <w:fldChar w:fldCharType="begin"/>
            </w:r>
            <w:r w:rsidR="00592C4B">
              <w:rPr>
                <w:noProof/>
                <w:webHidden/>
              </w:rPr>
              <w:instrText xml:space="preserve"> PAGEREF _Toc153784694 \h </w:instrText>
            </w:r>
            <w:r w:rsidR="00592C4B">
              <w:rPr>
                <w:noProof/>
                <w:webHidden/>
              </w:rPr>
            </w:r>
            <w:r w:rsidR="00592C4B">
              <w:rPr>
                <w:noProof/>
                <w:webHidden/>
              </w:rPr>
              <w:fldChar w:fldCharType="separate"/>
            </w:r>
            <w:r w:rsidR="00592C4B">
              <w:rPr>
                <w:noProof/>
                <w:webHidden/>
              </w:rPr>
              <w:t>9</w:t>
            </w:r>
            <w:r w:rsidR="00592C4B">
              <w:rPr>
                <w:noProof/>
                <w:webHidden/>
              </w:rPr>
              <w:fldChar w:fldCharType="end"/>
            </w:r>
          </w:hyperlink>
        </w:p>
        <w:p w14:paraId="3DF00F5F" w14:textId="6411FEF6" w:rsidR="00592C4B" w:rsidRDefault="008920FD">
          <w:pPr>
            <w:pStyle w:val="Obsah2"/>
            <w:tabs>
              <w:tab w:val="left" w:pos="800"/>
              <w:tab w:val="right" w:leader="dot" w:pos="9060"/>
            </w:tabs>
            <w:rPr>
              <w:rFonts w:eastAsiaTheme="minorEastAsia" w:cstheme="minorBidi"/>
              <w:smallCaps w:val="0"/>
              <w:noProof/>
              <w:sz w:val="22"/>
              <w:szCs w:val="22"/>
              <w:lang w:eastAsia="sk-SK"/>
            </w:rPr>
          </w:pPr>
          <w:hyperlink w:anchor="_Toc153784695" w:history="1">
            <w:r w:rsidR="00592C4B" w:rsidRPr="00CF0394">
              <w:rPr>
                <w:rStyle w:val="Hypertextovprepojenie"/>
                <w:noProof/>
              </w:rPr>
              <w:t>2.3</w:t>
            </w:r>
            <w:r w:rsidR="00592C4B">
              <w:rPr>
                <w:rFonts w:eastAsiaTheme="minorEastAsia" w:cstheme="minorBidi"/>
                <w:smallCaps w:val="0"/>
                <w:noProof/>
                <w:sz w:val="22"/>
                <w:szCs w:val="22"/>
                <w:lang w:eastAsia="sk-SK"/>
              </w:rPr>
              <w:tab/>
            </w:r>
            <w:r w:rsidR="00592C4B" w:rsidRPr="00CF0394">
              <w:rPr>
                <w:rStyle w:val="Hypertextovprepojenie"/>
                <w:noProof/>
              </w:rPr>
              <w:t>Prognóza hrubého dlhu VS</w:t>
            </w:r>
            <w:r w:rsidR="00592C4B">
              <w:rPr>
                <w:noProof/>
                <w:webHidden/>
              </w:rPr>
              <w:tab/>
            </w:r>
            <w:r w:rsidR="00592C4B">
              <w:rPr>
                <w:noProof/>
                <w:webHidden/>
              </w:rPr>
              <w:fldChar w:fldCharType="begin"/>
            </w:r>
            <w:r w:rsidR="00592C4B">
              <w:rPr>
                <w:noProof/>
                <w:webHidden/>
              </w:rPr>
              <w:instrText xml:space="preserve"> PAGEREF _Toc153784695 \h </w:instrText>
            </w:r>
            <w:r w:rsidR="00592C4B">
              <w:rPr>
                <w:noProof/>
                <w:webHidden/>
              </w:rPr>
            </w:r>
            <w:r w:rsidR="00592C4B">
              <w:rPr>
                <w:noProof/>
                <w:webHidden/>
              </w:rPr>
              <w:fldChar w:fldCharType="separate"/>
            </w:r>
            <w:r w:rsidR="00592C4B">
              <w:rPr>
                <w:noProof/>
                <w:webHidden/>
              </w:rPr>
              <w:t>10</w:t>
            </w:r>
            <w:r w:rsidR="00592C4B">
              <w:rPr>
                <w:noProof/>
                <w:webHidden/>
              </w:rPr>
              <w:fldChar w:fldCharType="end"/>
            </w:r>
          </w:hyperlink>
        </w:p>
        <w:p w14:paraId="3D8A7CC3" w14:textId="5CB3D818" w:rsidR="00592C4B" w:rsidRDefault="008920FD">
          <w:pPr>
            <w:pStyle w:val="Obsah2"/>
            <w:tabs>
              <w:tab w:val="left" w:pos="800"/>
              <w:tab w:val="right" w:leader="dot" w:pos="9060"/>
            </w:tabs>
            <w:rPr>
              <w:rFonts w:eastAsiaTheme="minorEastAsia" w:cstheme="minorBidi"/>
              <w:smallCaps w:val="0"/>
              <w:noProof/>
              <w:sz w:val="22"/>
              <w:szCs w:val="22"/>
              <w:lang w:eastAsia="sk-SK"/>
            </w:rPr>
          </w:pPr>
          <w:hyperlink w:anchor="_Toc153784696" w:history="1">
            <w:r w:rsidR="00592C4B" w:rsidRPr="00CF0394">
              <w:rPr>
                <w:rStyle w:val="Hypertextovprepojenie"/>
                <w:noProof/>
              </w:rPr>
              <w:t>2.4</w:t>
            </w:r>
            <w:r w:rsidR="00592C4B">
              <w:rPr>
                <w:rFonts w:eastAsiaTheme="minorEastAsia" w:cstheme="minorBidi"/>
                <w:smallCaps w:val="0"/>
                <w:noProof/>
                <w:sz w:val="22"/>
                <w:szCs w:val="22"/>
                <w:lang w:eastAsia="sk-SK"/>
              </w:rPr>
              <w:tab/>
            </w:r>
            <w:r w:rsidR="00592C4B" w:rsidRPr="00CF0394">
              <w:rPr>
                <w:rStyle w:val="Hypertextovprepojenie"/>
                <w:noProof/>
              </w:rPr>
              <w:t>Limit verejných výdavkov</w:t>
            </w:r>
            <w:r w:rsidR="00592C4B">
              <w:rPr>
                <w:noProof/>
                <w:webHidden/>
              </w:rPr>
              <w:tab/>
            </w:r>
            <w:r w:rsidR="00592C4B">
              <w:rPr>
                <w:noProof/>
                <w:webHidden/>
              </w:rPr>
              <w:fldChar w:fldCharType="begin"/>
            </w:r>
            <w:r w:rsidR="00592C4B">
              <w:rPr>
                <w:noProof/>
                <w:webHidden/>
              </w:rPr>
              <w:instrText xml:space="preserve"> PAGEREF _Toc153784696 \h </w:instrText>
            </w:r>
            <w:r w:rsidR="00592C4B">
              <w:rPr>
                <w:noProof/>
                <w:webHidden/>
              </w:rPr>
            </w:r>
            <w:r w:rsidR="00592C4B">
              <w:rPr>
                <w:noProof/>
                <w:webHidden/>
              </w:rPr>
              <w:fldChar w:fldCharType="separate"/>
            </w:r>
            <w:r w:rsidR="00592C4B">
              <w:rPr>
                <w:noProof/>
                <w:webHidden/>
              </w:rPr>
              <w:t>11</w:t>
            </w:r>
            <w:r w:rsidR="00592C4B">
              <w:rPr>
                <w:noProof/>
                <w:webHidden/>
              </w:rPr>
              <w:fldChar w:fldCharType="end"/>
            </w:r>
          </w:hyperlink>
        </w:p>
        <w:p w14:paraId="04E12919" w14:textId="186F02FB" w:rsidR="00592C4B" w:rsidRDefault="008920FD">
          <w:pPr>
            <w:pStyle w:val="Obsah1"/>
            <w:rPr>
              <w:rFonts w:eastAsiaTheme="minorEastAsia" w:cstheme="minorBidi"/>
              <w:b w:val="0"/>
              <w:bCs w:val="0"/>
              <w:caps w:val="0"/>
              <w:color w:val="auto"/>
              <w:sz w:val="22"/>
              <w:szCs w:val="22"/>
              <w:lang w:eastAsia="sk-SK"/>
            </w:rPr>
          </w:pPr>
          <w:hyperlink w:anchor="_Toc153784697" w:history="1">
            <w:r w:rsidR="00592C4B" w:rsidRPr="00CF0394">
              <w:rPr>
                <w:rStyle w:val="Hypertextovprepojenie"/>
              </w:rPr>
              <w:t>3</w:t>
            </w:r>
            <w:r w:rsidR="00592C4B">
              <w:rPr>
                <w:rFonts w:eastAsiaTheme="minorEastAsia" w:cstheme="minorBidi"/>
                <w:b w:val="0"/>
                <w:bCs w:val="0"/>
                <w:caps w:val="0"/>
                <w:color w:val="auto"/>
                <w:sz w:val="22"/>
                <w:szCs w:val="22"/>
                <w:lang w:eastAsia="sk-SK"/>
              </w:rPr>
              <w:tab/>
            </w:r>
            <w:r w:rsidR="00592C4B" w:rsidRPr="00CF0394">
              <w:rPr>
                <w:rStyle w:val="Hypertextovprepojenie"/>
              </w:rPr>
              <w:t>Rozpočtové vzťahy SR a EÚ</w:t>
            </w:r>
            <w:r w:rsidR="00592C4B">
              <w:rPr>
                <w:webHidden/>
              </w:rPr>
              <w:tab/>
            </w:r>
            <w:r w:rsidR="00592C4B">
              <w:rPr>
                <w:webHidden/>
              </w:rPr>
              <w:fldChar w:fldCharType="begin"/>
            </w:r>
            <w:r w:rsidR="00592C4B">
              <w:rPr>
                <w:webHidden/>
              </w:rPr>
              <w:instrText xml:space="preserve"> PAGEREF _Toc153784697 \h </w:instrText>
            </w:r>
            <w:r w:rsidR="00592C4B">
              <w:rPr>
                <w:webHidden/>
              </w:rPr>
            </w:r>
            <w:r w:rsidR="00592C4B">
              <w:rPr>
                <w:webHidden/>
              </w:rPr>
              <w:fldChar w:fldCharType="separate"/>
            </w:r>
            <w:r w:rsidR="00592C4B">
              <w:rPr>
                <w:webHidden/>
              </w:rPr>
              <w:t>13</w:t>
            </w:r>
            <w:r w:rsidR="00592C4B">
              <w:rPr>
                <w:webHidden/>
              </w:rPr>
              <w:fldChar w:fldCharType="end"/>
            </w:r>
          </w:hyperlink>
        </w:p>
        <w:p w14:paraId="4CF258E8" w14:textId="20C5B58B" w:rsidR="00592C4B" w:rsidRDefault="008920FD">
          <w:pPr>
            <w:pStyle w:val="Obsah1"/>
            <w:rPr>
              <w:rFonts w:eastAsiaTheme="minorEastAsia" w:cstheme="minorBidi"/>
              <w:b w:val="0"/>
              <w:bCs w:val="0"/>
              <w:caps w:val="0"/>
              <w:color w:val="auto"/>
              <w:sz w:val="22"/>
              <w:szCs w:val="22"/>
              <w:lang w:eastAsia="sk-SK"/>
            </w:rPr>
          </w:pPr>
          <w:hyperlink w:anchor="_Toc153784698" w:history="1">
            <w:r w:rsidR="00592C4B" w:rsidRPr="00CF0394">
              <w:rPr>
                <w:rStyle w:val="Hypertextovprepojenie"/>
              </w:rPr>
              <w:t>4</w:t>
            </w:r>
            <w:r w:rsidR="00592C4B">
              <w:rPr>
                <w:rFonts w:eastAsiaTheme="minorEastAsia" w:cstheme="minorBidi"/>
                <w:b w:val="0"/>
                <w:bCs w:val="0"/>
                <w:caps w:val="0"/>
                <w:color w:val="auto"/>
                <w:sz w:val="22"/>
                <w:szCs w:val="22"/>
                <w:lang w:eastAsia="sk-SK"/>
              </w:rPr>
              <w:tab/>
            </w:r>
            <w:r w:rsidR="00592C4B" w:rsidRPr="00CF0394">
              <w:rPr>
                <w:rStyle w:val="Hypertextovprepojenie"/>
              </w:rPr>
              <w:t>Súhrnné riziká návrhu ŠR na rok 2024</w:t>
            </w:r>
            <w:r w:rsidR="00592C4B">
              <w:rPr>
                <w:webHidden/>
              </w:rPr>
              <w:tab/>
            </w:r>
            <w:r w:rsidR="00592C4B">
              <w:rPr>
                <w:webHidden/>
              </w:rPr>
              <w:fldChar w:fldCharType="begin"/>
            </w:r>
            <w:r w:rsidR="00592C4B">
              <w:rPr>
                <w:webHidden/>
              </w:rPr>
              <w:instrText xml:space="preserve"> PAGEREF _Toc153784698 \h </w:instrText>
            </w:r>
            <w:r w:rsidR="00592C4B">
              <w:rPr>
                <w:webHidden/>
              </w:rPr>
            </w:r>
            <w:r w:rsidR="00592C4B">
              <w:rPr>
                <w:webHidden/>
              </w:rPr>
              <w:fldChar w:fldCharType="separate"/>
            </w:r>
            <w:r w:rsidR="00592C4B">
              <w:rPr>
                <w:webHidden/>
              </w:rPr>
              <w:t>16</w:t>
            </w:r>
            <w:r w:rsidR="00592C4B">
              <w:rPr>
                <w:webHidden/>
              </w:rPr>
              <w:fldChar w:fldCharType="end"/>
            </w:r>
          </w:hyperlink>
        </w:p>
        <w:p w14:paraId="0849984C" w14:textId="61A5A34D" w:rsidR="00592C4B" w:rsidRDefault="008920FD">
          <w:pPr>
            <w:pStyle w:val="Obsah2"/>
            <w:tabs>
              <w:tab w:val="left" w:pos="800"/>
              <w:tab w:val="right" w:leader="dot" w:pos="9060"/>
            </w:tabs>
            <w:rPr>
              <w:rFonts w:eastAsiaTheme="minorEastAsia" w:cstheme="minorBidi"/>
              <w:smallCaps w:val="0"/>
              <w:noProof/>
              <w:sz w:val="22"/>
              <w:szCs w:val="22"/>
              <w:lang w:eastAsia="sk-SK"/>
            </w:rPr>
          </w:pPr>
          <w:hyperlink w:anchor="_Toc153784699" w:history="1">
            <w:r w:rsidR="00592C4B" w:rsidRPr="00CF0394">
              <w:rPr>
                <w:rStyle w:val="Hypertextovprepojenie"/>
                <w:rFonts w:eastAsia="Calibri"/>
                <w:noProof/>
              </w:rPr>
              <w:t>4.1</w:t>
            </w:r>
            <w:r w:rsidR="00592C4B">
              <w:rPr>
                <w:rFonts w:eastAsiaTheme="minorEastAsia" w:cstheme="minorBidi"/>
                <w:smallCaps w:val="0"/>
                <w:noProof/>
                <w:sz w:val="22"/>
                <w:szCs w:val="22"/>
                <w:lang w:eastAsia="sk-SK"/>
              </w:rPr>
              <w:tab/>
            </w:r>
            <w:r w:rsidR="00592C4B" w:rsidRPr="00CF0394">
              <w:rPr>
                <w:rStyle w:val="Hypertextovprepojenie"/>
                <w:rFonts w:eastAsia="Calibri"/>
                <w:noProof/>
              </w:rPr>
              <w:t>Investície v roku 2024</w:t>
            </w:r>
            <w:r w:rsidR="00592C4B">
              <w:rPr>
                <w:noProof/>
                <w:webHidden/>
              </w:rPr>
              <w:tab/>
            </w:r>
            <w:r w:rsidR="00592C4B">
              <w:rPr>
                <w:noProof/>
                <w:webHidden/>
              </w:rPr>
              <w:fldChar w:fldCharType="begin"/>
            </w:r>
            <w:r w:rsidR="00592C4B">
              <w:rPr>
                <w:noProof/>
                <w:webHidden/>
              </w:rPr>
              <w:instrText xml:space="preserve"> PAGEREF _Toc153784699 \h </w:instrText>
            </w:r>
            <w:r w:rsidR="00592C4B">
              <w:rPr>
                <w:noProof/>
                <w:webHidden/>
              </w:rPr>
            </w:r>
            <w:r w:rsidR="00592C4B">
              <w:rPr>
                <w:noProof/>
                <w:webHidden/>
              </w:rPr>
              <w:fldChar w:fldCharType="separate"/>
            </w:r>
            <w:r w:rsidR="00592C4B">
              <w:rPr>
                <w:noProof/>
                <w:webHidden/>
              </w:rPr>
              <w:t>17</w:t>
            </w:r>
            <w:r w:rsidR="00592C4B">
              <w:rPr>
                <w:noProof/>
                <w:webHidden/>
              </w:rPr>
              <w:fldChar w:fldCharType="end"/>
            </w:r>
          </w:hyperlink>
        </w:p>
        <w:p w14:paraId="0A645130" w14:textId="704CFE89" w:rsidR="00592C4B" w:rsidRDefault="008920FD">
          <w:pPr>
            <w:pStyle w:val="Obsah2"/>
            <w:tabs>
              <w:tab w:val="left" w:pos="800"/>
              <w:tab w:val="right" w:leader="dot" w:pos="9060"/>
            </w:tabs>
            <w:rPr>
              <w:rFonts w:eastAsiaTheme="minorEastAsia" w:cstheme="minorBidi"/>
              <w:smallCaps w:val="0"/>
              <w:noProof/>
              <w:sz w:val="22"/>
              <w:szCs w:val="22"/>
              <w:lang w:eastAsia="sk-SK"/>
            </w:rPr>
          </w:pPr>
          <w:hyperlink w:anchor="_Toc153784700" w:history="1">
            <w:r w:rsidR="00592C4B" w:rsidRPr="00CF0394">
              <w:rPr>
                <w:rStyle w:val="Hypertextovprepojenie"/>
                <w:noProof/>
              </w:rPr>
              <w:t>4.2</w:t>
            </w:r>
            <w:r w:rsidR="00592C4B">
              <w:rPr>
                <w:rFonts w:eastAsiaTheme="minorEastAsia" w:cstheme="minorBidi"/>
                <w:smallCaps w:val="0"/>
                <w:noProof/>
                <w:sz w:val="22"/>
                <w:szCs w:val="22"/>
                <w:lang w:eastAsia="sk-SK"/>
              </w:rPr>
              <w:tab/>
            </w:r>
            <w:r w:rsidR="00592C4B" w:rsidRPr="00CF0394">
              <w:rPr>
                <w:rStyle w:val="Hypertextovprepojenie"/>
                <w:noProof/>
              </w:rPr>
              <w:t>Zamestnanosť vo VS a vznik štátnych organizácií</w:t>
            </w:r>
            <w:r w:rsidR="00592C4B">
              <w:rPr>
                <w:noProof/>
                <w:webHidden/>
              </w:rPr>
              <w:tab/>
            </w:r>
            <w:r w:rsidR="00592C4B">
              <w:rPr>
                <w:noProof/>
                <w:webHidden/>
              </w:rPr>
              <w:fldChar w:fldCharType="begin"/>
            </w:r>
            <w:r w:rsidR="00592C4B">
              <w:rPr>
                <w:noProof/>
                <w:webHidden/>
              </w:rPr>
              <w:instrText xml:space="preserve"> PAGEREF _Toc153784700 \h </w:instrText>
            </w:r>
            <w:r w:rsidR="00592C4B">
              <w:rPr>
                <w:noProof/>
                <w:webHidden/>
              </w:rPr>
            </w:r>
            <w:r w:rsidR="00592C4B">
              <w:rPr>
                <w:noProof/>
                <w:webHidden/>
              </w:rPr>
              <w:fldChar w:fldCharType="separate"/>
            </w:r>
            <w:r w:rsidR="00592C4B">
              <w:rPr>
                <w:noProof/>
                <w:webHidden/>
              </w:rPr>
              <w:t>18</w:t>
            </w:r>
            <w:r w:rsidR="00592C4B">
              <w:rPr>
                <w:noProof/>
                <w:webHidden/>
              </w:rPr>
              <w:fldChar w:fldCharType="end"/>
            </w:r>
          </w:hyperlink>
        </w:p>
        <w:p w14:paraId="458B4D0B" w14:textId="2893676C" w:rsidR="00592C4B" w:rsidRDefault="008920FD">
          <w:pPr>
            <w:pStyle w:val="Obsah1"/>
            <w:rPr>
              <w:rFonts w:eastAsiaTheme="minorEastAsia" w:cstheme="minorBidi"/>
              <w:b w:val="0"/>
              <w:bCs w:val="0"/>
              <w:caps w:val="0"/>
              <w:color w:val="auto"/>
              <w:sz w:val="22"/>
              <w:szCs w:val="22"/>
              <w:lang w:eastAsia="sk-SK"/>
            </w:rPr>
          </w:pPr>
          <w:hyperlink w:anchor="_Toc153784701" w:history="1">
            <w:r w:rsidR="00592C4B" w:rsidRPr="00CF0394">
              <w:rPr>
                <w:rStyle w:val="Hypertextovprepojenie"/>
              </w:rPr>
              <w:t>5</w:t>
            </w:r>
            <w:r w:rsidR="00592C4B">
              <w:rPr>
                <w:rFonts w:eastAsiaTheme="minorEastAsia" w:cstheme="minorBidi"/>
                <w:b w:val="0"/>
                <w:bCs w:val="0"/>
                <w:caps w:val="0"/>
                <w:color w:val="auto"/>
                <w:sz w:val="22"/>
                <w:szCs w:val="22"/>
                <w:lang w:eastAsia="sk-SK"/>
              </w:rPr>
              <w:tab/>
            </w:r>
            <w:r w:rsidR="00592C4B" w:rsidRPr="00CF0394">
              <w:rPr>
                <w:rStyle w:val="Hypertextovprepojenie"/>
              </w:rPr>
              <w:t>Riziká rozpočtovania pri dosahovaní najvýznamnejších cieľov</w:t>
            </w:r>
            <w:r w:rsidR="00592C4B">
              <w:rPr>
                <w:webHidden/>
              </w:rPr>
              <w:tab/>
            </w:r>
            <w:r w:rsidR="00592C4B">
              <w:rPr>
                <w:webHidden/>
              </w:rPr>
              <w:fldChar w:fldCharType="begin"/>
            </w:r>
            <w:r w:rsidR="00592C4B">
              <w:rPr>
                <w:webHidden/>
              </w:rPr>
              <w:instrText xml:space="preserve"> PAGEREF _Toc153784701 \h </w:instrText>
            </w:r>
            <w:r w:rsidR="00592C4B">
              <w:rPr>
                <w:webHidden/>
              </w:rPr>
            </w:r>
            <w:r w:rsidR="00592C4B">
              <w:rPr>
                <w:webHidden/>
              </w:rPr>
              <w:fldChar w:fldCharType="separate"/>
            </w:r>
            <w:r w:rsidR="00592C4B">
              <w:rPr>
                <w:webHidden/>
              </w:rPr>
              <w:t>21</w:t>
            </w:r>
            <w:r w:rsidR="00592C4B">
              <w:rPr>
                <w:webHidden/>
              </w:rPr>
              <w:fldChar w:fldCharType="end"/>
            </w:r>
          </w:hyperlink>
        </w:p>
        <w:p w14:paraId="0C177817" w14:textId="1BD3F788" w:rsidR="00592C4B" w:rsidRDefault="008920FD">
          <w:pPr>
            <w:pStyle w:val="Obsah2"/>
            <w:tabs>
              <w:tab w:val="left" w:pos="800"/>
              <w:tab w:val="right" w:leader="dot" w:pos="9060"/>
            </w:tabs>
            <w:rPr>
              <w:rFonts w:eastAsiaTheme="minorEastAsia" w:cstheme="minorBidi"/>
              <w:smallCaps w:val="0"/>
              <w:noProof/>
              <w:sz w:val="22"/>
              <w:szCs w:val="22"/>
              <w:lang w:eastAsia="sk-SK"/>
            </w:rPr>
          </w:pPr>
          <w:hyperlink w:anchor="_Toc153784702" w:history="1">
            <w:r w:rsidR="00592C4B" w:rsidRPr="00CF0394">
              <w:rPr>
                <w:rStyle w:val="Hypertextovprepojenie"/>
                <w:noProof/>
              </w:rPr>
              <w:t>5.1</w:t>
            </w:r>
            <w:r w:rsidR="00592C4B">
              <w:rPr>
                <w:rFonts w:eastAsiaTheme="minorEastAsia" w:cstheme="minorBidi"/>
                <w:smallCaps w:val="0"/>
                <w:noProof/>
                <w:sz w:val="22"/>
                <w:szCs w:val="22"/>
                <w:lang w:eastAsia="sk-SK"/>
              </w:rPr>
              <w:tab/>
            </w:r>
            <w:r w:rsidR="00592C4B" w:rsidRPr="00CF0394">
              <w:rPr>
                <w:rStyle w:val="Hypertextovprepojenie"/>
                <w:noProof/>
              </w:rPr>
              <w:t>Zdravotníctvo</w:t>
            </w:r>
            <w:r w:rsidR="00592C4B">
              <w:rPr>
                <w:noProof/>
                <w:webHidden/>
              </w:rPr>
              <w:tab/>
            </w:r>
            <w:r w:rsidR="00592C4B">
              <w:rPr>
                <w:noProof/>
                <w:webHidden/>
              </w:rPr>
              <w:fldChar w:fldCharType="begin"/>
            </w:r>
            <w:r w:rsidR="00592C4B">
              <w:rPr>
                <w:noProof/>
                <w:webHidden/>
              </w:rPr>
              <w:instrText xml:space="preserve"> PAGEREF _Toc153784702 \h </w:instrText>
            </w:r>
            <w:r w:rsidR="00592C4B">
              <w:rPr>
                <w:noProof/>
                <w:webHidden/>
              </w:rPr>
            </w:r>
            <w:r w:rsidR="00592C4B">
              <w:rPr>
                <w:noProof/>
                <w:webHidden/>
              </w:rPr>
              <w:fldChar w:fldCharType="separate"/>
            </w:r>
            <w:r w:rsidR="00592C4B">
              <w:rPr>
                <w:noProof/>
                <w:webHidden/>
              </w:rPr>
              <w:t>21</w:t>
            </w:r>
            <w:r w:rsidR="00592C4B">
              <w:rPr>
                <w:noProof/>
                <w:webHidden/>
              </w:rPr>
              <w:fldChar w:fldCharType="end"/>
            </w:r>
          </w:hyperlink>
        </w:p>
        <w:p w14:paraId="7B66BCB4" w14:textId="64C70311" w:rsidR="00592C4B" w:rsidRDefault="008920FD">
          <w:pPr>
            <w:pStyle w:val="Obsah3"/>
            <w:tabs>
              <w:tab w:val="left" w:pos="1200"/>
              <w:tab w:val="right" w:leader="dot" w:pos="9060"/>
            </w:tabs>
            <w:rPr>
              <w:rFonts w:eastAsiaTheme="minorEastAsia" w:cstheme="minorBidi"/>
              <w:i w:val="0"/>
              <w:iCs w:val="0"/>
              <w:noProof/>
              <w:sz w:val="22"/>
              <w:szCs w:val="22"/>
              <w:lang w:eastAsia="sk-SK"/>
            </w:rPr>
          </w:pPr>
          <w:hyperlink w:anchor="_Toc153784703" w:history="1">
            <w:r w:rsidR="00592C4B" w:rsidRPr="00CF0394">
              <w:rPr>
                <w:rStyle w:val="Hypertextovprepojenie"/>
                <w:noProof/>
              </w:rPr>
              <w:t>5.1.1</w:t>
            </w:r>
            <w:r w:rsidR="00592C4B">
              <w:rPr>
                <w:rFonts w:eastAsiaTheme="minorEastAsia" w:cstheme="minorBidi"/>
                <w:i w:val="0"/>
                <w:iCs w:val="0"/>
                <w:noProof/>
                <w:sz w:val="22"/>
                <w:szCs w:val="22"/>
                <w:lang w:eastAsia="sk-SK"/>
              </w:rPr>
              <w:tab/>
            </w:r>
            <w:r w:rsidR="00592C4B" w:rsidRPr="00CF0394">
              <w:rPr>
                <w:rStyle w:val="Hypertextovprepojenie"/>
                <w:noProof/>
              </w:rPr>
              <w:t>Nadväznosť rozpočtu a výsledkov slovenského zdravotníctva</w:t>
            </w:r>
            <w:r w:rsidR="00592C4B">
              <w:rPr>
                <w:noProof/>
                <w:webHidden/>
              </w:rPr>
              <w:tab/>
            </w:r>
            <w:r w:rsidR="00592C4B">
              <w:rPr>
                <w:noProof/>
                <w:webHidden/>
              </w:rPr>
              <w:fldChar w:fldCharType="begin"/>
            </w:r>
            <w:r w:rsidR="00592C4B">
              <w:rPr>
                <w:noProof/>
                <w:webHidden/>
              </w:rPr>
              <w:instrText xml:space="preserve"> PAGEREF _Toc153784703 \h </w:instrText>
            </w:r>
            <w:r w:rsidR="00592C4B">
              <w:rPr>
                <w:noProof/>
                <w:webHidden/>
              </w:rPr>
            </w:r>
            <w:r w:rsidR="00592C4B">
              <w:rPr>
                <w:noProof/>
                <w:webHidden/>
              </w:rPr>
              <w:fldChar w:fldCharType="separate"/>
            </w:r>
            <w:r w:rsidR="00592C4B">
              <w:rPr>
                <w:noProof/>
                <w:webHidden/>
              </w:rPr>
              <w:t>22</w:t>
            </w:r>
            <w:r w:rsidR="00592C4B">
              <w:rPr>
                <w:noProof/>
                <w:webHidden/>
              </w:rPr>
              <w:fldChar w:fldCharType="end"/>
            </w:r>
          </w:hyperlink>
        </w:p>
        <w:p w14:paraId="2F6247FE" w14:textId="79E15B5D" w:rsidR="00592C4B" w:rsidRDefault="008920FD">
          <w:pPr>
            <w:pStyle w:val="Obsah3"/>
            <w:tabs>
              <w:tab w:val="left" w:pos="1200"/>
              <w:tab w:val="right" w:leader="dot" w:pos="9060"/>
            </w:tabs>
            <w:rPr>
              <w:rFonts w:eastAsiaTheme="minorEastAsia" w:cstheme="minorBidi"/>
              <w:i w:val="0"/>
              <w:iCs w:val="0"/>
              <w:noProof/>
              <w:sz w:val="22"/>
              <w:szCs w:val="22"/>
              <w:lang w:eastAsia="sk-SK"/>
            </w:rPr>
          </w:pPr>
          <w:hyperlink w:anchor="_Toc153784704" w:history="1">
            <w:r w:rsidR="00592C4B" w:rsidRPr="00CF0394">
              <w:rPr>
                <w:rStyle w:val="Hypertextovprepojenie"/>
                <w:noProof/>
              </w:rPr>
              <w:t>5.1.2</w:t>
            </w:r>
            <w:r w:rsidR="00592C4B">
              <w:rPr>
                <w:rFonts w:eastAsiaTheme="minorEastAsia" w:cstheme="minorBidi"/>
                <w:i w:val="0"/>
                <w:iCs w:val="0"/>
                <w:noProof/>
                <w:sz w:val="22"/>
                <w:szCs w:val="22"/>
                <w:lang w:eastAsia="sk-SK"/>
              </w:rPr>
              <w:tab/>
            </w:r>
            <w:r w:rsidR="00592C4B" w:rsidRPr="00CF0394">
              <w:rPr>
                <w:rStyle w:val="Hypertextovprepojenie"/>
                <w:noProof/>
              </w:rPr>
              <w:t>Zmeny vo financovaní zdravotníctva</w:t>
            </w:r>
            <w:r w:rsidR="00592C4B">
              <w:rPr>
                <w:noProof/>
                <w:webHidden/>
              </w:rPr>
              <w:tab/>
            </w:r>
            <w:r w:rsidR="00592C4B">
              <w:rPr>
                <w:noProof/>
                <w:webHidden/>
              </w:rPr>
              <w:fldChar w:fldCharType="begin"/>
            </w:r>
            <w:r w:rsidR="00592C4B">
              <w:rPr>
                <w:noProof/>
                <w:webHidden/>
              </w:rPr>
              <w:instrText xml:space="preserve"> PAGEREF _Toc153784704 \h </w:instrText>
            </w:r>
            <w:r w:rsidR="00592C4B">
              <w:rPr>
                <w:noProof/>
                <w:webHidden/>
              </w:rPr>
            </w:r>
            <w:r w:rsidR="00592C4B">
              <w:rPr>
                <w:noProof/>
                <w:webHidden/>
              </w:rPr>
              <w:fldChar w:fldCharType="separate"/>
            </w:r>
            <w:r w:rsidR="00592C4B">
              <w:rPr>
                <w:noProof/>
                <w:webHidden/>
              </w:rPr>
              <w:t>22</w:t>
            </w:r>
            <w:r w:rsidR="00592C4B">
              <w:rPr>
                <w:noProof/>
                <w:webHidden/>
              </w:rPr>
              <w:fldChar w:fldCharType="end"/>
            </w:r>
          </w:hyperlink>
        </w:p>
        <w:p w14:paraId="6870A5D3" w14:textId="18DD7BCF" w:rsidR="00592C4B" w:rsidRDefault="008920FD">
          <w:pPr>
            <w:pStyle w:val="Obsah3"/>
            <w:tabs>
              <w:tab w:val="left" w:pos="1200"/>
              <w:tab w:val="right" w:leader="dot" w:pos="9060"/>
            </w:tabs>
            <w:rPr>
              <w:rFonts w:eastAsiaTheme="minorEastAsia" w:cstheme="minorBidi"/>
              <w:i w:val="0"/>
              <w:iCs w:val="0"/>
              <w:noProof/>
              <w:sz w:val="22"/>
              <w:szCs w:val="22"/>
              <w:lang w:eastAsia="sk-SK"/>
            </w:rPr>
          </w:pPr>
          <w:hyperlink w:anchor="_Toc153784705" w:history="1">
            <w:r w:rsidR="00592C4B" w:rsidRPr="00CF0394">
              <w:rPr>
                <w:rStyle w:val="Hypertextovprepojenie"/>
                <w:noProof/>
              </w:rPr>
              <w:t>5.1.3</w:t>
            </w:r>
            <w:r w:rsidR="00592C4B">
              <w:rPr>
                <w:rFonts w:eastAsiaTheme="minorEastAsia" w:cstheme="minorBidi"/>
                <w:i w:val="0"/>
                <w:iCs w:val="0"/>
                <w:noProof/>
                <w:sz w:val="22"/>
                <w:szCs w:val="22"/>
                <w:lang w:eastAsia="sk-SK"/>
              </w:rPr>
              <w:tab/>
            </w:r>
            <w:r w:rsidR="00592C4B" w:rsidRPr="00CF0394">
              <w:rPr>
                <w:rStyle w:val="Hypertextovprepojenie"/>
                <w:noProof/>
              </w:rPr>
              <w:t>Úsporné opatrenia a vybrané riziká v rozpočte VZP</w:t>
            </w:r>
            <w:r w:rsidR="00592C4B">
              <w:rPr>
                <w:noProof/>
                <w:webHidden/>
              </w:rPr>
              <w:tab/>
            </w:r>
            <w:r w:rsidR="00592C4B">
              <w:rPr>
                <w:noProof/>
                <w:webHidden/>
              </w:rPr>
              <w:fldChar w:fldCharType="begin"/>
            </w:r>
            <w:r w:rsidR="00592C4B">
              <w:rPr>
                <w:noProof/>
                <w:webHidden/>
              </w:rPr>
              <w:instrText xml:space="preserve"> PAGEREF _Toc153784705 \h </w:instrText>
            </w:r>
            <w:r w:rsidR="00592C4B">
              <w:rPr>
                <w:noProof/>
                <w:webHidden/>
              </w:rPr>
            </w:r>
            <w:r w:rsidR="00592C4B">
              <w:rPr>
                <w:noProof/>
                <w:webHidden/>
              </w:rPr>
              <w:fldChar w:fldCharType="separate"/>
            </w:r>
            <w:r w:rsidR="00592C4B">
              <w:rPr>
                <w:noProof/>
                <w:webHidden/>
              </w:rPr>
              <w:t>24</w:t>
            </w:r>
            <w:r w:rsidR="00592C4B">
              <w:rPr>
                <w:noProof/>
                <w:webHidden/>
              </w:rPr>
              <w:fldChar w:fldCharType="end"/>
            </w:r>
          </w:hyperlink>
        </w:p>
        <w:p w14:paraId="44968597" w14:textId="6D478634" w:rsidR="00592C4B" w:rsidRDefault="008920FD">
          <w:pPr>
            <w:pStyle w:val="Obsah2"/>
            <w:tabs>
              <w:tab w:val="left" w:pos="800"/>
              <w:tab w:val="right" w:leader="dot" w:pos="9060"/>
            </w:tabs>
            <w:rPr>
              <w:rFonts w:eastAsiaTheme="minorEastAsia" w:cstheme="minorBidi"/>
              <w:smallCaps w:val="0"/>
              <w:noProof/>
              <w:sz w:val="22"/>
              <w:szCs w:val="22"/>
              <w:lang w:eastAsia="sk-SK"/>
            </w:rPr>
          </w:pPr>
          <w:hyperlink w:anchor="_Toc153784706" w:history="1">
            <w:r w:rsidR="00592C4B" w:rsidRPr="00CF0394">
              <w:rPr>
                <w:rStyle w:val="Hypertextovprepojenie"/>
                <w:noProof/>
              </w:rPr>
              <w:t>5.2</w:t>
            </w:r>
            <w:r w:rsidR="00592C4B">
              <w:rPr>
                <w:rFonts w:eastAsiaTheme="minorEastAsia" w:cstheme="minorBidi"/>
                <w:smallCaps w:val="0"/>
                <w:noProof/>
                <w:sz w:val="22"/>
                <w:szCs w:val="22"/>
                <w:lang w:eastAsia="sk-SK"/>
              </w:rPr>
              <w:tab/>
            </w:r>
            <w:r w:rsidR="00592C4B" w:rsidRPr="00CF0394">
              <w:rPr>
                <w:rStyle w:val="Hypertextovprepojenie"/>
                <w:noProof/>
              </w:rPr>
              <w:t>Udržateľný sociálny systém</w:t>
            </w:r>
            <w:r w:rsidR="00592C4B">
              <w:rPr>
                <w:noProof/>
                <w:webHidden/>
              </w:rPr>
              <w:tab/>
            </w:r>
            <w:r w:rsidR="00592C4B">
              <w:rPr>
                <w:noProof/>
                <w:webHidden/>
              </w:rPr>
              <w:fldChar w:fldCharType="begin"/>
            </w:r>
            <w:r w:rsidR="00592C4B">
              <w:rPr>
                <w:noProof/>
                <w:webHidden/>
              </w:rPr>
              <w:instrText xml:space="preserve"> PAGEREF _Toc153784706 \h </w:instrText>
            </w:r>
            <w:r w:rsidR="00592C4B">
              <w:rPr>
                <w:noProof/>
                <w:webHidden/>
              </w:rPr>
            </w:r>
            <w:r w:rsidR="00592C4B">
              <w:rPr>
                <w:noProof/>
                <w:webHidden/>
              </w:rPr>
              <w:fldChar w:fldCharType="separate"/>
            </w:r>
            <w:r w:rsidR="00592C4B">
              <w:rPr>
                <w:noProof/>
                <w:webHidden/>
              </w:rPr>
              <w:t>25</w:t>
            </w:r>
            <w:r w:rsidR="00592C4B">
              <w:rPr>
                <w:noProof/>
                <w:webHidden/>
              </w:rPr>
              <w:fldChar w:fldCharType="end"/>
            </w:r>
          </w:hyperlink>
        </w:p>
        <w:p w14:paraId="5D8FC7F2" w14:textId="6C301242" w:rsidR="00592C4B" w:rsidRDefault="008920FD">
          <w:pPr>
            <w:pStyle w:val="Obsah3"/>
            <w:tabs>
              <w:tab w:val="left" w:pos="1200"/>
              <w:tab w:val="right" w:leader="dot" w:pos="9060"/>
            </w:tabs>
            <w:rPr>
              <w:rFonts w:eastAsiaTheme="minorEastAsia" w:cstheme="minorBidi"/>
              <w:i w:val="0"/>
              <w:iCs w:val="0"/>
              <w:noProof/>
              <w:sz w:val="22"/>
              <w:szCs w:val="22"/>
              <w:lang w:eastAsia="sk-SK"/>
            </w:rPr>
          </w:pPr>
          <w:hyperlink w:anchor="_Toc153784707" w:history="1">
            <w:r w:rsidR="00592C4B" w:rsidRPr="00CF0394">
              <w:rPr>
                <w:rStyle w:val="Hypertextovprepojenie"/>
                <w:noProof/>
              </w:rPr>
              <w:t>5.2.1</w:t>
            </w:r>
            <w:r w:rsidR="00592C4B">
              <w:rPr>
                <w:rFonts w:eastAsiaTheme="minorEastAsia" w:cstheme="minorBidi"/>
                <w:i w:val="0"/>
                <w:iCs w:val="0"/>
                <w:noProof/>
                <w:sz w:val="22"/>
                <w:szCs w:val="22"/>
                <w:lang w:eastAsia="sk-SK"/>
              </w:rPr>
              <w:tab/>
            </w:r>
            <w:r w:rsidR="00592C4B" w:rsidRPr="00CF0394">
              <w:rPr>
                <w:rStyle w:val="Hypertextovprepojenie"/>
                <w:noProof/>
              </w:rPr>
              <w:t>Dôchodkový systém</w:t>
            </w:r>
            <w:r w:rsidR="00592C4B">
              <w:rPr>
                <w:noProof/>
                <w:webHidden/>
              </w:rPr>
              <w:tab/>
            </w:r>
            <w:r w:rsidR="00592C4B">
              <w:rPr>
                <w:noProof/>
                <w:webHidden/>
              </w:rPr>
              <w:fldChar w:fldCharType="begin"/>
            </w:r>
            <w:r w:rsidR="00592C4B">
              <w:rPr>
                <w:noProof/>
                <w:webHidden/>
              </w:rPr>
              <w:instrText xml:space="preserve"> PAGEREF _Toc153784707 \h </w:instrText>
            </w:r>
            <w:r w:rsidR="00592C4B">
              <w:rPr>
                <w:noProof/>
                <w:webHidden/>
              </w:rPr>
            </w:r>
            <w:r w:rsidR="00592C4B">
              <w:rPr>
                <w:noProof/>
                <w:webHidden/>
              </w:rPr>
              <w:fldChar w:fldCharType="separate"/>
            </w:r>
            <w:r w:rsidR="00592C4B">
              <w:rPr>
                <w:noProof/>
                <w:webHidden/>
              </w:rPr>
              <w:t>25</w:t>
            </w:r>
            <w:r w:rsidR="00592C4B">
              <w:rPr>
                <w:noProof/>
                <w:webHidden/>
              </w:rPr>
              <w:fldChar w:fldCharType="end"/>
            </w:r>
          </w:hyperlink>
        </w:p>
        <w:p w14:paraId="6FF683CD" w14:textId="13641B73" w:rsidR="00592C4B" w:rsidRDefault="008920FD">
          <w:pPr>
            <w:pStyle w:val="Obsah3"/>
            <w:tabs>
              <w:tab w:val="left" w:pos="1200"/>
              <w:tab w:val="right" w:leader="dot" w:pos="9060"/>
            </w:tabs>
            <w:rPr>
              <w:rFonts w:eastAsiaTheme="minorEastAsia" w:cstheme="minorBidi"/>
              <w:i w:val="0"/>
              <w:iCs w:val="0"/>
              <w:noProof/>
              <w:sz w:val="22"/>
              <w:szCs w:val="22"/>
              <w:lang w:eastAsia="sk-SK"/>
            </w:rPr>
          </w:pPr>
          <w:hyperlink w:anchor="_Toc153784708" w:history="1">
            <w:r w:rsidR="00592C4B" w:rsidRPr="00CF0394">
              <w:rPr>
                <w:rStyle w:val="Hypertextovprepojenie"/>
                <w:noProof/>
              </w:rPr>
              <w:t>5.2.2</w:t>
            </w:r>
            <w:r w:rsidR="00592C4B">
              <w:rPr>
                <w:rFonts w:eastAsiaTheme="minorEastAsia" w:cstheme="minorBidi"/>
                <w:i w:val="0"/>
                <w:iCs w:val="0"/>
                <w:noProof/>
                <w:sz w:val="22"/>
                <w:szCs w:val="22"/>
                <w:lang w:eastAsia="sk-SK"/>
              </w:rPr>
              <w:tab/>
            </w:r>
            <w:r w:rsidR="00592C4B" w:rsidRPr="00CF0394">
              <w:rPr>
                <w:rStyle w:val="Hypertextovprepojenie"/>
                <w:noProof/>
              </w:rPr>
              <w:t>Sociálne dávky a opatrenia</w:t>
            </w:r>
            <w:r w:rsidR="00592C4B">
              <w:rPr>
                <w:noProof/>
                <w:webHidden/>
              </w:rPr>
              <w:tab/>
            </w:r>
            <w:r w:rsidR="00592C4B">
              <w:rPr>
                <w:noProof/>
                <w:webHidden/>
              </w:rPr>
              <w:fldChar w:fldCharType="begin"/>
            </w:r>
            <w:r w:rsidR="00592C4B">
              <w:rPr>
                <w:noProof/>
                <w:webHidden/>
              </w:rPr>
              <w:instrText xml:space="preserve"> PAGEREF _Toc153784708 \h </w:instrText>
            </w:r>
            <w:r w:rsidR="00592C4B">
              <w:rPr>
                <w:noProof/>
                <w:webHidden/>
              </w:rPr>
            </w:r>
            <w:r w:rsidR="00592C4B">
              <w:rPr>
                <w:noProof/>
                <w:webHidden/>
              </w:rPr>
              <w:fldChar w:fldCharType="separate"/>
            </w:r>
            <w:r w:rsidR="00592C4B">
              <w:rPr>
                <w:noProof/>
                <w:webHidden/>
              </w:rPr>
              <w:t>26</w:t>
            </w:r>
            <w:r w:rsidR="00592C4B">
              <w:rPr>
                <w:noProof/>
                <w:webHidden/>
              </w:rPr>
              <w:fldChar w:fldCharType="end"/>
            </w:r>
          </w:hyperlink>
        </w:p>
        <w:p w14:paraId="5F2B3719" w14:textId="5BE02D5C" w:rsidR="00592C4B" w:rsidRDefault="008920FD">
          <w:pPr>
            <w:pStyle w:val="Obsah2"/>
            <w:tabs>
              <w:tab w:val="left" w:pos="800"/>
              <w:tab w:val="right" w:leader="dot" w:pos="9060"/>
            </w:tabs>
            <w:rPr>
              <w:rFonts w:eastAsiaTheme="minorEastAsia" w:cstheme="minorBidi"/>
              <w:smallCaps w:val="0"/>
              <w:noProof/>
              <w:sz w:val="22"/>
              <w:szCs w:val="22"/>
              <w:lang w:eastAsia="sk-SK"/>
            </w:rPr>
          </w:pPr>
          <w:hyperlink w:anchor="_Toc153784709" w:history="1">
            <w:r w:rsidR="00592C4B" w:rsidRPr="00CF0394">
              <w:rPr>
                <w:rStyle w:val="Hypertextovprepojenie"/>
                <w:noProof/>
              </w:rPr>
              <w:t>5.3</w:t>
            </w:r>
            <w:r w:rsidR="00592C4B">
              <w:rPr>
                <w:rFonts w:eastAsiaTheme="minorEastAsia" w:cstheme="minorBidi"/>
                <w:smallCaps w:val="0"/>
                <w:noProof/>
                <w:sz w:val="22"/>
                <w:szCs w:val="22"/>
                <w:lang w:eastAsia="sk-SK"/>
              </w:rPr>
              <w:tab/>
            </w:r>
            <w:r w:rsidR="00592C4B" w:rsidRPr="00CF0394">
              <w:rPr>
                <w:rStyle w:val="Hypertextovprepojenie"/>
                <w:noProof/>
              </w:rPr>
              <w:t>Vzdelávanie</w:t>
            </w:r>
            <w:r w:rsidR="00592C4B">
              <w:rPr>
                <w:noProof/>
                <w:webHidden/>
              </w:rPr>
              <w:tab/>
            </w:r>
            <w:r w:rsidR="00592C4B">
              <w:rPr>
                <w:noProof/>
                <w:webHidden/>
              </w:rPr>
              <w:fldChar w:fldCharType="begin"/>
            </w:r>
            <w:r w:rsidR="00592C4B">
              <w:rPr>
                <w:noProof/>
                <w:webHidden/>
              </w:rPr>
              <w:instrText xml:space="preserve"> PAGEREF _Toc153784709 \h </w:instrText>
            </w:r>
            <w:r w:rsidR="00592C4B">
              <w:rPr>
                <w:noProof/>
                <w:webHidden/>
              </w:rPr>
            </w:r>
            <w:r w:rsidR="00592C4B">
              <w:rPr>
                <w:noProof/>
                <w:webHidden/>
              </w:rPr>
              <w:fldChar w:fldCharType="separate"/>
            </w:r>
            <w:r w:rsidR="00592C4B">
              <w:rPr>
                <w:noProof/>
                <w:webHidden/>
              </w:rPr>
              <w:t>28</w:t>
            </w:r>
            <w:r w:rsidR="00592C4B">
              <w:rPr>
                <w:noProof/>
                <w:webHidden/>
              </w:rPr>
              <w:fldChar w:fldCharType="end"/>
            </w:r>
          </w:hyperlink>
        </w:p>
        <w:p w14:paraId="17ED9C04" w14:textId="209074F3" w:rsidR="00592C4B" w:rsidRDefault="008920FD">
          <w:pPr>
            <w:pStyle w:val="Obsah3"/>
            <w:tabs>
              <w:tab w:val="left" w:pos="1200"/>
              <w:tab w:val="right" w:leader="dot" w:pos="9060"/>
            </w:tabs>
            <w:rPr>
              <w:rFonts w:eastAsiaTheme="minorEastAsia" w:cstheme="minorBidi"/>
              <w:i w:val="0"/>
              <w:iCs w:val="0"/>
              <w:noProof/>
              <w:sz w:val="22"/>
              <w:szCs w:val="22"/>
              <w:lang w:eastAsia="sk-SK"/>
            </w:rPr>
          </w:pPr>
          <w:hyperlink w:anchor="_Toc153784710" w:history="1">
            <w:r w:rsidR="00592C4B" w:rsidRPr="00CF0394">
              <w:rPr>
                <w:rStyle w:val="Hypertextovprepojenie"/>
                <w:noProof/>
              </w:rPr>
              <w:t>5.3.1</w:t>
            </w:r>
            <w:r w:rsidR="00592C4B">
              <w:rPr>
                <w:rFonts w:eastAsiaTheme="minorEastAsia" w:cstheme="minorBidi"/>
                <w:i w:val="0"/>
                <w:iCs w:val="0"/>
                <w:noProof/>
                <w:sz w:val="22"/>
                <w:szCs w:val="22"/>
                <w:lang w:eastAsia="sk-SK"/>
              </w:rPr>
              <w:tab/>
            </w:r>
            <w:r w:rsidR="00592C4B" w:rsidRPr="00CF0394">
              <w:rPr>
                <w:rStyle w:val="Hypertextovprepojenie"/>
                <w:noProof/>
              </w:rPr>
              <w:t>Nedostatočné odmeňovanie učiteľov</w:t>
            </w:r>
            <w:r w:rsidR="00592C4B">
              <w:rPr>
                <w:noProof/>
                <w:webHidden/>
              </w:rPr>
              <w:tab/>
            </w:r>
            <w:r w:rsidR="00592C4B">
              <w:rPr>
                <w:noProof/>
                <w:webHidden/>
              </w:rPr>
              <w:fldChar w:fldCharType="begin"/>
            </w:r>
            <w:r w:rsidR="00592C4B">
              <w:rPr>
                <w:noProof/>
                <w:webHidden/>
              </w:rPr>
              <w:instrText xml:space="preserve"> PAGEREF _Toc153784710 \h </w:instrText>
            </w:r>
            <w:r w:rsidR="00592C4B">
              <w:rPr>
                <w:noProof/>
                <w:webHidden/>
              </w:rPr>
            </w:r>
            <w:r w:rsidR="00592C4B">
              <w:rPr>
                <w:noProof/>
                <w:webHidden/>
              </w:rPr>
              <w:fldChar w:fldCharType="separate"/>
            </w:r>
            <w:r w:rsidR="00592C4B">
              <w:rPr>
                <w:noProof/>
                <w:webHidden/>
              </w:rPr>
              <w:t>28</w:t>
            </w:r>
            <w:r w:rsidR="00592C4B">
              <w:rPr>
                <w:noProof/>
                <w:webHidden/>
              </w:rPr>
              <w:fldChar w:fldCharType="end"/>
            </w:r>
          </w:hyperlink>
        </w:p>
        <w:p w14:paraId="11870871" w14:textId="7AC902B9" w:rsidR="00592C4B" w:rsidRDefault="008920FD">
          <w:pPr>
            <w:pStyle w:val="Obsah3"/>
            <w:tabs>
              <w:tab w:val="left" w:pos="1200"/>
              <w:tab w:val="right" w:leader="dot" w:pos="9060"/>
            </w:tabs>
            <w:rPr>
              <w:rFonts w:eastAsiaTheme="minorEastAsia" w:cstheme="minorBidi"/>
              <w:i w:val="0"/>
              <w:iCs w:val="0"/>
              <w:noProof/>
              <w:sz w:val="22"/>
              <w:szCs w:val="22"/>
              <w:lang w:eastAsia="sk-SK"/>
            </w:rPr>
          </w:pPr>
          <w:hyperlink w:anchor="_Toc153784711" w:history="1">
            <w:r w:rsidR="00592C4B" w:rsidRPr="00CF0394">
              <w:rPr>
                <w:rStyle w:val="Hypertextovprepojenie"/>
                <w:noProof/>
              </w:rPr>
              <w:t>5.3.2</w:t>
            </w:r>
            <w:r w:rsidR="00592C4B">
              <w:rPr>
                <w:rFonts w:eastAsiaTheme="minorEastAsia" w:cstheme="minorBidi"/>
                <w:i w:val="0"/>
                <w:iCs w:val="0"/>
                <w:noProof/>
                <w:sz w:val="22"/>
                <w:szCs w:val="22"/>
                <w:lang w:eastAsia="sk-SK"/>
              </w:rPr>
              <w:tab/>
            </w:r>
            <w:r w:rsidR="00592C4B" w:rsidRPr="00CF0394">
              <w:rPr>
                <w:rStyle w:val="Hypertextovprepojenie"/>
                <w:noProof/>
              </w:rPr>
              <w:t>Nedostatočná kapacita materských škôl</w:t>
            </w:r>
            <w:r w:rsidR="00592C4B">
              <w:rPr>
                <w:noProof/>
                <w:webHidden/>
              </w:rPr>
              <w:tab/>
            </w:r>
            <w:r w:rsidR="00592C4B">
              <w:rPr>
                <w:noProof/>
                <w:webHidden/>
              </w:rPr>
              <w:fldChar w:fldCharType="begin"/>
            </w:r>
            <w:r w:rsidR="00592C4B">
              <w:rPr>
                <w:noProof/>
                <w:webHidden/>
              </w:rPr>
              <w:instrText xml:space="preserve"> PAGEREF _Toc153784711 \h </w:instrText>
            </w:r>
            <w:r w:rsidR="00592C4B">
              <w:rPr>
                <w:noProof/>
                <w:webHidden/>
              </w:rPr>
            </w:r>
            <w:r w:rsidR="00592C4B">
              <w:rPr>
                <w:noProof/>
                <w:webHidden/>
              </w:rPr>
              <w:fldChar w:fldCharType="separate"/>
            </w:r>
            <w:r w:rsidR="00592C4B">
              <w:rPr>
                <w:noProof/>
                <w:webHidden/>
              </w:rPr>
              <w:t>29</w:t>
            </w:r>
            <w:r w:rsidR="00592C4B">
              <w:rPr>
                <w:noProof/>
                <w:webHidden/>
              </w:rPr>
              <w:fldChar w:fldCharType="end"/>
            </w:r>
          </w:hyperlink>
        </w:p>
        <w:p w14:paraId="045B995E" w14:textId="6B902206" w:rsidR="00592C4B" w:rsidRDefault="008920FD">
          <w:pPr>
            <w:pStyle w:val="Obsah3"/>
            <w:tabs>
              <w:tab w:val="left" w:pos="1200"/>
              <w:tab w:val="right" w:leader="dot" w:pos="9060"/>
            </w:tabs>
            <w:rPr>
              <w:rFonts w:eastAsiaTheme="minorEastAsia" w:cstheme="minorBidi"/>
              <w:i w:val="0"/>
              <w:iCs w:val="0"/>
              <w:noProof/>
              <w:sz w:val="22"/>
              <w:szCs w:val="22"/>
              <w:lang w:eastAsia="sk-SK"/>
            </w:rPr>
          </w:pPr>
          <w:hyperlink w:anchor="_Toc153784712" w:history="1">
            <w:r w:rsidR="00592C4B" w:rsidRPr="00CF0394">
              <w:rPr>
                <w:rStyle w:val="Hypertextovprepojenie"/>
                <w:noProof/>
              </w:rPr>
              <w:t>5.3.3</w:t>
            </w:r>
            <w:r w:rsidR="00592C4B">
              <w:rPr>
                <w:rFonts w:eastAsiaTheme="minorEastAsia" w:cstheme="minorBidi"/>
                <w:i w:val="0"/>
                <w:iCs w:val="0"/>
                <w:noProof/>
                <w:sz w:val="22"/>
                <w:szCs w:val="22"/>
                <w:lang w:eastAsia="sk-SK"/>
              </w:rPr>
              <w:tab/>
            </w:r>
            <w:r w:rsidR="00592C4B" w:rsidRPr="00CF0394">
              <w:rPr>
                <w:rStyle w:val="Hypertextovprepojenie"/>
                <w:noProof/>
              </w:rPr>
              <w:t>Nedostatok inkluzívneho personálu v materských školách</w:t>
            </w:r>
            <w:r w:rsidR="00592C4B">
              <w:rPr>
                <w:noProof/>
                <w:webHidden/>
              </w:rPr>
              <w:tab/>
            </w:r>
            <w:r w:rsidR="00592C4B">
              <w:rPr>
                <w:noProof/>
                <w:webHidden/>
              </w:rPr>
              <w:fldChar w:fldCharType="begin"/>
            </w:r>
            <w:r w:rsidR="00592C4B">
              <w:rPr>
                <w:noProof/>
                <w:webHidden/>
              </w:rPr>
              <w:instrText xml:space="preserve"> PAGEREF _Toc153784712 \h </w:instrText>
            </w:r>
            <w:r w:rsidR="00592C4B">
              <w:rPr>
                <w:noProof/>
                <w:webHidden/>
              </w:rPr>
            </w:r>
            <w:r w:rsidR="00592C4B">
              <w:rPr>
                <w:noProof/>
                <w:webHidden/>
              </w:rPr>
              <w:fldChar w:fldCharType="separate"/>
            </w:r>
            <w:r w:rsidR="00592C4B">
              <w:rPr>
                <w:noProof/>
                <w:webHidden/>
              </w:rPr>
              <w:t>30</w:t>
            </w:r>
            <w:r w:rsidR="00592C4B">
              <w:rPr>
                <w:noProof/>
                <w:webHidden/>
              </w:rPr>
              <w:fldChar w:fldCharType="end"/>
            </w:r>
          </w:hyperlink>
        </w:p>
        <w:p w14:paraId="4917551C" w14:textId="05ADD894" w:rsidR="00592C4B" w:rsidRDefault="008920FD">
          <w:pPr>
            <w:pStyle w:val="Obsah3"/>
            <w:tabs>
              <w:tab w:val="left" w:pos="1200"/>
              <w:tab w:val="right" w:leader="dot" w:pos="9060"/>
            </w:tabs>
            <w:rPr>
              <w:rFonts w:eastAsiaTheme="minorEastAsia" w:cstheme="minorBidi"/>
              <w:i w:val="0"/>
              <w:iCs w:val="0"/>
              <w:noProof/>
              <w:sz w:val="22"/>
              <w:szCs w:val="22"/>
              <w:lang w:eastAsia="sk-SK"/>
            </w:rPr>
          </w:pPr>
          <w:hyperlink w:anchor="_Toc153784713" w:history="1">
            <w:r w:rsidR="00592C4B" w:rsidRPr="00CF0394">
              <w:rPr>
                <w:rStyle w:val="Hypertextovprepojenie"/>
                <w:noProof/>
              </w:rPr>
              <w:t>5.3.4</w:t>
            </w:r>
            <w:r w:rsidR="00592C4B">
              <w:rPr>
                <w:rFonts w:eastAsiaTheme="minorEastAsia" w:cstheme="minorBidi"/>
                <w:i w:val="0"/>
                <w:iCs w:val="0"/>
                <w:noProof/>
                <w:sz w:val="22"/>
                <w:szCs w:val="22"/>
                <w:lang w:eastAsia="sk-SK"/>
              </w:rPr>
              <w:tab/>
            </w:r>
            <w:r w:rsidR="00592C4B" w:rsidRPr="00CF0394">
              <w:rPr>
                <w:rStyle w:val="Hypertextovprepojenie"/>
                <w:noProof/>
              </w:rPr>
              <w:t>Dlhodobo poddimenzované zabezpečenie učebníc</w:t>
            </w:r>
            <w:r w:rsidR="00592C4B">
              <w:rPr>
                <w:noProof/>
                <w:webHidden/>
              </w:rPr>
              <w:tab/>
            </w:r>
            <w:r w:rsidR="00592C4B">
              <w:rPr>
                <w:noProof/>
                <w:webHidden/>
              </w:rPr>
              <w:fldChar w:fldCharType="begin"/>
            </w:r>
            <w:r w:rsidR="00592C4B">
              <w:rPr>
                <w:noProof/>
                <w:webHidden/>
              </w:rPr>
              <w:instrText xml:space="preserve"> PAGEREF _Toc153784713 \h </w:instrText>
            </w:r>
            <w:r w:rsidR="00592C4B">
              <w:rPr>
                <w:noProof/>
                <w:webHidden/>
              </w:rPr>
            </w:r>
            <w:r w:rsidR="00592C4B">
              <w:rPr>
                <w:noProof/>
                <w:webHidden/>
              </w:rPr>
              <w:fldChar w:fldCharType="separate"/>
            </w:r>
            <w:r w:rsidR="00592C4B">
              <w:rPr>
                <w:noProof/>
                <w:webHidden/>
              </w:rPr>
              <w:t>31</w:t>
            </w:r>
            <w:r w:rsidR="00592C4B">
              <w:rPr>
                <w:noProof/>
                <w:webHidden/>
              </w:rPr>
              <w:fldChar w:fldCharType="end"/>
            </w:r>
          </w:hyperlink>
        </w:p>
        <w:p w14:paraId="1F28E239" w14:textId="550B91AE" w:rsidR="00592C4B" w:rsidRDefault="008920FD">
          <w:pPr>
            <w:pStyle w:val="Obsah3"/>
            <w:tabs>
              <w:tab w:val="left" w:pos="1200"/>
              <w:tab w:val="right" w:leader="dot" w:pos="9060"/>
            </w:tabs>
            <w:rPr>
              <w:rFonts w:eastAsiaTheme="minorEastAsia" w:cstheme="minorBidi"/>
              <w:i w:val="0"/>
              <w:iCs w:val="0"/>
              <w:noProof/>
              <w:sz w:val="22"/>
              <w:szCs w:val="22"/>
              <w:lang w:eastAsia="sk-SK"/>
            </w:rPr>
          </w:pPr>
          <w:hyperlink w:anchor="_Toc153784714" w:history="1">
            <w:r w:rsidR="00592C4B" w:rsidRPr="00CF0394">
              <w:rPr>
                <w:rStyle w:val="Hypertextovprepojenie"/>
                <w:noProof/>
              </w:rPr>
              <w:t>5.3.5</w:t>
            </w:r>
            <w:r w:rsidR="00592C4B">
              <w:rPr>
                <w:rFonts w:eastAsiaTheme="minorEastAsia" w:cstheme="minorBidi"/>
                <w:i w:val="0"/>
                <w:iCs w:val="0"/>
                <w:noProof/>
                <w:sz w:val="22"/>
                <w:szCs w:val="22"/>
                <w:lang w:eastAsia="sk-SK"/>
              </w:rPr>
              <w:tab/>
            </w:r>
            <w:r w:rsidR="00592C4B" w:rsidRPr="00CF0394">
              <w:rPr>
                <w:rStyle w:val="Hypertextovprepojenie"/>
                <w:noProof/>
              </w:rPr>
              <w:t>IT projekty v rezorte</w:t>
            </w:r>
            <w:r w:rsidR="00592C4B">
              <w:rPr>
                <w:noProof/>
                <w:webHidden/>
              </w:rPr>
              <w:tab/>
            </w:r>
            <w:r w:rsidR="00592C4B">
              <w:rPr>
                <w:noProof/>
                <w:webHidden/>
              </w:rPr>
              <w:fldChar w:fldCharType="begin"/>
            </w:r>
            <w:r w:rsidR="00592C4B">
              <w:rPr>
                <w:noProof/>
                <w:webHidden/>
              </w:rPr>
              <w:instrText xml:space="preserve"> PAGEREF _Toc153784714 \h </w:instrText>
            </w:r>
            <w:r w:rsidR="00592C4B">
              <w:rPr>
                <w:noProof/>
                <w:webHidden/>
              </w:rPr>
            </w:r>
            <w:r w:rsidR="00592C4B">
              <w:rPr>
                <w:noProof/>
                <w:webHidden/>
              </w:rPr>
              <w:fldChar w:fldCharType="separate"/>
            </w:r>
            <w:r w:rsidR="00592C4B">
              <w:rPr>
                <w:noProof/>
                <w:webHidden/>
              </w:rPr>
              <w:t>32</w:t>
            </w:r>
            <w:r w:rsidR="00592C4B">
              <w:rPr>
                <w:noProof/>
                <w:webHidden/>
              </w:rPr>
              <w:fldChar w:fldCharType="end"/>
            </w:r>
          </w:hyperlink>
        </w:p>
        <w:p w14:paraId="7E7B7062" w14:textId="4F5339DF" w:rsidR="00592C4B" w:rsidRDefault="008920FD">
          <w:pPr>
            <w:pStyle w:val="Obsah2"/>
            <w:tabs>
              <w:tab w:val="left" w:pos="800"/>
              <w:tab w:val="right" w:leader="dot" w:pos="9060"/>
            </w:tabs>
            <w:rPr>
              <w:rFonts w:eastAsiaTheme="minorEastAsia" w:cstheme="minorBidi"/>
              <w:smallCaps w:val="0"/>
              <w:noProof/>
              <w:sz w:val="22"/>
              <w:szCs w:val="22"/>
              <w:lang w:eastAsia="sk-SK"/>
            </w:rPr>
          </w:pPr>
          <w:hyperlink w:anchor="_Toc153784715" w:history="1">
            <w:r w:rsidR="00592C4B" w:rsidRPr="00CF0394">
              <w:rPr>
                <w:rStyle w:val="Hypertextovprepojenie"/>
                <w:noProof/>
              </w:rPr>
              <w:t>5.4</w:t>
            </w:r>
            <w:r w:rsidR="00592C4B">
              <w:rPr>
                <w:rFonts w:eastAsiaTheme="minorEastAsia" w:cstheme="minorBidi"/>
                <w:smallCaps w:val="0"/>
                <w:noProof/>
                <w:sz w:val="22"/>
                <w:szCs w:val="22"/>
                <w:lang w:eastAsia="sk-SK"/>
              </w:rPr>
              <w:tab/>
            </w:r>
            <w:r w:rsidR="00592C4B" w:rsidRPr="00CF0394">
              <w:rPr>
                <w:rStyle w:val="Hypertextovprepojenie"/>
                <w:noProof/>
              </w:rPr>
              <w:t>Životné prostredie</w:t>
            </w:r>
            <w:r w:rsidR="00592C4B">
              <w:rPr>
                <w:noProof/>
                <w:webHidden/>
              </w:rPr>
              <w:tab/>
            </w:r>
            <w:r w:rsidR="00592C4B">
              <w:rPr>
                <w:noProof/>
                <w:webHidden/>
              </w:rPr>
              <w:fldChar w:fldCharType="begin"/>
            </w:r>
            <w:r w:rsidR="00592C4B">
              <w:rPr>
                <w:noProof/>
                <w:webHidden/>
              </w:rPr>
              <w:instrText xml:space="preserve"> PAGEREF _Toc153784715 \h </w:instrText>
            </w:r>
            <w:r w:rsidR="00592C4B">
              <w:rPr>
                <w:noProof/>
                <w:webHidden/>
              </w:rPr>
            </w:r>
            <w:r w:rsidR="00592C4B">
              <w:rPr>
                <w:noProof/>
                <w:webHidden/>
              </w:rPr>
              <w:fldChar w:fldCharType="separate"/>
            </w:r>
            <w:r w:rsidR="00592C4B">
              <w:rPr>
                <w:noProof/>
                <w:webHidden/>
              </w:rPr>
              <w:t>33</w:t>
            </w:r>
            <w:r w:rsidR="00592C4B">
              <w:rPr>
                <w:noProof/>
                <w:webHidden/>
              </w:rPr>
              <w:fldChar w:fldCharType="end"/>
            </w:r>
          </w:hyperlink>
        </w:p>
        <w:p w14:paraId="60934AF9" w14:textId="07F2824A" w:rsidR="00592C4B" w:rsidRDefault="008920FD">
          <w:pPr>
            <w:pStyle w:val="Obsah3"/>
            <w:tabs>
              <w:tab w:val="left" w:pos="1200"/>
              <w:tab w:val="right" w:leader="dot" w:pos="9060"/>
            </w:tabs>
            <w:rPr>
              <w:rFonts w:eastAsiaTheme="minorEastAsia" w:cstheme="minorBidi"/>
              <w:i w:val="0"/>
              <w:iCs w:val="0"/>
              <w:noProof/>
              <w:sz w:val="22"/>
              <w:szCs w:val="22"/>
              <w:lang w:eastAsia="sk-SK"/>
            </w:rPr>
          </w:pPr>
          <w:hyperlink w:anchor="_Toc153784716" w:history="1">
            <w:r w:rsidR="00592C4B" w:rsidRPr="00CF0394">
              <w:rPr>
                <w:rStyle w:val="Hypertextovprepojenie"/>
                <w:noProof/>
              </w:rPr>
              <w:t>5.4.1</w:t>
            </w:r>
            <w:r w:rsidR="00592C4B">
              <w:rPr>
                <w:rFonts w:eastAsiaTheme="minorEastAsia" w:cstheme="minorBidi"/>
                <w:i w:val="0"/>
                <w:iCs w:val="0"/>
                <w:noProof/>
                <w:sz w:val="22"/>
                <w:szCs w:val="22"/>
                <w:lang w:eastAsia="sk-SK"/>
              </w:rPr>
              <w:tab/>
            </w:r>
            <w:r w:rsidR="00592C4B" w:rsidRPr="00CF0394">
              <w:rPr>
                <w:rStyle w:val="Hypertextovprepojenie"/>
                <w:noProof/>
              </w:rPr>
              <w:t>Protipovodňová ochrana a vodné stavby</w:t>
            </w:r>
            <w:r w:rsidR="00592C4B">
              <w:rPr>
                <w:noProof/>
                <w:webHidden/>
              </w:rPr>
              <w:tab/>
            </w:r>
            <w:r w:rsidR="00592C4B">
              <w:rPr>
                <w:noProof/>
                <w:webHidden/>
              </w:rPr>
              <w:fldChar w:fldCharType="begin"/>
            </w:r>
            <w:r w:rsidR="00592C4B">
              <w:rPr>
                <w:noProof/>
                <w:webHidden/>
              </w:rPr>
              <w:instrText xml:space="preserve"> PAGEREF _Toc153784716 \h </w:instrText>
            </w:r>
            <w:r w:rsidR="00592C4B">
              <w:rPr>
                <w:noProof/>
                <w:webHidden/>
              </w:rPr>
            </w:r>
            <w:r w:rsidR="00592C4B">
              <w:rPr>
                <w:noProof/>
                <w:webHidden/>
              </w:rPr>
              <w:fldChar w:fldCharType="separate"/>
            </w:r>
            <w:r w:rsidR="00592C4B">
              <w:rPr>
                <w:noProof/>
                <w:webHidden/>
              </w:rPr>
              <w:t>33</w:t>
            </w:r>
            <w:r w:rsidR="00592C4B">
              <w:rPr>
                <w:noProof/>
                <w:webHidden/>
              </w:rPr>
              <w:fldChar w:fldCharType="end"/>
            </w:r>
          </w:hyperlink>
        </w:p>
        <w:p w14:paraId="0DB0178A" w14:textId="190B6460" w:rsidR="00592C4B" w:rsidRDefault="008920FD">
          <w:pPr>
            <w:pStyle w:val="Obsah3"/>
            <w:tabs>
              <w:tab w:val="left" w:pos="1200"/>
              <w:tab w:val="right" w:leader="dot" w:pos="9060"/>
            </w:tabs>
            <w:rPr>
              <w:rFonts w:eastAsiaTheme="minorEastAsia" w:cstheme="minorBidi"/>
              <w:i w:val="0"/>
              <w:iCs w:val="0"/>
              <w:noProof/>
              <w:sz w:val="22"/>
              <w:szCs w:val="22"/>
              <w:lang w:eastAsia="sk-SK"/>
            </w:rPr>
          </w:pPr>
          <w:hyperlink w:anchor="_Toc153784717" w:history="1">
            <w:r w:rsidR="00592C4B" w:rsidRPr="00CF0394">
              <w:rPr>
                <w:rStyle w:val="Hypertextovprepojenie"/>
                <w:noProof/>
              </w:rPr>
              <w:t>5.4.2</w:t>
            </w:r>
            <w:r w:rsidR="00592C4B">
              <w:rPr>
                <w:rFonts w:eastAsiaTheme="minorEastAsia" w:cstheme="minorBidi"/>
                <w:i w:val="0"/>
                <w:iCs w:val="0"/>
                <w:noProof/>
                <w:sz w:val="22"/>
                <w:szCs w:val="22"/>
                <w:lang w:eastAsia="sk-SK"/>
              </w:rPr>
              <w:tab/>
            </w:r>
            <w:r w:rsidR="00592C4B" w:rsidRPr="00CF0394">
              <w:rPr>
                <w:rStyle w:val="Hypertextovprepojenie"/>
                <w:noProof/>
              </w:rPr>
              <w:t>Environmentálne záťaže a environmentálny fond</w:t>
            </w:r>
            <w:r w:rsidR="00592C4B">
              <w:rPr>
                <w:noProof/>
                <w:webHidden/>
              </w:rPr>
              <w:tab/>
            </w:r>
            <w:r w:rsidR="00592C4B">
              <w:rPr>
                <w:noProof/>
                <w:webHidden/>
              </w:rPr>
              <w:fldChar w:fldCharType="begin"/>
            </w:r>
            <w:r w:rsidR="00592C4B">
              <w:rPr>
                <w:noProof/>
                <w:webHidden/>
              </w:rPr>
              <w:instrText xml:space="preserve"> PAGEREF _Toc153784717 \h </w:instrText>
            </w:r>
            <w:r w:rsidR="00592C4B">
              <w:rPr>
                <w:noProof/>
                <w:webHidden/>
              </w:rPr>
            </w:r>
            <w:r w:rsidR="00592C4B">
              <w:rPr>
                <w:noProof/>
                <w:webHidden/>
              </w:rPr>
              <w:fldChar w:fldCharType="separate"/>
            </w:r>
            <w:r w:rsidR="00592C4B">
              <w:rPr>
                <w:noProof/>
                <w:webHidden/>
              </w:rPr>
              <w:t>35</w:t>
            </w:r>
            <w:r w:rsidR="00592C4B">
              <w:rPr>
                <w:noProof/>
                <w:webHidden/>
              </w:rPr>
              <w:fldChar w:fldCharType="end"/>
            </w:r>
          </w:hyperlink>
        </w:p>
        <w:p w14:paraId="2E728DDA" w14:textId="6E1F745C" w:rsidR="00F071B7" w:rsidRDefault="006C125B" w:rsidP="00F071B7">
          <w:pPr>
            <w:jc w:val="center"/>
            <w:rPr>
              <w:b/>
              <w:bCs/>
            </w:rPr>
          </w:pPr>
          <w:r>
            <w:rPr>
              <w:rFonts w:asciiTheme="minorHAnsi" w:hAnsiTheme="minorHAnsi" w:cstheme="minorHAnsi"/>
              <w:b/>
              <w:bCs/>
              <w:color w:val="314364" w:themeColor="text2"/>
              <w:szCs w:val="20"/>
            </w:rPr>
            <w:fldChar w:fldCharType="end"/>
          </w:r>
          <w:r w:rsidR="00F071B7">
            <w:rPr>
              <w:b/>
              <w:bCs/>
            </w:rPr>
            <w:br w:type="page"/>
          </w:r>
        </w:p>
      </w:sdtContent>
    </w:sdt>
    <w:p w14:paraId="72A1F447" w14:textId="77777777" w:rsidR="004D139E" w:rsidRDefault="004D139E" w:rsidP="004D139E">
      <w:pPr>
        <w:pStyle w:val="Zhrnutie"/>
        <w:rPr>
          <w:b w:val="0"/>
          <w:sz w:val="28"/>
        </w:rPr>
      </w:pPr>
      <w:bookmarkStart w:id="0" w:name="_Toc86396371"/>
      <w:bookmarkStart w:id="1" w:name="_Toc53475706"/>
      <w:r w:rsidRPr="003B352D">
        <w:rPr>
          <w:b w:val="0"/>
          <w:sz w:val="28"/>
        </w:rPr>
        <w:lastRenderedPageBreak/>
        <w:t>Zoznam</w:t>
      </w:r>
      <w:r w:rsidRPr="007816E8">
        <w:rPr>
          <w:b w:val="0"/>
          <w:sz w:val="28"/>
        </w:rPr>
        <w:t xml:space="preserve"> skratiek</w:t>
      </w:r>
    </w:p>
    <w:tbl>
      <w:tblPr>
        <w:tblStyle w:val="Mriekatabuky6"/>
        <w:tblW w:w="515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013"/>
        <w:gridCol w:w="3952"/>
        <w:gridCol w:w="1065"/>
        <w:gridCol w:w="3327"/>
      </w:tblGrid>
      <w:tr w:rsidR="004D139E" w:rsidRPr="00B52236" w14:paraId="42756E76" w14:textId="77777777" w:rsidTr="004A05BA">
        <w:trPr>
          <w:trHeight w:val="283"/>
          <w:jc w:val="center"/>
        </w:trPr>
        <w:tc>
          <w:tcPr>
            <w:tcW w:w="541" w:type="pct"/>
            <w:shd w:val="clear" w:color="auto" w:fill="auto"/>
          </w:tcPr>
          <w:p w14:paraId="4A252E72" w14:textId="77777777" w:rsidR="004D139E" w:rsidRPr="000353E9" w:rsidRDefault="004D139E" w:rsidP="004A05BA">
            <w:pPr>
              <w:spacing w:after="0"/>
              <w:ind w:right="-81"/>
              <w:jc w:val="left"/>
              <w:rPr>
                <w:color w:val="314364" w:themeColor="text2"/>
                <w:sz w:val="18"/>
                <w:szCs w:val="18"/>
              </w:rPr>
            </w:pPr>
            <w:r w:rsidRPr="000353E9">
              <w:rPr>
                <w:color w:val="314364" w:themeColor="text2"/>
                <w:sz w:val="18"/>
                <w:szCs w:val="18"/>
              </w:rPr>
              <w:t>AIP</w:t>
            </w:r>
          </w:p>
        </w:tc>
        <w:tc>
          <w:tcPr>
            <w:tcW w:w="2112" w:type="pct"/>
            <w:shd w:val="clear" w:color="auto" w:fill="auto"/>
          </w:tcPr>
          <w:p w14:paraId="0F739F90" w14:textId="77777777" w:rsidR="004D139E" w:rsidRDefault="004D139E" w:rsidP="004A05BA">
            <w:pPr>
              <w:tabs>
                <w:tab w:val="left" w:pos="3360"/>
              </w:tabs>
              <w:spacing w:after="0"/>
              <w:jc w:val="left"/>
              <w:rPr>
                <w:sz w:val="18"/>
                <w:szCs w:val="18"/>
              </w:rPr>
            </w:pPr>
            <w:r>
              <w:rPr>
                <w:sz w:val="18"/>
                <w:szCs w:val="18"/>
              </w:rPr>
              <w:t>aktualizácia implementačného plánu</w:t>
            </w:r>
            <w:r>
              <w:rPr>
                <w:sz w:val="18"/>
                <w:szCs w:val="18"/>
              </w:rPr>
              <w:tab/>
            </w:r>
          </w:p>
        </w:tc>
        <w:tc>
          <w:tcPr>
            <w:tcW w:w="569" w:type="pct"/>
          </w:tcPr>
          <w:p w14:paraId="61BD0A1D" w14:textId="77777777" w:rsidR="004D139E" w:rsidRDefault="004D139E" w:rsidP="004A05BA">
            <w:pPr>
              <w:tabs>
                <w:tab w:val="left" w:pos="3360"/>
              </w:tabs>
              <w:spacing w:after="0"/>
              <w:ind w:right="-12"/>
              <w:jc w:val="left"/>
              <w:rPr>
                <w:sz w:val="18"/>
                <w:szCs w:val="18"/>
              </w:rPr>
            </w:pPr>
            <w:r w:rsidRPr="00342619">
              <w:rPr>
                <w:color w:val="314364" w:themeColor="text2"/>
                <w:sz w:val="18"/>
                <w:szCs w:val="18"/>
              </w:rPr>
              <w:t>OP</w:t>
            </w:r>
          </w:p>
        </w:tc>
        <w:tc>
          <w:tcPr>
            <w:tcW w:w="1778" w:type="pct"/>
          </w:tcPr>
          <w:p w14:paraId="2C39DA38" w14:textId="77777777" w:rsidR="004D139E" w:rsidRDefault="004D139E" w:rsidP="004A05BA">
            <w:pPr>
              <w:tabs>
                <w:tab w:val="left" w:pos="3360"/>
              </w:tabs>
              <w:spacing w:after="0"/>
              <w:jc w:val="left"/>
              <w:rPr>
                <w:sz w:val="18"/>
                <w:szCs w:val="18"/>
              </w:rPr>
            </w:pPr>
            <w:r w:rsidRPr="00342619">
              <w:rPr>
                <w:sz w:val="18"/>
                <w:szCs w:val="18"/>
              </w:rPr>
              <w:t>operačný program</w:t>
            </w:r>
          </w:p>
        </w:tc>
      </w:tr>
      <w:tr w:rsidR="004D139E" w:rsidRPr="00B52236" w14:paraId="503C318A" w14:textId="77777777" w:rsidTr="004A05BA">
        <w:trPr>
          <w:trHeight w:val="283"/>
          <w:jc w:val="center"/>
        </w:trPr>
        <w:tc>
          <w:tcPr>
            <w:tcW w:w="541" w:type="pct"/>
            <w:shd w:val="clear" w:color="auto" w:fill="auto"/>
          </w:tcPr>
          <w:p w14:paraId="2E1B6FB9" w14:textId="77777777" w:rsidR="004D139E" w:rsidRPr="000353E9" w:rsidRDefault="004D139E" w:rsidP="004A05BA">
            <w:pPr>
              <w:spacing w:after="0"/>
              <w:ind w:right="-81"/>
              <w:jc w:val="left"/>
              <w:rPr>
                <w:color w:val="314364" w:themeColor="text2"/>
                <w:sz w:val="18"/>
                <w:szCs w:val="18"/>
              </w:rPr>
            </w:pPr>
            <w:r w:rsidRPr="000353E9">
              <w:rPr>
                <w:color w:val="314364" w:themeColor="text2"/>
                <w:sz w:val="18"/>
                <w:szCs w:val="18"/>
              </w:rPr>
              <w:t>CVTI SR</w:t>
            </w:r>
          </w:p>
        </w:tc>
        <w:tc>
          <w:tcPr>
            <w:tcW w:w="2112" w:type="pct"/>
            <w:shd w:val="clear" w:color="auto" w:fill="auto"/>
          </w:tcPr>
          <w:p w14:paraId="6D99D14A" w14:textId="77777777" w:rsidR="004D139E" w:rsidRDefault="004D139E" w:rsidP="004A05BA">
            <w:pPr>
              <w:tabs>
                <w:tab w:val="left" w:pos="3360"/>
              </w:tabs>
              <w:spacing w:after="0"/>
              <w:jc w:val="left"/>
              <w:rPr>
                <w:sz w:val="18"/>
                <w:szCs w:val="18"/>
              </w:rPr>
            </w:pPr>
            <w:r>
              <w:rPr>
                <w:sz w:val="18"/>
                <w:szCs w:val="18"/>
              </w:rPr>
              <w:t>Centrum vedecko-technických informácií SR</w:t>
            </w:r>
          </w:p>
        </w:tc>
        <w:tc>
          <w:tcPr>
            <w:tcW w:w="569" w:type="pct"/>
          </w:tcPr>
          <w:p w14:paraId="40FEEFDB" w14:textId="77777777" w:rsidR="004D139E" w:rsidRDefault="004D139E" w:rsidP="004A05BA">
            <w:pPr>
              <w:tabs>
                <w:tab w:val="left" w:pos="3360"/>
              </w:tabs>
              <w:spacing w:after="0"/>
              <w:ind w:right="-12"/>
              <w:jc w:val="left"/>
              <w:rPr>
                <w:sz w:val="18"/>
                <w:szCs w:val="18"/>
              </w:rPr>
            </w:pPr>
            <w:r>
              <w:rPr>
                <w:color w:val="314364" w:themeColor="text2"/>
                <w:sz w:val="18"/>
                <w:szCs w:val="18"/>
              </w:rPr>
              <w:t>OS</w:t>
            </w:r>
          </w:p>
        </w:tc>
        <w:tc>
          <w:tcPr>
            <w:tcW w:w="1778" w:type="pct"/>
          </w:tcPr>
          <w:p w14:paraId="0F4474A9" w14:textId="77777777" w:rsidR="004D139E" w:rsidRDefault="004D139E" w:rsidP="004A05BA">
            <w:pPr>
              <w:tabs>
                <w:tab w:val="left" w:pos="3360"/>
              </w:tabs>
              <w:spacing w:after="0"/>
              <w:jc w:val="left"/>
              <w:rPr>
                <w:sz w:val="18"/>
                <w:szCs w:val="18"/>
              </w:rPr>
            </w:pPr>
            <w:r>
              <w:rPr>
                <w:sz w:val="18"/>
                <w:szCs w:val="18"/>
              </w:rPr>
              <w:t>očakávaná skutočnosť</w:t>
            </w:r>
          </w:p>
        </w:tc>
      </w:tr>
      <w:tr w:rsidR="004D139E" w:rsidRPr="00B52236" w14:paraId="42AD8BFF" w14:textId="77777777" w:rsidTr="004A05BA">
        <w:trPr>
          <w:trHeight w:val="283"/>
          <w:jc w:val="center"/>
        </w:trPr>
        <w:tc>
          <w:tcPr>
            <w:tcW w:w="541" w:type="pct"/>
            <w:shd w:val="clear" w:color="auto" w:fill="auto"/>
          </w:tcPr>
          <w:p w14:paraId="3045532D" w14:textId="77777777" w:rsidR="004D139E" w:rsidRPr="000353E9" w:rsidRDefault="004D139E" w:rsidP="004A05BA">
            <w:pPr>
              <w:spacing w:after="0"/>
              <w:ind w:right="-81"/>
              <w:jc w:val="left"/>
              <w:rPr>
                <w:color w:val="314364" w:themeColor="text2"/>
                <w:sz w:val="18"/>
                <w:szCs w:val="18"/>
              </w:rPr>
            </w:pPr>
            <w:r w:rsidRPr="000353E9">
              <w:rPr>
                <w:color w:val="314364" w:themeColor="text2"/>
                <w:sz w:val="18"/>
                <w:szCs w:val="18"/>
              </w:rPr>
              <w:t>ČR</w:t>
            </w:r>
          </w:p>
        </w:tc>
        <w:tc>
          <w:tcPr>
            <w:tcW w:w="2112" w:type="pct"/>
            <w:shd w:val="clear" w:color="auto" w:fill="auto"/>
          </w:tcPr>
          <w:p w14:paraId="6E94A93B" w14:textId="77777777" w:rsidR="004D139E" w:rsidRDefault="004D139E" w:rsidP="004A05BA">
            <w:pPr>
              <w:spacing w:after="0"/>
              <w:jc w:val="left"/>
              <w:rPr>
                <w:sz w:val="18"/>
                <w:szCs w:val="18"/>
              </w:rPr>
            </w:pPr>
            <w:r>
              <w:rPr>
                <w:sz w:val="18"/>
                <w:szCs w:val="18"/>
              </w:rPr>
              <w:t>Česká republika</w:t>
            </w:r>
          </w:p>
        </w:tc>
        <w:tc>
          <w:tcPr>
            <w:tcW w:w="569" w:type="pct"/>
          </w:tcPr>
          <w:p w14:paraId="582D2C00" w14:textId="77777777" w:rsidR="004D139E" w:rsidRDefault="004D139E" w:rsidP="004A05BA">
            <w:pPr>
              <w:spacing w:after="0"/>
              <w:ind w:right="-12"/>
              <w:jc w:val="left"/>
              <w:rPr>
                <w:sz w:val="18"/>
                <w:szCs w:val="18"/>
              </w:rPr>
            </w:pPr>
            <w:r>
              <w:rPr>
                <w:color w:val="314364" w:themeColor="text2"/>
                <w:sz w:val="18"/>
                <w:szCs w:val="18"/>
              </w:rPr>
              <w:t>OS SR</w:t>
            </w:r>
          </w:p>
        </w:tc>
        <w:tc>
          <w:tcPr>
            <w:tcW w:w="1778" w:type="pct"/>
          </w:tcPr>
          <w:p w14:paraId="57FDE7AC" w14:textId="77777777" w:rsidR="004D139E" w:rsidRDefault="004D139E" w:rsidP="004A05BA">
            <w:pPr>
              <w:spacing w:after="0"/>
              <w:jc w:val="left"/>
              <w:rPr>
                <w:sz w:val="18"/>
                <w:szCs w:val="18"/>
              </w:rPr>
            </w:pPr>
            <w:r>
              <w:rPr>
                <w:sz w:val="18"/>
                <w:szCs w:val="18"/>
              </w:rPr>
              <w:t>Ozbrojené sily SR</w:t>
            </w:r>
          </w:p>
        </w:tc>
      </w:tr>
      <w:tr w:rsidR="004D139E" w:rsidRPr="00B52236" w14:paraId="5B593F00" w14:textId="77777777" w:rsidTr="004A05BA">
        <w:trPr>
          <w:trHeight w:val="283"/>
          <w:jc w:val="center"/>
        </w:trPr>
        <w:tc>
          <w:tcPr>
            <w:tcW w:w="541" w:type="pct"/>
            <w:shd w:val="clear" w:color="auto" w:fill="auto"/>
          </w:tcPr>
          <w:p w14:paraId="16E09FAA" w14:textId="77777777" w:rsidR="004D139E" w:rsidRPr="000353E9" w:rsidRDefault="004D139E" w:rsidP="004A05BA">
            <w:pPr>
              <w:spacing w:after="0"/>
              <w:ind w:right="-81"/>
              <w:jc w:val="left"/>
              <w:rPr>
                <w:color w:val="314364" w:themeColor="text2"/>
                <w:sz w:val="18"/>
                <w:szCs w:val="18"/>
              </w:rPr>
            </w:pPr>
            <w:r w:rsidRPr="000353E9">
              <w:rPr>
                <w:color w:val="314364" w:themeColor="text2"/>
                <w:sz w:val="18"/>
                <w:szCs w:val="18"/>
              </w:rPr>
              <w:t>DPFO</w:t>
            </w:r>
          </w:p>
        </w:tc>
        <w:tc>
          <w:tcPr>
            <w:tcW w:w="2112" w:type="pct"/>
            <w:shd w:val="clear" w:color="auto" w:fill="auto"/>
          </w:tcPr>
          <w:p w14:paraId="4259F10F" w14:textId="77777777" w:rsidR="004D139E" w:rsidRPr="00342619" w:rsidRDefault="004D139E" w:rsidP="004A05BA">
            <w:pPr>
              <w:spacing w:after="0"/>
              <w:ind w:right="299"/>
              <w:jc w:val="left"/>
              <w:rPr>
                <w:sz w:val="18"/>
                <w:szCs w:val="18"/>
              </w:rPr>
            </w:pPr>
            <w:r w:rsidRPr="00342619">
              <w:rPr>
                <w:sz w:val="18"/>
                <w:szCs w:val="18"/>
              </w:rPr>
              <w:t>daň z príjmov fyzických osôb</w:t>
            </w:r>
          </w:p>
        </w:tc>
        <w:tc>
          <w:tcPr>
            <w:tcW w:w="569" w:type="pct"/>
          </w:tcPr>
          <w:p w14:paraId="0F819E0D" w14:textId="77777777" w:rsidR="004D139E" w:rsidRPr="00342619" w:rsidRDefault="004D139E" w:rsidP="004A05BA">
            <w:pPr>
              <w:spacing w:after="0"/>
              <w:ind w:right="-12"/>
              <w:jc w:val="left"/>
              <w:rPr>
                <w:sz w:val="18"/>
                <w:szCs w:val="18"/>
              </w:rPr>
            </w:pPr>
            <w:r>
              <w:rPr>
                <w:color w:val="314364" w:themeColor="text2"/>
                <w:sz w:val="18"/>
                <w:szCs w:val="18"/>
              </w:rPr>
              <w:t>PDS40</w:t>
            </w:r>
          </w:p>
        </w:tc>
        <w:tc>
          <w:tcPr>
            <w:tcW w:w="1778" w:type="pct"/>
          </w:tcPr>
          <w:p w14:paraId="7A9904C7" w14:textId="77777777" w:rsidR="004D139E" w:rsidRPr="00342619" w:rsidRDefault="004D139E" w:rsidP="004A05BA">
            <w:pPr>
              <w:spacing w:after="0"/>
              <w:ind w:right="299"/>
              <w:jc w:val="left"/>
              <w:rPr>
                <w:sz w:val="18"/>
                <w:szCs w:val="18"/>
              </w:rPr>
            </w:pPr>
            <w:r w:rsidRPr="009A4F26">
              <w:rPr>
                <w:sz w:val="18"/>
                <w:szCs w:val="18"/>
              </w:rPr>
              <w:t xml:space="preserve">predčasný starobný </w:t>
            </w:r>
            <w:r>
              <w:rPr>
                <w:sz w:val="18"/>
                <w:szCs w:val="18"/>
              </w:rPr>
              <w:t>dôchodok po odpracovaní 40</w:t>
            </w:r>
            <w:r w:rsidRPr="009A4F26">
              <w:rPr>
                <w:sz w:val="18"/>
                <w:szCs w:val="18"/>
              </w:rPr>
              <w:t xml:space="preserve"> rokov</w:t>
            </w:r>
          </w:p>
        </w:tc>
      </w:tr>
      <w:tr w:rsidR="004D139E" w:rsidRPr="00B52236" w14:paraId="66CB112C" w14:textId="77777777" w:rsidTr="004A05BA">
        <w:trPr>
          <w:trHeight w:val="283"/>
          <w:jc w:val="center"/>
        </w:trPr>
        <w:tc>
          <w:tcPr>
            <w:tcW w:w="541" w:type="pct"/>
            <w:shd w:val="clear" w:color="auto" w:fill="auto"/>
          </w:tcPr>
          <w:p w14:paraId="09D2D4D2" w14:textId="77777777" w:rsidR="004D139E" w:rsidRPr="000353E9" w:rsidRDefault="004D139E" w:rsidP="004A05BA">
            <w:pPr>
              <w:spacing w:after="0"/>
              <w:ind w:right="-81"/>
              <w:jc w:val="left"/>
              <w:rPr>
                <w:color w:val="314364" w:themeColor="text2"/>
                <w:sz w:val="18"/>
                <w:szCs w:val="18"/>
              </w:rPr>
            </w:pPr>
            <w:r w:rsidRPr="000353E9">
              <w:rPr>
                <w:color w:val="314364" w:themeColor="text2"/>
                <w:sz w:val="18"/>
                <w:szCs w:val="18"/>
              </w:rPr>
              <w:t>DPH</w:t>
            </w:r>
          </w:p>
        </w:tc>
        <w:tc>
          <w:tcPr>
            <w:tcW w:w="2112" w:type="pct"/>
            <w:shd w:val="clear" w:color="auto" w:fill="auto"/>
          </w:tcPr>
          <w:p w14:paraId="783B2C64" w14:textId="77777777" w:rsidR="004D139E" w:rsidRPr="00342619" w:rsidRDefault="004D139E" w:rsidP="004A05BA">
            <w:pPr>
              <w:spacing w:after="0"/>
              <w:jc w:val="left"/>
              <w:rPr>
                <w:sz w:val="18"/>
                <w:szCs w:val="18"/>
              </w:rPr>
            </w:pPr>
            <w:r w:rsidRPr="00342619">
              <w:rPr>
                <w:sz w:val="18"/>
                <w:szCs w:val="18"/>
              </w:rPr>
              <w:t>daň z pridanej hodnoty</w:t>
            </w:r>
          </w:p>
        </w:tc>
        <w:tc>
          <w:tcPr>
            <w:tcW w:w="569" w:type="pct"/>
          </w:tcPr>
          <w:p w14:paraId="1122E9B3" w14:textId="77777777" w:rsidR="004D139E" w:rsidRPr="00AF2F56" w:rsidRDefault="004D139E" w:rsidP="004A05BA">
            <w:pPr>
              <w:spacing w:after="0"/>
              <w:ind w:right="-12"/>
              <w:jc w:val="left"/>
              <w:rPr>
                <w:b/>
                <w:sz w:val="18"/>
                <w:szCs w:val="18"/>
              </w:rPr>
            </w:pPr>
            <w:r w:rsidRPr="00342619">
              <w:rPr>
                <w:color w:val="314364" w:themeColor="text2"/>
                <w:sz w:val="18"/>
                <w:szCs w:val="18"/>
              </w:rPr>
              <w:t>PO</w:t>
            </w:r>
          </w:p>
        </w:tc>
        <w:tc>
          <w:tcPr>
            <w:tcW w:w="1778" w:type="pct"/>
          </w:tcPr>
          <w:p w14:paraId="036C24C3" w14:textId="77777777" w:rsidR="004D139E" w:rsidRPr="00342619" w:rsidRDefault="004D139E" w:rsidP="004A05BA">
            <w:pPr>
              <w:spacing w:after="0"/>
              <w:jc w:val="left"/>
              <w:rPr>
                <w:sz w:val="18"/>
                <w:szCs w:val="18"/>
              </w:rPr>
            </w:pPr>
            <w:r w:rsidRPr="00342619">
              <w:rPr>
                <w:sz w:val="18"/>
                <w:szCs w:val="18"/>
              </w:rPr>
              <w:t>programové obdobie</w:t>
            </w:r>
          </w:p>
        </w:tc>
      </w:tr>
      <w:tr w:rsidR="004D139E" w:rsidRPr="00B52236" w14:paraId="057589F2" w14:textId="77777777" w:rsidTr="004A05BA">
        <w:trPr>
          <w:trHeight w:val="283"/>
          <w:jc w:val="center"/>
        </w:trPr>
        <w:tc>
          <w:tcPr>
            <w:tcW w:w="541" w:type="pct"/>
            <w:shd w:val="clear" w:color="auto" w:fill="auto"/>
          </w:tcPr>
          <w:p w14:paraId="175EB801" w14:textId="77777777" w:rsidR="004D139E" w:rsidRPr="000353E9" w:rsidRDefault="004D139E" w:rsidP="004A05BA">
            <w:pPr>
              <w:spacing w:after="0"/>
              <w:ind w:right="-81"/>
              <w:jc w:val="left"/>
              <w:rPr>
                <w:color w:val="314364" w:themeColor="text2"/>
                <w:sz w:val="18"/>
                <w:szCs w:val="18"/>
              </w:rPr>
            </w:pPr>
            <w:r w:rsidRPr="000353E9">
              <w:rPr>
                <w:color w:val="314364" w:themeColor="text2"/>
                <w:sz w:val="18"/>
                <w:szCs w:val="18"/>
              </w:rPr>
              <w:t>EAO</w:t>
            </w:r>
          </w:p>
        </w:tc>
        <w:tc>
          <w:tcPr>
            <w:tcW w:w="2112" w:type="pct"/>
            <w:shd w:val="clear" w:color="auto" w:fill="auto"/>
          </w:tcPr>
          <w:p w14:paraId="27C5AADF" w14:textId="77777777" w:rsidR="004D139E" w:rsidRDefault="004D139E" w:rsidP="004A05BA">
            <w:pPr>
              <w:spacing w:after="0"/>
              <w:jc w:val="left"/>
              <w:rPr>
                <w:sz w:val="18"/>
                <w:szCs w:val="18"/>
              </w:rPr>
            </w:pPr>
            <w:r>
              <w:rPr>
                <w:sz w:val="18"/>
                <w:szCs w:val="18"/>
              </w:rPr>
              <w:t>ekonomicky aktívne obyvateľstvo</w:t>
            </w:r>
          </w:p>
        </w:tc>
        <w:tc>
          <w:tcPr>
            <w:tcW w:w="569" w:type="pct"/>
          </w:tcPr>
          <w:p w14:paraId="653902CD" w14:textId="77777777" w:rsidR="004D139E" w:rsidRDefault="004D139E" w:rsidP="004A05BA">
            <w:pPr>
              <w:spacing w:after="0"/>
              <w:ind w:right="-12"/>
              <w:jc w:val="left"/>
              <w:rPr>
                <w:sz w:val="18"/>
                <w:szCs w:val="18"/>
              </w:rPr>
            </w:pPr>
            <w:r w:rsidRPr="00342619">
              <w:rPr>
                <w:color w:val="314364" w:themeColor="text2"/>
                <w:sz w:val="18"/>
                <w:szCs w:val="18"/>
              </w:rPr>
              <w:t>POO</w:t>
            </w:r>
          </w:p>
        </w:tc>
        <w:tc>
          <w:tcPr>
            <w:tcW w:w="1778" w:type="pct"/>
          </w:tcPr>
          <w:p w14:paraId="572D71DA" w14:textId="77777777" w:rsidR="004D139E" w:rsidRDefault="004D139E" w:rsidP="004A05BA">
            <w:pPr>
              <w:spacing w:after="0"/>
              <w:jc w:val="left"/>
              <w:rPr>
                <w:sz w:val="18"/>
                <w:szCs w:val="18"/>
              </w:rPr>
            </w:pPr>
            <w:r w:rsidRPr="00342619">
              <w:rPr>
                <w:sz w:val="18"/>
                <w:szCs w:val="18"/>
              </w:rPr>
              <w:t>Plán obnovy a odolnosti</w:t>
            </w:r>
          </w:p>
        </w:tc>
      </w:tr>
      <w:tr w:rsidR="004D139E" w:rsidRPr="00B52236" w14:paraId="426C8971" w14:textId="77777777" w:rsidTr="004A05BA">
        <w:trPr>
          <w:trHeight w:val="283"/>
          <w:jc w:val="center"/>
        </w:trPr>
        <w:tc>
          <w:tcPr>
            <w:tcW w:w="541" w:type="pct"/>
            <w:shd w:val="clear" w:color="auto" w:fill="auto"/>
          </w:tcPr>
          <w:p w14:paraId="0939C2EA" w14:textId="77777777" w:rsidR="004D139E" w:rsidRPr="000353E9" w:rsidRDefault="004D139E" w:rsidP="004A05BA">
            <w:pPr>
              <w:spacing w:after="0"/>
              <w:ind w:right="-81"/>
              <w:jc w:val="left"/>
              <w:rPr>
                <w:color w:val="314364" w:themeColor="text2"/>
                <w:sz w:val="18"/>
                <w:szCs w:val="18"/>
              </w:rPr>
            </w:pPr>
            <w:r>
              <w:rPr>
                <w:color w:val="314364" w:themeColor="text2"/>
                <w:sz w:val="18"/>
                <w:szCs w:val="18"/>
              </w:rPr>
              <w:t>EF</w:t>
            </w:r>
          </w:p>
        </w:tc>
        <w:tc>
          <w:tcPr>
            <w:tcW w:w="2112" w:type="pct"/>
            <w:shd w:val="clear" w:color="auto" w:fill="auto"/>
          </w:tcPr>
          <w:p w14:paraId="07F72EC1" w14:textId="77777777" w:rsidR="004D139E" w:rsidRPr="00342619" w:rsidRDefault="004D139E" w:rsidP="004A05BA">
            <w:pPr>
              <w:spacing w:after="0"/>
              <w:jc w:val="left"/>
              <w:rPr>
                <w:sz w:val="18"/>
                <w:szCs w:val="18"/>
              </w:rPr>
            </w:pPr>
            <w:r>
              <w:rPr>
                <w:sz w:val="18"/>
                <w:szCs w:val="18"/>
              </w:rPr>
              <w:t>Environmentálny fond</w:t>
            </w:r>
          </w:p>
        </w:tc>
        <w:tc>
          <w:tcPr>
            <w:tcW w:w="569" w:type="pct"/>
          </w:tcPr>
          <w:p w14:paraId="30C947E1" w14:textId="77777777" w:rsidR="004D139E" w:rsidRPr="00342619" w:rsidRDefault="004D139E" w:rsidP="004A05BA">
            <w:pPr>
              <w:spacing w:after="0"/>
              <w:ind w:right="-12"/>
              <w:jc w:val="left"/>
              <w:rPr>
                <w:sz w:val="18"/>
                <w:szCs w:val="18"/>
              </w:rPr>
            </w:pPr>
            <w:r w:rsidRPr="00342619">
              <w:rPr>
                <w:color w:val="314364" w:themeColor="text2"/>
                <w:sz w:val="18"/>
                <w:szCs w:val="18"/>
              </w:rPr>
              <w:t>PRV</w:t>
            </w:r>
          </w:p>
        </w:tc>
        <w:tc>
          <w:tcPr>
            <w:tcW w:w="1778" w:type="pct"/>
          </w:tcPr>
          <w:p w14:paraId="34D74B32" w14:textId="77777777" w:rsidR="004D139E" w:rsidRPr="00342619" w:rsidRDefault="004D139E" w:rsidP="004A05BA">
            <w:pPr>
              <w:spacing w:after="0"/>
              <w:jc w:val="left"/>
              <w:rPr>
                <w:sz w:val="18"/>
                <w:szCs w:val="18"/>
              </w:rPr>
            </w:pPr>
            <w:r w:rsidRPr="00342619">
              <w:rPr>
                <w:sz w:val="18"/>
                <w:szCs w:val="18"/>
              </w:rPr>
              <w:t>Program rozvoja vidieka</w:t>
            </w:r>
          </w:p>
        </w:tc>
      </w:tr>
      <w:tr w:rsidR="004D139E" w:rsidRPr="00B52236" w14:paraId="4E292EDD" w14:textId="77777777" w:rsidTr="004A05BA">
        <w:trPr>
          <w:trHeight w:val="283"/>
          <w:jc w:val="center"/>
        </w:trPr>
        <w:tc>
          <w:tcPr>
            <w:tcW w:w="541" w:type="pct"/>
            <w:shd w:val="clear" w:color="auto" w:fill="auto"/>
          </w:tcPr>
          <w:p w14:paraId="58E18A71" w14:textId="77777777" w:rsidR="004D139E" w:rsidRPr="000353E9" w:rsidRDefault="004D139E" w:rsidP="004A05BA">
            <w:pPr>
              <w:spacing w:after="0"/>
              <w:ind w:right="-81"/>
              <w:jc w:val="left"/>
              <w:rPr>
                <w:color w:val="314364" w:themeColor="text2"/>
                <w:sz w:val="18"/>
                <w:szCs w:val="18"/>
              </w:rPr>
            </w:pPr>
            <w:r w:rsidRPr="000353E9">
              <w:rPr>
                <w:color w:val="314364" w:themeColor="text2"/>
                <w:sz w:val="18"/>
                <w:szCs w:val="18"/>
              </w:rPr>
              <w:t>EK</w:t>
            </w:r>
          </w:p>
        </w:tc>
        <w:tc>
          <w:tcPr>
            <w:tcW w:w="2112" w:type="pct"/>
            <w:shd w:val="clear" w:color="auto" w:fill="auto"/>
          </w:tcPr>
          <w:p w14:paraId="5F88FB73" w14:textId="77777777" w:rsidR="004D139E" w:rsidRDefault="004D139E" w:rsidP="004A05BA">
            <w:pPr>
              <w:tabs>
                <w:tab w:val="left" w:pos="501"/>
              </w:tabs>
              <w:spacing w:after="0"/>
              <w:jc w:val="left"/>
              <w:rPr>
                <w:sz w:val="18"/>
                <w:szCs w:val="18"/>
              </w:rPr>
            </w:pPr>
            <w:r w:rsidRPr="00342619">
              <w:rPr>
                <w:sz w:val="18"/>
                <w:szCs w:val="18"/>
              </w:rPr>
              <w:t>Európska komisia</w:t>
            </w:r>
          </w:p>
        </w:tc>
        <w:tc>
          <w:tcPr>
            <w:tcW w:w="569" w:type="pct"/>
          </w:tcPr>
          <w:p w14:paraId="252341EC" w14:textId="77777777" w:rsidR="004D139E" w:rsidRDefault="004D139E" w:rsidP="004A05BA">
            <w:pPr>
              <w:tabs>
                <w:tab w:val="left" w:pos="501"/>
              </w:tabs>
              <w:spacing w:after="0"/>
              <w:ind w:right="-12"/>
              <w:jc w:val="left"/>
              <w:rPr>
                <w:sz w:val="18"/>
                <w:szCs w:val="18"/>
              </w:rPr>
            </w:pPr>
            <w:r>
              <w:rPr>
                <w:color w:val="314364" w:themeColor="text2"/>
                <w:sz w:val="18"/>
                <w:szCs w:val="18"/>
              </w:rPr>
              <w:t>PVV</w:t>
            </w:r>
          </w:p>
        </w:tc>
        <w:tc>
          <w:tcPr>
            <w:tcW w:w="1778" w:type="pct"/>
          </w:tcPr>
          <w:p w14:paraId="54A4B7BA" w14:textId="77777777" w:rsidR="004D139E" w:rsidRDefault="004D139E" w:rsidP="004A05BA">
            <w:pPr>
              <w:tabs>
                <w:tab w:val="left" w:pos="501"/>
              </w:tabs>
              <w:spacing w:after="0"/>
              <w:jc w:val="left"/>
              <w:rPr>
                <w:sz w:val="18"/>
                <w:szCs w:val="18"/>
              </w:rPr>
            </w:pPr>
            <w:r>
              <w:rPr>
                <w:sz w:val="18"/>
                <w:szCs w:val="18"/>
              </w:rPr>
              <w:t>Programové vyhlásenie vlády</w:t>
            </w:r>
          </w:p>
        </w:tc>
      </w:tr>
      <w:tr w:rsidR="004D139E" w:rsidRPr="00B52236" w14:paraId="56CD3F22" w14:textId="77777777" w:rsidTr="004A05BA">
        <w:trPr>
          <w:trHeight w:val="283"/>
          <w:jc w:val="center"/>
        </w:trPr>
        <w:tc>
          <w:tcPr>
            <w:tcW w:w="541" w:type="pct"/>
            <w:shd w:val="clear" w:color="auto" w:fill="auto"/>
          </w:tcPr>
          <w:p w14:paraId="1CF7BB64" w14:textId="77777777" w:rsidR="004D139E" w:rsidRPr="000353E9" w:rsidRDefault="004D139E" w:rsidP="004A05BA">
            <w:pPr>
              <w:spacing w:after="0"/>
              <w:ind w:right="-81"/>
              <w:jc w:val="left"/>
              <w:rPr>
                <w:color w:val="314364" w:themeColor="text2"/>
                <w:sz w:val="18"/>
                <w:szCs w:val="18"/>
              </w:rPr>
            </w:pPr>
            <w:r w:rsidRPr="000353E9">
              <w:rPr>
                <w:color w:val="314364" w:themeColor="text2"/>
                <w:sz w:val="18"/>
                <w:szCs w:val="18"/>
              </w:rPr>
              <w:t>ESA 2010</w:t>
            </w:r>
          </w:p>
        </w:tc>
        <w:tc>
          <w:tcPr>
            <w:tcW w:w="2112" w:type="pct"/>
            <w:shd w:val="clear" w:color="auto" w:fill="auto"/>
          </w:tcPr>
          <w:p w14:paraId="66DC9C67" w14:textId="77777777" w:rsidR="004D139E" w:rsidRDefault="004D139E" w:rsidP="004A05BA">
            <w:pPr>
              <w:spacing w:after="0"/>
              <w:jc w:val="left"/>
              <w:rPr>
                <w:sz w:val="18"/>
                <w:szCs w:val="18"/>
              </w:rPr>
            </w:pPr>
            <w:r>
              <w:rPr>
                <w:sz w:val="18"/>
                <w:szCs w:val="18"/>
              </w:rPr>
              <w:t>Európsky systém národných a regionálnych účtov</w:t>
            </w:r>
          </w:p>
        </w:tc>
        <w:tc>
          <w:tcPr>
            <w:tcW w:w="569" w:type="pct"/>
          </w:tcPr>
          <w:p w14:paraId="38691AA6" w14:textId="77777777" w:rsidR="004D139E" w:rsidRDefault="004D139E" w:rsidP="004A05BA">
            <w:pPr>
              <w:spacing w:after="0"/>
              <w:ind w:right="-12"/>
              <w:jc w:val="left"/>
              <w:rPr>
                <w:sz w:val="18"/>
                <w:szCs w:val="18"/>
              </w:rPr>
            </w:pPr>
            <w:r w:rsidRPr="00342619">
              <w:rPr>
                <w:color w:val="314364" w:themeColor="text2"/>
                <w:sz w:val="18"/>
                <w:szCs w:val="18"/>
              </w:rPr>
              <w:t>R</w:t>
            </w:r>
          </w:p>
        </w:tc>
        <w:tc>
          <w:tcPr>
            <w:tcW w:w="1778" w:type="pct"/>
          </w:tcPr>
          <w:p w14:paraId="3330161E" w14:textId="77777777" w:rsidR="004D139E" w:rsidRDefault="004D139E" w:rsidP="004A05BA">
            <w:pPr>
              <w:spacing w:after="0"/>
              <w:jc w:val="left"/>
              <w:rPr>
                <w:sz w:val="18"/>
                <w:szCs w:val="18"/>
              </w:rPr>
            </w:pPr>
            <w:r w:rsidRPr="00342619">
              <w:rPr>
                <w:sz w:val="18"/>
                <w:szCs w:val="18"/>
              </w:rPr>
              <w:t>rozpočet</w:t>
            </w:r>
          </w:p>
        </w:tc>
      </w:tr>
      <w:tr w:rsidR="004D139E" w:rsidRPr="00B52236" w14:paraId="60C9BA72" w14:textId="77777777" w:rsidTr="004A05BA">
        <w:trPr>
          <w:trHeight w:val="283"/>
          <w:jc w:val="center"/>
        </w:trPr>
        <w:tc>
          <w:tcPr>
            <w:tcW w:w="541" w:type="pct"/>
            <w:shd w:val="clear" w:color="auto" w:fill="auto"/>
          </w:tcPr>
          <w:p w14:paraId="1AFBEB12" w14:textId="77777777" w:rsidR="004D139E" w:rsidRPr="000353E9" w:rsidRDefault="004D139E" w:rsidP="004A05BA">
            <w:pPr>
              <w:spacing w:after="0"/>
              <w:ind w:right="-81"/>
              <w:jc w:val="left"/>
              <w:rPr>
                <w:color w:val="314364" w:themeColor="text2"/>
                <w:sz w:val="18"/>
                <w:szCs w:val="18"/>
              </w:rPr>
            </w:pPr>
            <w:r w:rsidRPr="000353E9">
              <w:rPr>
                <w:color w:val="314364" w:themeColor="text2"/>
                <w:sz w:val="18"/>
                <w:szCs w:val="18"/>
              </w:rPr>
              <w:t>ESO</w:t>
            </w:r>
          </w:p>
        </w:tc>
        <w:tc>
          <w:tcPr>
            <w:tcW w:w="2112" w:type="pct"/>
            <w:shd w:val="clear" w:color="auto" w:fill="auto"/>
          </w:tcPr>
          <w:p w14:paraId="4D75E4B5" w14:textId="77777777" w:rsidR="004D139E" w:rsidRDefault="004D139E" w:rsidP="004A05BA">
            <w:pPr>
              <w:spacing w:after="0"/>
              <w:jc w:val="left"/>
              <w:rPr>
                <w:sz w:val="18"/>
                <w:szCs w:val="18"/>
              </w:rPr>
            </w:pPr>
            <w:r>
              <w:rPr>
                <w:sz w:val="18"/>
                <w:szCs w:val="18"/>
              </w:rPr>
              <w:t>Efektívna, spoľahlivá a otvorená verejná správa</w:t>
            </w:r>
          </w:p>
        </w:tc>
        <w:tc>
          <w:tcPr>
            <w:tcW w:w="569" w:type="pct"/>
          </w:tcPr>
          <w:p w14:paraId="3ED3E56C" w14:textId="77777777" w:rsidR="004D139E" w:rsidRDefault="004D139E" w:rsidP="004A05BA">
            <w:pPr>
              <w:spacing w:after="0"/>
              <w:ind w:right="-12"/>
              <w:jc w:val="left"/>
              <w:rPr>
                <w:sz w:val="18"/>
                <w:szCs w:val="18"/>
              </w:rPr>
            </w:pPr>
            <w:r>
              <w:rPr>
                <w:color w:val="314364" w:themeColor="text2"/>
                <w:sz w:val="18"/>
                <w:szCs w:val="18"/>
              </w:rPr>
              <w:t>RIS</w:t>
            </w:r>
          </w:p>
        </w:tc>
        <w:tc>
          <w:tcPr>
            <w:tcW w:w="1778" w:type="pct"/>
          </w:tcPr>
          <w:p w14:paraId="621528C3" w14:textId="77777777" w:rsidR="004D139E" w:rsidRDefault="004D139E" w:rsidP="004A05BA">
            <w:pPr>
              <w:spacing w:after="0"/>
              <w:jc w:val="left"/>
              <w:rPr>
                <w:sz w:val="18"/>
                <w:szCs w:val="18"/>
              </w:rPr>
            </w:pPr>
            <w:r>
              <w:rPr>
                <w:sz w:val="18"/>
                <w:szCs w:val="18"/>
              </w:rPr>
              <w:t>Rozpočtový informačný systém</w:t>
            </w:r>
          </w:p>
        </w:tc>
      </w:tr>
      <w:tr w:rsidR="004D139E" w:rsidRPr="00B52236" w14:paraId="3F3AC06C" w14:textId="77777777" w:rsidTr="004A05BA">
        <w:trPr>
          <w:trHeight w:val="283"/>
          <w:jc w:val="center"/>
        </w:trPr>
        <w:tc>
          <w:tcPr>
            <w:tcW w:w="541" w:type="pct"/>
            <w:shd w:val="clear" w:color="auto" w:fill="auto"/>
          </w:tcPr>
          <w:p w14:paraId="3602A00D" w14:textId="77777777" w:rsidR="004D139E" w:rsidRPr="000353E9" w:rsidRDefault="004D139E" w:rsidP="004A05BA">
            <w:pPr>
              <w:spacing w:after="0"/>
              <w:ind w:right="-81"/>
              <w:jc w:val="left"/>
              <w:rPr>
                <w:color w:val="314364" w:themeColor="text2"/>
                <w:sz w:val="18"/>
                <w:szCs w:val="18"/>
              </w:rPr>
            </w:pPr>
            <w:r w:rsidRPr="000353E9">
              <w:rPr>
                <w:color w:val="314364" w:themeColor="text2"/>
                <w:sz w:val="18"/>
                <w:szCs w:val="18"/>
              </w:rPr>
              <w:t>EŠIF</w:t>
            </w:r>
          </w:p>
        </w:tc>
        <w:tc>
          <w:tcPr>
            <w:tcW w:w="2112" w:type="pct"/>
            <w:shd w:val="clear" w:color="auto" w:fill="auto"/>
          </w:tcPr>
          <w:p w14:paraId="1DC2D722" w14:textId="77777777" w:rsidR="004D139E" w:rsidRPr="00342619" w:rsidRDefault="004D139E" w:rsidP="004A05BA">
            <w:pPr>
              <w:spacing w:after="0"/>
              <w:jc w:val="left"/>
              <w:rPr>
                <w:sz w:val="18"/>
                <w:szCs w:val="18"/>
              </w:rPr>
            </w:pPr>
            <w:r>
              <w:rPr>
                <w:sz w:val="18"/>
                <w:szCs w:val="18"/>
              </w:rPr>
              <w:t>Európske štrukturálne a investičné fondy</w:t>
            </w:r>
          </w:p>
        </w:tc>
        <w:tc>
          <w:tcPr>
            <w:tcW w:w="569" w:type="pct"/>
          </w:tcPr>
          <w:p w14:paraId="56C406F8" w14:textId="77777777" w:rsidR="004D139E" w:rsidRPr="00342619" w:rsidRDefault="004D139E" w:rsidP="004A05BA">
            <w:pPr>
              <w:spacing w:after="0"/>
              <w:ind w:right="-12"/>
              <w:jc w:val="left"/>
              <w:rPr>
                <w:sz w:val="18"/>
                <w:szCs w:val="18"/>
              </w:rPr>
            </w:pPr>
            <w:r w:rsidRPr="00342619">
              <w:rPr>
                <w:color w:val="314364" w:themeColor="text2"/>
                <w:sz w:val="18"/>
                <w:szCs w:val="18"/>
              </w:rPr>
              <w:t>RO</w:t>
            </w:r>
          </w:p>
        </w:tc>
        <w:tc>
          <w:tcPr>
            <w:tcW w:w="1778" w:type="pct"/>
          </w:tcPr>
          <w:p w14:paraId="394C4D35" w14:textId="77777777" w:rsidR="004D139E" w:rsidRPr="00342619" w:rsidRDefault="004D139E" w:rsidP="004A05BA">
            <w:pPr>
              <w:spacing w:after="0"/>
              <w:jc w:val="left"/>
              <w:rPr>
                <w:sz w:val="18"/>
                <w:szCs w:val="18"/>
              </w:rPr>
            </w:pPr>
            <w:r w:rsidRPr="00342619">
              <w:rPr>
                <w:rFonts w:cs="Segoe UI"/>
                <w:color w:val="000000"/>
                <w:sz w:val="18"/>
                <w:szCs w:val="18"/>
              </w:rPr>
              <w:t>rozpočtová organizácia</w:t>
            </w:r>
          </w:p>
        </w:tc>
      </w:tr>
      <w:tr w:rsidR="004D139E" w:rsidRPr="00B52236" w14:paraId="138250D0" w14:textId="77777777" w:rsidTr="004A05BA">
        <w:trPr>
          <w:trHeight w:val="283"/>
          <w:jc w:val="center"/>
        </w:trPr>
        <w:tc>
          <w:tcPr>
            <w:tcW w:w="541" w:type="pct"/>
            <w:shd w:val="clear" w:color="auto" w:fill="auto"/>
          </w:tcPr>
          <w:p w14:paraId="4BF4C4BA" w14:textId="77777777" w:rsidR="004D139E" w:rsidRPr="000353E9" w:rsidRDefault="004D139E" w:rsidP="004A05BA">
            <w:pPr>
              <w:spacing w:after="0"/>
              <w:ind w:right="-81"/>
              <w:jc w:val="left"/>
              <w:rPr>
                <w:color w:val="314364" w:themeColor="text2"/>
                <w:sz w:val="18"/>
                <w:szCs w:val="18"/>
              </w:rPr>
            </w:pPr>
            <w:r w:rsidRPr="000353E9">
              <w:rPr>
                <w:color w:val="314364" w:themeColor="text2"/>
                <w:sz w:val="18"/>
                <w:szCs w:val="18"/>
              </w:rPr>
              <w:t>EÚ</w:t>
            </w:r>
          </w:p>
        </w:tc>
        <w:tc>
          <w:tcPr>
            <w:tcW w:w="2112" w:type="pct"/>
            <w:shd w:val="clear" w:color="auto" w:fill="auto"/>
          </w:tcPr>
          <w:p w14:paraId="082BF714" w14:textId="77777777" w:rsidR="004D139E" w:rsidRDefault="004D139E" w:rsidP="004A05BA">
            <w:pPr>
              <w:tabs>
                <w:tab w:val="left" w:pos="3360"/>
              </w:tabs>
              <w:spacing w:after="0"/>
              <w:jc w:val="left"/>
              <w:rPr>
                <w:sz w:val="18"/>
                <w:szCs w:val="18"/>
              </w:rPr>
            </w:pPr>
            <w:r w:rsidRPr="00342619">
              <w:rPr>
                <w:sz w:val="18"/>
                <w:szCs w:val="18"/>
              </w:rPr>
              <w:t>Európska únia</w:t>
            </w:r>
          </w:p>
        </w:tc>
        <w:tc>
          <w:tcPr>
            <w:tcW w:w="569" w:type="pct"/>
          </w:tcPr>
          <w:p w14:paraId="19B27623" w14:textId="77777777" w:rsidR="004D139E" w:rsidRDefault="004D139E" w:rsidP="004A05BA">
            <w:pPr>
              <w:tabs>
                <w:tab w:val="left" w:pos="3360"/>
              </w:tabs>
              <w:spacing w:after="0"/>
              <w:ind w:right="-12"/>
              <w:jc w:val="left"/>
              <w:rPr>
                <w:sz w:val="18"/>
                <w:szCs w:val="18"/>
              </w:rPr>
            </w:pPr>
            <w:r w:rsidRPr="00342619">
              <w:rPr>
                <w:color w:val="314364" w:themeColor="text2"/>
                <w:sz w:val="18"/>
                <w:szCs w:val="18"/>
              </w:rPr>
              <w:t>RRZ</w:t>
            </w:r>
          </w:p>
        </w:tc>
        <w:tc>
          <w:tcPr>
            <w:tcW w:w="1778" w:type="pct"/>
          </w:tcPr>
          <w:p w14:paraId="6E6AD535" w14:textId="77777777" w:rsidR="004D139E" w:rsidRDefault="004D139E" w:rsidP="004A05BA">
            <w:pPr>
              <w:tabs>
                <w:tab w:val="left" w:pos="3360"/>
              </w:tabs>
              <w:spacing w:after="0"/>
              <w:jc w:val="left"/>
              <w:rPr>
                <w:sz w:val="18"/>
                <w:szCs w:val="18"/>
              </w:rPr>
            </w:pPr>
            <w:r w:rsidRPr="00342619">
              <w:rPr>
                <w:rFonts w:cs="Segoe UI"/>
                <w:color w:val="000000"/>
                <w:sz w:val="18"/>
                <w:szCs w:val="18"/>
              </w:rPr>
              <w:t>Rada pre rozpočtovú zodpovednosť</w:t>
            </w:r>
          </w:p>
        </w:tc>
      </w:tr>
      <w:tr w:rsidR="004D139E" w:rsidRPr="00B52236" w14:paraId="2FED4EC0" w14:textId="77777777" w:rsidTr="004A05BA">
        <w:trPr>
          <w:trHeight w:val="283"/>
          <w:jc w:val="center"/>
        </w:trPr>
        <w:tc>
          <w:tcPr>
            <w:tcW w:w="541" w:type="pct"/>
            <w:shd w:val="clear" w:color="auto" w:fill="auto"/>
          </w:tcPr>
          <w:p w14:paraId="0962E719" w14:textId="77777777" w:rsidR="004D139E" w:rsidRPr="000353E9" w:rsidRDefault="004D139E" w:rsidP="004A05BA">
            <w:pPr>
              <w:spacing w:after="0"/>
              <w:ind w:right="-81"/>
              <w:jc w:val="left"/>
              <w:rPr>
                <w:color w:val="314364" w:themeColor="text2"/>
                <w:sz w:val="18"/>
                <w:szCs w:val="18"/>
              </w:rPr>
            </w:pPr>
            <w:r w:rsidRPr="000353E9">
              <w:rPr>
                <w:color w:val="314364" w:themeColor="text2"/>
                <w:sz w:val="18"/>
                <w:szCs w:val="18"/>
              </w:rPr>
              <w:t>EU SILC</w:t>
            </w:r>
          </w:p>
        </w:tc>
        <w:tc>
          <w:tcPr>
            <w:tcW w:w="2112" w:type="pct"/>
            <w:shd w:val="clear" w:color="auto" w:fill="auto"/>
          </w:tcPr>
          <w:p w14:paraId="32487204" w14:textId="77777777" w:rsidR="004D139E" w:rsidRDefault="004D139E" w:rsidP="004A05BA">
            <w:pPr>
              <w:spacing w:after="0"/>
              <w:jc w:val="left"/>
              <w:rPr>
                <w:sz w:val="18"/>
                <w:szCs w:val="18"/>
              </w:rPr>
            </w:pPr>
            <w:r>
              <w:rPr>
                <w:sz w:val="18"/>
                <w:szCs w:val="18"/>
              </w:rPr>
              <w:t>Štatistika Európskej únie o príjmoch a životných podmienkach</w:t>
            </w:r>
          </w:p>
        </w:tc>
        <w:tc>
          <w:tcPr>
            <w:tcW w:w="569" w:type="pct"/>
          </w:tcPr>
          <w:p w14:paraId="204AC551" w14:textId="77777777" w:rsidR="004D139E" w:rsidRDefault="004D139E" w:rsidP="004A05BA">
            <w:pPr>
              <w:spacing w:after="0"/>
              <w:ind w:right="-12"/>
              <w:jc w:val="left"/>
              <w:rPr>
                <w:sz w:val="18"/>
                <w:szCs w:val="18"/>
              </w:rPr>
            </w:pPr>
            <w:r w:rsidRPr="00342619">
              <w:rPr>
                <w:color w:val="314364" w:themeColor="text2"/>
                <w:sz w:val="18"/>
                <w:szCs w:val="18"/>
              </w:rPr>
              <w:t>RVS</w:t>
            </w:r>
          </w:p>
        </w:tc>
        <w:tc>
          <w:tcPr>
            <w:tcW w:w="1778" w:type="pct"/>
          </w:tcPr>
          <w:p w14:paraId="6F80814D" w14:textId="77777777" w:rsidR="004D139E" w:rsidRDefault="004D139E" w:rsidP="004A05BA">
            <w:pPr>
              <w:spacing w:after="0"/>
              <w:jc w:val="left"/>
              <w:rPr>
                <w:sz w:val="18"/>
                <w:szCs w:val="18"/>
              </w:rPr>
            </w:pPr>
            <w:r w:rsidRPr="00342619">
              <w:rPr>
                <w:sz w:val="18"/>
                <w:szCs w:val="18"/>
              </w:rPr>
              <w:t>rozpočet verejnej správy</w:t>
            </w:r>
          </w:p>
        </w:tc>
      </w:tr>
      <w:tr w:rsidR="004D139E" w:rsidRPr="00B52236" w14:paraId="75E72988" w14:textId="77777777" w:rsidTr="004A05BA">
        <w:trPr>
          <w:trHeight w:val="283"/>
          <w:jc w:val="center"/>
        </w:trPr>
        <w:tc>
          <w:tcPr>
            <w:tcW w:w="541" w:type="pct"/>
            <w:shd w:val="clear" w:color="auto" w:fill="auto"/>
          </w:tcPr>
          <w:p w14:paraId="3DF2E541" w14:textId="77777777" w:rsidR="004D139E" w:rsidRPr="000353E9" w:rsidRDefault="004D139E" w:rsidP="004A05BA">
            <w:pPr>
              <w:spacing w:after="0"/>
              <w:ind w:right="-81"/>
              <w:jc w:val="left"/>
              <w:rPr>
                <w:color w:val="314364" w:themeColor="text2"/>
                <w:sz w:val="18"/>
                <w:szCs w:val="18"/>
              </w:rPr>
            </w:pPr>
            <w:r w:rsidRPr="000353E9">
              <w:rPr>
                <w:color w:val="314364" w:themeColor="text2"/>
                <w:sz w:val="18"/>
                <w:szCs w:val="18"/>
              </w:rPr>
              <w:t xml:space="preserve">EÚS </w:t>
            </w:r>
          </w:p>
        </w:tc>
        <w:tc>
          <w:tcPr>
            <w:tcW w:w="2112" w:type="pct"/>
            <w:shd w:val="clear" w:color="auto" w:fill="auto"/>
          </w:tcPr>
          <w:p w14:paraId="2A51CFB9" w14:textId="77777777" w:rsidR="004D139E" w:rsidRPr="00342619" w:rsidRDefault="004D139E" w:rsidP="004A05BA">
            <w:pPr>
              <w:spacing w:after="0"/>
              <w:jc w:val="left"/>
              <w:rPr>
                <w:sz w:val="18"/>
                <w:szCs w:val="18"/>
              </w:rPr>
            </w:pPr>
            <w:r>
              <w:rPr>
                <w:sz w:val="18"/>
                <w:szCs w:val="18"/>
              </w:rPr>
              <w:t>európska územná spolupráca</w:t>
            </w:r>
          </w:p>
        </w:tc>
        <w:tc>
          <w:tcPr>
            <w:tcW w:w="569" w:type="pct"/>
          </w:tcPr>
          <w:p w14:paraId="1F9AAF45" w14:textId="77777777" w:rsidR="004D139E" w:rsidRPr="00342619" w:rsidRDefault="004D139E" w:rsidP="004A05BA">
            <w:pPr>
              <w:spacing w:after="0"/>
              <w:ind w:right="-12"/>
              <w:jc w:val="left"/>
              <w:rPr>
                <w:sz w:val="18"/>
                <w:szCs w:val="18"/>
              </w:rPr>
            </w:pPr>
            <w:r w:rsidRPr="00342619">
              <w:rPr>
                <w:color w:val="314364" w:themeColor="text2"/>
                <w:sz w:val="18"/>
                <w:szCs w:val="18"/>
              </w:rPr>
              <w:t>S</w:t>
            </w:r>
          </w:p>
        </w:tc>
        <w:tc>
          <w:tcPr>
            <w:tcW w:w="1778" w:type="pct"/>
          </w:tcPr>
          <w:p w14:paraId="0C42B35A" w14:textId="77777777" w:rsidR="004D139E" w:rsidRPr="00342619" w:rsidRDefault="004D139E" w:rsidP="004A05BA">
            <w:pPr>
              <w:spacing w:after="0"/>
              <w:jc w:val="left"/>
              <w:rPr>
                <w:sz w:val="18"/>
                <w:szCs w:val="18"/>
              </w:rPr>
            </w:pPr>
            <w:r w:rsidRPr="00342619">
              <w:rPr>
                <w:sz w:val="18"/>
                <w:szCs w:val="18"/>
              </w:rPr>
              <w:t>skutočnosť</w:t>
            </w:r>
          </w:p>
        </w:tc>
      </w:tr>
      <w:tr w:rsidR="004D139E" w:rsidRPr="00B52236" w14:paraId="0422C7D8" w14:textId="77777777" w:rsidTr="004A05BA">
        <w:trPr>
          <w:trHeight w:val="283"/>
          <w:jc w:val="center"/>
        </w:trPr>
        <w:tc>
          <w:tcPr>
            <w:tcW w:w="541" w:type="pct"/>
            <w:shd w:val="clear" w:color="auto" w:fill="auto"/>
          </w:tcPr>
          <w:p w14:paraId="40313C32" w14:textId="77777777" w:rsidR="004D139E" w:rsidRPr="000353E9" w:rsidRDefault="004D139E" w:rsidP="004A05BA">
            <w:pPr>
              <w:spacing w:after="0"/>
              <w:ind w:right="-81"/>
              <w:jc w:val="left"/>
              <w:rPr>
                <w:color w:val="314364" w:themeColor="text2"/>
                <w:sz w:val="18"/>
                <w:szCs w:val="18"/>
              </w:rPr>
            </w:pPr>
            <w:r w:rsidRPr="000353E9">
              <w:rPr>
                <w:color w:val="314364" w:themeColor="text2"/>
                <w:sz w:val="18"/>
                <w:szCs w:val="18"/>
              </w:rPr>
              <w:t>HDP</w:t>
            </w:r>
          </w:p>
        </w:tc>
        <w:tc>
          <w:tcPr>
            <w:tcW w:w="2112" w:type="pct"/>
            <w:shd w:val="clear" w:color="auto" w:fill="auto"/>
          </w:tcPr>
          <w:p w14:paraId="3BDF1252" w14:textId="77777777" w:rsidR="004D139E" w:rsidRPr="00342619" w:rsidRDefault="004D139E" w:rsidP="004A05BA">
            <w:pPr>
              <w:spacing w:after="0"/>
              <w:jc w:val="left"/>
              <w:rPr>
                <w:sz w:val="18"/>
                <w:szCs w:val="18"/>
              </w:rPr>
            </w:pPr>
            <w:r w:rsidRPr="00342619">
              <w:rPr>
                <w:sz w:val="18"/>
                <w:szCs w:val="18"/>
              </w:rPr>
              <w:t>hrubý domáci produkt</w:t>
            </w:r>
          </w:p>
        </w:tc>
        <w:tc>
          <w:tcPr>
            <w:tcW w:w="569" w:type="pct"/>
          </w:tcPr>
          <w:p w14:paraId="77CEAA8E" w14:textId="77777777" w:rsidR="004D139E" w:rsidRPr="00342619" w:rsidRDefault="004D139E" w:rsidP="004A05BA">
            <w:pPr>
              <w:spacing w:after="0"/>
              <w:ind w:right="-12"/>
              <w:jc w:val="left"/>
              <w:rPr>
                <w:sz w:val="18"/>
                <w:szCs w:val="18"/>
              </w:rPr>
            </w:pPr>
            <w:r>
              <w:rPr>
                <w:color w:val="314364" w:themeColor="text2"/>
                <w:sz w:val="18"/>
                <w:szCs w:val="18"/>
              </w:rPr>
              <w:t>SP</w:t>
            </w:r>
          </w:p>
        </w:tc>
        <w:tc>
          <w:tcPr>
            <w:tcW w:w="1778" w:type="pct"/>
          </w:tcPr>
          <w:p w14:paraId="4E71F076" w14:textId="77777777" w:rsidR="004D139E" w:rsidRPr="00342619" w:rsidRDefault="004D139E" w:rsidP="004A05BA">
            <w:pPr>
              <w:spacing w:after="0"/>
              <w:jc w:val="left"/>
              <w:rPr>
                <w:sz w:val="18"/>
                <w:szCs w:val="18"/>
              </w:rPr>
            </w:pPr>
            <w:r>
              <w:rPr>
                <w:sz w:val="18"/>
                <w:szCs w:val="18"/>
              </w:rPr>
              <w:t>Sociálna poisťovňa</w:t>
            </w:r>
          </w:p>
        </w:tc>
      </w:tr>
      <w:tr w:rsidR="004D139E" w:rsidRPr="00B52236" w14:paraId="51DCABAC" w14:textId="77777777" w:rsidTr="004A05BA">
        <w:trPr>
          <w:trHeight w:val="283"/>
          <w:jc w:val="center"/>
        </w:trPr>
        <w:tc>
          <w:tcPr>
            <w:tcW w:w="541" w:type="pct"/>
            <w:shd w:val="clear" w:color="auto" w:fill="auto"/>
          </w:tcPr>
          <w:p w14:paraId="45596F4D" w14:textId="77777777" w:rsidR="004D139E" w:rsidRPr="000353E9" w:rsidRDefault="004D139E" w:rsidP="004A05BA">
            <w:pPr>
              <w:spacing w:after="0"/>
              <w:ind w:right="-81"/>
              <w:jc w:val="left"/>
              <w:rPr>
                <w:color w:val="314364" w:themeColor="text2"/>
                <w:sz w:val="18"/>
                <w:szCs w:val="18"/>
              </w:rPr>
            </w:pPr>
            <w:r w:rsidRPr="000353E9">
              <w:rPr>
                <w:color w:val="314364" w:themeColor="text2"/>
                <w:sz w:val="18"/>
                <w:szCs w:val="18"/>
              </w:rPr>
              <w:t>IFP</w:t>
            </w:r>
          </w:p>
        </w:tc>
        <w:tc>
          <w:tcPr>
            <w:tcW w:w="2112" w:type="pct"/>
            <w:shd w:val="clear" w:color="auto" w:fill="auto"/>
          </w:tcPr>
          <w:p w14:paraId="130FC1E7" w14:textId="77777777" w:rsidR="004D139E" w:rsidRPr="00342619" w:rsidRDefault="004D139E" w:rsidP="004A05BA">
            <w:pPr>
              <w:spacing w:after="0"/>
              <w:jc w:val="left"/>
              <w:rPr>
                <w:sz w:val="18"/>
                <w:szCs w:val="18"/>
              </w:rPr>
            </w:pPr>
            <w:r w:rsidRPr="00342619">
              <w:rPr>
                <w:sz w:val="18"/>
                <w:szCs w:val="18"/>
              </w:rPr>
              <w:t>Inštitút finančnej politiky</w:t>
            </w:r>
          </w:p>
        </w:tc>
        <w:tc>
          <w:tcPr>
            <w:tcW w:w="569" w:type="pct"/>
          </w:tcPr>
          <w:p w14:paraId="5E8E8818" w14:textId="77777777" w:rsidR="004D139E" w:rsidRDefault="004D139E" w:rsidP="004A05BA">
            <w:pPr>
              <w:spacing w:after="0"/>
              <w:ind w:right="-12"/>
              <w:jc w:val="left"/>
              <w:rPr>
                <w:sz w:val="18"/>
                <w:szCs w:val="18"/>
              </w:rPr>
            </w:pPr>
            <w:r>
              <w:rPr>
                <w:color w:val="314364" w:themeColor="text2"/>
                <w:sz w:val="18"/>
                <w:szCs w:val="18"/>
              </w:rPr>
              <w:t>SPP</w:t>
            </w:r>
          </w:p>
        </w:tc>
        <w:tc>
          <w:tcPr>
            <w:tcW w:w="1778" w:type="pct"/>
          </w:tcPr>
          <w:p w14:paraId="1D07DE02" w14:textId="77777777" w:rsidR="004D139E" w:rsidRDefault="004D139E" w:rsidP="004A05BA">
            <w:pPr>
              <w:spacing w:after="0"/>
              <w:ind w:right="-72"/>
              <w:jc w:val="left"/>
              <w:rPr>
                <w:sz w:val="18"/>
                <w:szCs w:val="18"/>
              </w:rPr>
            </w:pPr>
            <w:r>
              <w:rPr>
                <w:sz w:val="18"/>
                <w:szCs w:val="18"/>
              </w:rPr>
              <w:t>Slovenský plynárenský priemysel, a. s.</w:t>
            </w:r>
          </w:p>
        </w:tc>
      </w:tr>
      <w:tr w:rsidR="004D139E" w:rsidRPr="00B52236" w14:paraId="0133F731" w14:textId="77777777" w:rsidTr="004A05BA">
        <w:trPr>
          <w:trHeight w:val="283"/>
          <w:jc w:val="center"/>
        </w:trPr>
        <w:tc>
          <w:tcPr>
            <w:tcW w:w="541" w:type="pct"/>
            <w:shd w:val="clear" w:color="auto" w:fill="auto"/>
          </w:tcPr>
          <w:p w14:paraId="19B2C120" w14:textId="77777777" w:rsidR="004D139E" w:rsidRPr="000353E9" w:rsidRDefault="004D139E" w:rsidP="004A05BA">
            <w:pPr>
              <w:spacing w:after="0"/>
              <w:ind w:right="-81"/>
              <w:jc w:val="left"/>
              <w:rPr>
                <w:color w:val="314364" w:themeColor="text2"/>
                <w:sz w:val="18"/>
                <w:szCs w:val="18"/>
              </w:rPr>
            </w:pPr>
            <w:r w:rsidRPr="000353E9">
              <w:rPr>
                <w:color w:val="314364" w:themeColor="text2"/>
                <w:sz w:val="18"/>
                <w:szCs w:val="18"/>
              </w:rPr>
              <w:t>IT</w:t>
            </w:r>
          </w:p>
        </w:tc>
        <w:tc>
          <w:tcPr>
            <w:tcW w:w="2112" w:type="pct"/>
            <w:shd w:val="clear" w:color="auto" w:fill="auto"/>
          </w:tcPr>
          <w:p w14:paraId="79A7A1B8" w14:textId="77777777" w:rsidR="004D139E" w:rsidRDefault="004D139E" w:rsidP="004A05BA">
            <w:pPr>
              <w:tabs>
                <w:tab w:val="left" w:pos="3360"/>
              </w:tabs>
              <w:spacing w:after="0"/>
              <w:jc w:val="left"/>
              <w:rPr>
                <w:sz w:val="18"/>
                <w:szCs w:val="18"/>
              </w:rPr>
            </w:pPr>
            <w:r>
              <w:rPr>
                <w:sz w:val="18"/>
                <w:szCs w:val="18"/>
              </w:rPr>
              <w:t>informačné technológie</w:t>
            </w:r>
          </w:p>
        </w:tc>
        <w:tc>
          <w:tcPr>
            <w:tcW w:w="569" w:type="pct"/>
          </w:tcPr>
          <w:p w14:paraId="2EF3F96B" w14:textId="77777777" w:rsidR="004D139E" w:rsidRDefault="004D139E" w:rsidP="004A05BA">
            <w:pPr>
              <w:tabs>
                <w:tab w:val="left" w:pos="3360"/>
              </w:tabs>
              <w:spacing w:after="0"/>
              <w:ind w:right="-12"/>
              <w:jc w:val="left"/>
              <w:rPr>
                <w:sz w:val="18"/>
                <w:szCs w:val="18"/>
              </w:rPr>
            </w:pPr>
            <w:r w:rsidRPr="00342619">
              <w:rPr>
                <w:color w:val="314364" w:themeColor="text2"/>
                <w:sz w:val="18"/>
                <w:szCs w:val="18"/>
              </w:rPr>
              <w:t>SR</w:t>
            </w:r>
          </w:p>
        </w:tc>
        <w:tc>
          <w:tcPr>
            <w:tcW w:w="1778" w:type="pct"/>
          </w:tcPr>
          <w:p w14:paraId="60B45529" w14:textId="77777777" w:rsidR="004D139E" w:rsidRDefault="004D139E" w:rsidP="004A05BA">
            <w:pPr>
              <w:tabs>
                <w:tab w:val="left" w:pos="3360"/>
              </w:tabs>
              <w:spacing w:after="0"/>
              <w:jc w:val="left"/>
              <w:rPr>
                <w:sz w:val="18"/>
                <w:szCs w:val="18"/>
              </w:rPr>
            </w:pPr>
            <w:r w:rsidRPr="00342619">
              <w:rPr>
                <w:sz w:val="18"/>
                <w:szCs w:val="18"/>
              </w:rPr>
              <w:t>Slovenská republika</w:t>
            </w:r>
          </w:p>
        </w:tc>
      </w:tr>
      <w:tr w:rsidR="004D139E" w:rsidRPr="00B52236" w14:paraId="4D95488A" w14:textId="77777777" w:rsidTr="004A05BA">
        <w:trPr>
          <w:trHeight w:val="283"/>
          <w:jc w:val="center"/>
        </w:trPr>
        <w:tc>
          <w:tcPr>
            <w:tcW w:w="541" w:type="pct"/>
            <w:shd w:val="clear" w:color="auto" w:fill="auto"/>
          </w:tcPr>
          <w:p w14:paraId="419EB87D" w14:textId="77777777" w:rsidR="004D139E" w:rsidRPr="000353E9" w:rsidRDefault="004D139E" w:rsidP="004A05BA">
            <w:pPr>
              <w:spacing w:after="0"/>
              <w:ind w:right="-81"/>
              <w:jc w:val="left"/>
              <w:rPr>
                <w:color w:val="314364" w:themeColor="text2"/>
                <w:sz w:val="18"/>
                <w:szCs w:val="18"/>
              </w:rPr>
            </w:pPr>
            <w:r w:rsidRPr="000353E9">
              <w:rPr>
                <w:color w:val="314364" w:themeColor="text2"/>
                <w:sz w:val="18"/>
                <w:szCs w:val="18"/>
              </w:rPr>
              <w:t>IVP</w:t>
            </w:r>
          </w:p>
        </w:tc>
        <w:tc>
          <w:tcPr>
            <w:tcW w:w="2112" w:type="pct"/>
            <w:shd w:val="clear" w:color="auto" w:fill="auto"/>
          </w:tcPr>
          <w:p w14:paraId="01187B44" w14:textId="77777777" w:rsidR="004D139E" w:rsidRPr="00342619" w:rsidRDefault="004D139E" w:rsidP="004A05BA">
            <w:pPr>
              <w:spacing w:after="0"/>
              <w:jc w:val="left"/>
              <w:rPr>
                <w:sz w:val="18"/>
                <w:szCs w:val="18"/>
              </w:rPr>
            </w:pPr>
            <w:r>
              <w:rPr>
                <w:sz w:val="18"/>
                <w:szCs w:val="18"/>
              </w:rPr>
              <w:t>Inštitút vzdelávacej politiky</w:t>
            </w:r>
          </w:p>
        </w:tc>
        <w:tc>
          <w:tcPr>
            <w:tcW w:w="569" w:type="pct"/>
          </w:tcPr>
          <w:p w14:paraId="233D9534" w14:textId="77777777" w:rsidR="004D139E" w:rsidRPr="00342619" w:rsidRDefault="004D139E" w:rsidP="004A05BA">
            <w:pPr>
              <w:spacing w:after="0"/>
              <w:ind w:right="-12"/>
              <w:jc w:val="left"/>
              <w:rPr>
                <w:sz w:val="18"/>
                <w:szCs w:val="18"/>
              </w:rPr>
            </w:pPr>
            <w:r w:rsidRPr="00342619">
              <w:rPr>
                <w:color w:val="314364" w:themeColor="text2"/>
                <w:sz w:val="18"/>
                <w:szCs w:val="18"/>
              </w:rPr>
              <w:t>S</w:t>
            </w:r>
            <w:r>
              <w:rPr>
                <w:color w:val="314364" w:themeColor="text2"/>
                <w:sz w:val="18"/>
                <w:szCs w:val="18"/>
              </w:rPr>
              <w:t>VP š. p.</w:t>
            </w:r>
          </w:p>
        </w:tc>
        <w:tc>
          <w:tcPr>
            <w:tcW w:w="1778" w:type="pct"/>
          </w:tcPr>
          <w:p w14:paraId="0C91B9E5" w14:textId="77777777" w:rsidR="004D139E" w:rsidRPr="00342619" w:rsidRDefault="004D139E" w:rsidP="004A05BA">
            <w:pPr>
              <w:spacing w:after="0"/>
              <w:ind w:right="-210"/>
              <w:jc w:val="left"/>
              <w:rPr>
                <w:sz w:val="18"/>
                <w:szCs w:val="18"/>
              </w:rPr>
            </w:pPr>
            <w:r w:rsidRPr="00083C54">
              <w:rPr>
                <w:sz w:val="18"/>
                <w:szCs w:val="18"/>
              </w:rPr>
              <w:t>Slovenský vodohospodársky podnik š.</w:t>
            </w:r>
            <w:r>
              <w:rPr>
                <w:sz w:val="18"/>
                <w:szCs w:val="18"/>
              </w:rPr>
              <w:t xml:space="preserve"> </w:t>
            </w:r>
            <w:r w:rsidRPr="00083C54">
              <w:rPr>
                <w:sz w:val="18"/>
                <w:szCs w:val="18"/>
              </w:rPr>
              <w:t>p.</w:t>
            </w:r>
          </w:p>
        </w:tc>
      </w:tr>
      <w:tr w:rsidR="004D139E" w:rsidRPr="00B52236" w14:paraId="4906F558" w14:textId="77777777" w:rsidTr="004A05BA">
        <w:trPr>
          <w:trHeight w:val="283"/>
          <w:jc w:val="center"/>
        </w:trPr>
        <w:tc>
          <w:tcPr>
            <w:tcW w:w="541" w:type="pct"/>
            <w:shd w:val="clear" w:color="auto" w:fill="auto"/>
          </w:tcPr>
          <w:p w14:paraId="730CBD1E" w14:textId="77777777" w:rsidR="004D139E" w:rsidRPr="000353E9" w:rsidRDefault="004D139E" w:rsidP="004A05BA">
            <w:pPr>
              <w:spacing w:after="0"/>
              <w:ind w:right="-81"/>
              <w:jc w:val="left"/>
              <w:rPr>
                <w:color w:val="314364" w:themeColor="text2"/>
                <w:sz w:val="18"/>
                <w:szCs w:val="18"/>
              </w:rPr>
            </w:pPr>
            <w:r w:rsidRPr="000353E9">
              <w:rPr>
                <w:color w:val="314364" w:themeColor="text2"/>
                <w:sz w:val="18"/>
                <w:szCs w:val="18"/>
              </w:rPr>
              <w:t>LVV</w:t>
            </w:r>
          </w:p>
        </w:tc>
        <w:tc>
          <w:tcPr>
            <w:tcW w:w="2112" w:type="pct"/>
            <w:shd w:val="clear" w:color="auto" w:fill="auto"/>
          </w:tcPr>
          <w:p w14:paraId="4AC02E78" w14:textId="77777777" w:rsidR="004D139E" w:rsidRPr="00342619" w:rsidRDefault="004D139E" w:rsidP="004A05BA">
            <w:pPr>
              <w:spacing w:after="0"/>
              <w:jc w:val="left"/>
              <w:rPr>
                <w:sz w:val="18"/>
                <w:szCs w:val="18"/>
              </w:rPr>
            </w:pPr>
            <w:r w:rsidRPr="00342619">
              <w:rPr>
                <w:sz w:val="18"/>
                <w:szCs w:val="18"/>
              </w:rPr>
              <w:t>limit verejných výdavkov</w:t>
            </w:r>
          </w:p>
        </w:tc>
        <w:tc>
          <w:tcPr>
            <w:tcW w:w="569" w:type="pct"/>
          </w:tcPr>
          <w:p w14:paraId="49C39420" w14:textId="77777777" w:rsidR="004D139E" w:rsidRPr="00342619" w:rsidRDefault="004D139E" w:rsidP="004A05BA">
            <w:pPr>
              <w:spacing w:after="0"/>
              <w:ind w:right="-12"/>
              <w:jc w:val="left"/>
              <w:rPr>
                <w:sz w:val="18"/>
                <w:szCs w:val="18"/>
              </w:rPr>
            </w:pPr>
            <w:r>
              <w:rPr>
                <w:color w:val="314364" w:themeColor="text2"/>
                <w:sz w:val="18"/>
                <w:szCs w:val="18"/>
              </w:rPr>
              <w:t>SZČO</w:t>
            </w:r>
          </w:p>
        </w:tc>
        <w:tc>
          <w:tcPr>
            <w:tcW w:w="1778" w:type="pct"/>
          </w:tcPr>
          <w:p w14:paraId="6F1663FE" w14:textId="77777777" w:rsidR="004D139E" w:rsidRPr="00342619" w:rsidRDefault="004D139E" w:rsidP="004A05BA">
            <w:pPr>
              <w:spacing w:after="0"/>
              <w:jc w:val="left"/>
              <w:rPr>
                <w:sz w:val="18"/>
                <w:szCs w:val="18"/>
              </w:rPr>
            </w:pPr>
            <w:r>
              <w:rPr>
                <w:sz w:val="18"/>
                <w:szCs w:val="18"/>
              </w:rPr>
              <w:t>samostatne zárobkovo činná osoba</w:t>
            </w:r>
          </w:p>
        </w:tc>
      </w:tr>
      <w:tr w:rsidR="004D139E" w:rsidRPr="00B52236" w14:paraId="473D111C" w14:textId="77777777" w:rsidTr="004A05BA">
        <w:trPr>
          <w:trHeight w:val="283"/>
          <w:jc w:val="center"/>
        </w:trPr>
        <w:tc>
          <w:tcPr>
            <w:tcW w:w="541" w:type="pct"/>
            <w:shd w:val="clear" w:color="auto" w:fill="auto"/>
          </w:tcPr>
          <w:p w14:paraId="2AFF045E" w14:textId="77777777" w:rsidR="004D139E" w:rsidRPr="000353E9" w:rsidRDefault="004D139E" w:rsidP="004A05BA">
            <w:pPr>
              <w:spacing w:after="0"/>
              <w:ind w:right="-81"/>
              <w:jc w:val="left"/>
              <w:rPr>
                <w:color w:val="314364" w:themeColor="text2"/>
                <w:sz w:val="18"/>
                <w:szCs w:val="18"/>
              </w:rPr>
            </w:pPr>
            <w:r w:rsidRPr="000353E9">
              <w:rPr>
                <w:color w:val="314364" w:themeColor="text2"/>
                <w:sz w:val="18"/>
                <w:szCs w:val="18"/>
              </w:rPr>
              <w:t>MD SR</w:t>
            </w:r>
          </w:p>
        </w:tc>
        <w:tc>
          <w:tcPr>
            <w:tcW w:w="2112" w:type="pct"/>
            <w:shd w:val="clear" w:color="auto" w:fill="auto"/>
          </w:tcPr>
          <w:p w14:paraId="145743FF" w14:textId="77777777" w:rsidR="004D139E" w:rsidRPr="00342619" w:rsidRDefault="004D139E" w:rsidP="004A05BA">
            <w:pPr>
              <w:spacing w:after="0"/>
              <w:jc w:val="left"/>
              <w:rPr>
                <w:sz w:val="18"/>
                <w:szCs w:val="18"/>
              </w:rPr>
            </w:pPr>
            <w:r w:rsidRPr="00342619">
              <w:rPr>
                <w:sz w:val="18"/>
                <w:szCs w:val="18"/>
              </w:rPr>
              <w:t xml:space="preserve">Ministerstvo dopravy </w:t>
            </w:r>
            <w:r>
              <w:rPr>
                <w:sz w:val="18"/>
                <w:szCs w:val="18"/>
              </w:rPr>
              <w:t>SR</w:t>
            </w:r>
          </w:p>
        </w:tc>
        <w:tc>
          <w:tcPr>
            <w:tcW w:w="569" w:type="pct"/>
          </w:tcPr>
          <w:p w14:paraId="72D849CD" w14:textId="77777777" w:rsidR="004D139E" w:rsidRPr="00342619" w:rsidRDefault="004D139E" w:rsidP="004A05BA">
            <w:pPr>
              <w:spacing w:after="0"/>
              <w:ind w:right="-12"/>
              <w:jc w:val="left"/>
              <w:rPr>
                <w:sz w:val="18"/>
                <w:szCs w:val="18"/>
              </w:rPr>
            </w:pPr>
            <w:r>
              <w:rPr>
                <w:color w:val="314364" w:themeColor="text2"/>
                <w:sz w:val="18"/>
                <w:szCs w:val="18"/>
              </w:rPr>
              <w:t xml:space="preserve">š. p. </w:t>
            </w:r>
          </w:p>
        </w:tc>
        <w:tc>
          <w:tcPr>
            <w:tcW w:w="1778" w:type="pct"/>
          </w:tcPr>
          <w:p w14:paraId="6E943834" w14:textId="77777777" w:rsidR="004D139E" w:rsidRPr="00342619" w:rsidRDefault="004D139E" w:rsidP="004A05BA">
            <w:pPr>
              <w:spacing w:after="0"/>
              <w:jc w:val="left"/>
              <w:rPr>
                <w:sz w:val="18"/>
                <w:szCs w:val="18"/>
              </w:rPr>
            </w:pPr>
            <w:r w:rsidRPr="00342619">
              <w:rPr>
                <w:sz w:val="18"/>
                <w:szCs w:val="18"/>
              </w:rPr>
              <w:t xml:space="preserve">štátny </w:t>
            </w:r>
            <w:r>
              <w:rPr>
                <w:sz w:val="18"/>
                <w:szCs w:val="18"/>
              </w:rPr>
              <w:t>podnik</w:t>
            </w:r>
          </w:p>
        </w:tc>
      </w:tr>
      <w:tr w:rsidR="004D139E" w:rsidRPr="00B52236" w14:paraId="4FCD300C" w14:textId="77777777" w:rsidTr="004A05BA">
        <w:trPr>
          <w:trHeight w:val="283"/>
          <w:jc w:val="center"/>
        </w:trPr>
        <w:tc>
          <w:tcPr>
            <w:tcW w:w="541" w:type="pct"/>
            <w:shd w:val="clear" w:color="auto" w:fill="auto"/>
          </w:tcPr>
          <w:p w14:paraId="0CC64082" w14:textId="77777777" w:rsidR="004D139E" w:rsidRPr="000353E9" w:rsidRDefault="004D139E" w:rsidP="004A05BA">
            <w:pPr>
              <w:spacing w:after="0"/>
              <w:ind w:right="-81"/>
              <w:jc w:val="left"/>
              <w:rPr>
                <w:color w:val="314364" w:themeColor="text2"/>
                <w:sz w:val="18"/>
                <w:szCs w:val="18"/>
              </w:rPr>
            </w:pPr>
            <w:r w:rsidRPr="000353E9">
              <w:rPr>
                <w:color w:val="314364" w:themeColor="text2"/>
                <w:sz w:val="18"/>
                <w:szCs w:val="18"/>
              </w:rPr>
              <w:t>MF SR</w:t>
            </w:r>
          </w:p>
        </w:tc>
        <w:tc>
          <w:tcPr>
            <w:tcW w:w="2112" w:type="pct"/>
            <w:shd w:val="clear" w:color="auto" w:fill="auto"/>
          </w:tcPr>
          <w:p w14:paraId="2CA56CD5" w14:textId="77777777" w:rsidR="004D139E" w:rsidRPr="00342619" w:rsidRDefault="004D139E" w:rsidP="004A05BA">
            <w:pPr>
              <w:spacing w:after="0"/>
              <w:jc w:val="left"/>
              <w:rPr>
                <w:sz w:val="18"/>
                <w:szCs w:val="18"/>
              </w:rPr>
            </w:pPr>
            <w:r w:rsidRPr="00342619">
              <w:rPr>
                <w:sz w:val="18"/>
                <w:szCs w:val="18"/>
              </w:rPr>
              <w:t xml:space="preserve">Ministerstvo financií </w:t>
            </w:r>
            <w:r>
              <w:rPr>
                <w:sz w:val="18"/>
                <w:szCs w:val="18"/>
              </w:rPr>
              <w:t>SR</w:t>
            </w:r>
          </w:p>
        </w:tc>
        <w:tc>
          <w:tcPr>
            <w:tcW w:w="569" w:type="pct"/>
          </w:tcPr>
          <w:p w14:paraId="614CE44B" w14:textId="77777777" w:rsidR="004D139E" w:rsidRPr="00342619" w:rsidRDefault="004D139E" w:rsidP="004A05BA">
            <w:pPr>
              <w:spacing w:after="0"/>
              <w:ind w:right="-12"/>
              <w:jc w:val="left"/>
              <w:rPr>
                <w:sz w:val="18"/>
                <w:szCs w:val="18"/>
              </w:rPr>
            </w:pPr>
            <w:r w:rsidRPr="00342619">
              <w:rPr>
                <w:color w:val="314364" w:themeColor="text2"/>
                <w:sz w:val="18"/>
                <w:szCs w:val="18"/>
              </w:rPr>
              <w:t>ŠR</w:t>
            </w:r>
          </w:p>
        </w:tc>
        <w:tc>
          <w:tcPr>
            <w:tcW w:w="1778" w:type="pct"/>
          </w:tcPr>
          <w:p w14:paraId="5DDF04EF" w14:textId="77777777" w:rsidR="004D139E" w:rsidRPr="00342619" w:rsidRDefault="004D139E" w:rsidP="004A05BA">
            <w:pPr>
              <w:spacing w:after="0"/>
              <w:jc w:val="left"/>
              <w:rPr>
                <w:sz w:val="18"/>
                <w:szCs w:val="18"/>
              </w:rPr>
            </w:pPr>
            <w:r w:rsidRPr="00342619">
              <w:rPr>
                <w:sz w:val="18"/>
                <w:szCs w:val="18"/>
              </w:rPr>
              <w:t>štátny rozpočet</w:t>
            </w:r>
          </w:p>
        </w:tc>
      </w:tr>
      <w:tr w:rsidR="004D139E" w:rsidRPr="00B52236" w14:paraId="7EFED2AE" w14:textId="77777777" w:rsidTr="004A05BA">
        <w:trPr>
          <w:trHeight w:val="283"/>
          <w:jc w:val="center"/>
        </w:trPr>
        <w:tc>
          <w:tcPr>
            <w:tcW w:w="541" w:type="pct"/>
            <w:shd w:val="clear" w:color="auto" w:fill="auto"/>
          </w:tcPr>
          <w:p w14:paraId="0DB9136E" w14:textId="77777777" w:rsidR="004D139E" w:rsidRPr="000353E9" w:rsidRDefault="004D139E" w:rsidP="004A05BA">
            <w:pPr>
              <w:spacing w:after="0"/>
              <w:ind w:right="-81"/>
              <w:jc w:val="left"/>
              <w:rPr>
                <w:color w:val="314364" w:themeColor="text2"/>
                <w:sz w:val="18"/>
                <w:szCs w:val="18"/>
              </w:rPr>
            </w:pPr>
            <w:r w:rsidRPr="000353E9">
              <w:rPr>
                <w:color w:val="314364" w:themeColor="text2"/>
                <w:sz w:val="18"/>
                <w:szCs w:val="18"/>
              </w:rPr>
              <w:t>MH SR</w:t>
            </w:r>
          </w:p>
        </w:tc>
        <w:tc>
          <w:tcPr>
            <w:tcW w:w="2112" w:type="pct"/>
            <w:shd w:val="clear" w:color="auto" w:fill="auto"/>
          </w:tcPr>
          <w:p w14:paraId="102B18FD" w14:textId="77777777" w:rsidR="004D139E" w:rsidRPr="00342619" w:rsidRDefault="004D139E" w:rsidP="004A05BA">
            <w:pPr>
              <w:spacing w:after="0"/>
              <w:jc w:val="left"/>
              <w:rPr>
                <w:sz w:val="18"/>
                <w:szCs w:val="18"/>
              </w:rPr>
            </w:pPr>
            <w:r w:rsidRPr="00342619">
              <w:rPr>
                <w:sz w:val="18"/>
                <w:szCs w:val="18"/>
              </w:rPr>
              <w:t xml:space="preserve">Ministerstvo hospodárstva </w:t>
            </w:r>
            <w:r>
              <w:rPr>
                <w:sz w:val="18"/>
                <w:szCs w:val="18"/>
              </w:rPr>
              <w:t>SR</w:t>
            </w:r>
          </w:p>
        </w:tc>
        <w:tc>
          <w:tcPr>
            <w:tcW w:w="569" w:type="pct"/>
          </w:tcPr>
          <w:p w14:paraId="606A53F6" w14:textId="77777777" w:rsidR="004D139E" w:rsidRPr="00342619" w:rsidRDefault="004D139E" w:rsidP="004A05BA">
            <w:pPr>
              <w:spacing w:after="0"/>
              <w:ind w:right="-12"/>
              <w:jc w:val="left"/>
              <w:rPr>
                <w:sz w:val="18"/>
                <w:szCs w:val="18"/>
              </w:rPr>
            </w:pPr>
            <w:r w:rsidRPr="00342619">
              <w:rPr>
                <w:color w:val="314364" w:themeColor="text2"/>
                <w:sz w:val="18"/>
                <w:szCs w:val="18"/>
              </w:rPr>
              <w:t>ŠÚ SR</w:t>
            </w:r>
          </w:p>
        </w:tc>
        <w:tc>
          <w:tcPr>
            <w:tcW w:w="1778" w:type="pct"/>
          </w:tcPr>
          <w:p w14:paraId="6A23EB17" w14:textId="77777777" w:rsidR="004D139E" w:rsidRPr="00342619" w:rsidRDefault="004D139E" w:rsidP="004A05BA">
            <w:pPr>
              <w:spacing w:after="0"/>
              <w:jc w:val="left"/>
              <w:rPr>
                <w:sz w:val="18"/>
                <w:szCs w:val="18"/>
              </w:rPr>
            </w:pPr>
            <w:r w:rsidRPr="00342619">
              <w:rPr>
                <w:sz w:val="18"/>
                <w:szCs w:val="18"/>
              </w:rPr>
              <w:t xml:space="preserve">Štatistický úrad </w:t>
            </w:r>
            <w:r>
              <w:rPr>
                <w:sz w:val="18"/>
                <w:szCs w:val="18"/>
              </w:rPr>
              <w:t>SR</w:t>
            </w:r>
          </w:p>
        </w:tc>
      </w:tr>
      <w:tr w:rsidR="004D139E" w:rsidRPr="00B52236" w14:paraId="10A53632" w14:textId="77777777" w:rsidTr="004A05BA">
        <w:trPr>
          <w:trHeight w:val="283"/>
          <w:jc w:val="center"/>
        </w:trPr>
        <w:tc>
          <w:tcPr>
            <w:tcW w:w="541" w:type="pct"/>
            <w:shd w:val="clear" w:color="auto" w:fill="auto"/>
          </w:tcPr>
          <w:p w14:paraId="10E54AAF" w14:textId="77777777" w:rsidR="004D139E" w:rsidRPr="000353E9" w:rsidRDefault="004D139E" w:rsidP="004A05BA">
            <w:pPr>
              <w:spacing w:after="0"/>
              <w:ind w:right="-81"/>
              <w:jc w:val="left"/>
              <w:rPr>
                <w:color w:val="314364" w:themeColor="text2"/>
                <w:sz w:val="18"/>
                <w:szCs w:val="18"/>
              </w:rPr>
            </w:pPr>
            <w:r w:rsidRPr="000353E9">
              <w:rPr>
                <w:color w:val="314364" w:themeColor="text2"/>
                <w:sz w:val="18"/>
                <w:szCs w:val="18"/>
              </w:rPr>
              <w:t>MIRRI SR</w:t>
            </w:r>
          </w:p>
        </w:tc>
        <w:tc>
          <w:tcPr>
            <w:tcW w:w="2112" w:type="pct"/>
            <w:shd w:val="clear" w:color="auto" w:fill="auto"/>
          </w:tcPr>
          <w:p w14:paraId="476EDD96" w14:textId="77777777" w:rsidR="004D139E" w:rsidRPr="00342619" w:rsidRDefault="004D139E" w:rsidP="004A05BA">
            <w:pPr>
              <w:spacing w:after="0"/>
              <w:jc w:val="left"/>
              <w:rPr>
                <w:sz w:val="18"/>
                <w:szCs w:val="18"/>
              </w:rPr>
            </w:pPr>
            <w:r w:rsidRPr="00342619">
              <w:rPr>
                <w:sz w:val="18"/>
                <w:szCs w:val="18"/>
              </w:rPr>
              <w:t xml:space="preserve">Ministerstvo investícií, regionálneho rozvoja a informatizácie </w:t>
            </w:r>
            <w:r>
              <w:rPr>
                <w:sz w:val="18"/>
                <w:szCs w:val="18"/>
              </w:rPr>
              <w:t>SR</w:t>
            </w:r>
          </w:p>
        </w:tc>
        <w:tc>
          <w:tcPr>
            <w:tcW w:w="569" w:type="pct"/>
          </w:tcPr>
          <w:p w14:paraId="03379E4F" w14:textId="77777777" w:rsidR="004D139E" w:rsidRPr="00342619" w:rsidRDefault="004D139E" w:rsidP="004A05BA">
            <w:pPr>
              <w:spacing w:after="0"/>
              <w:ind w:right="-12"/>
              <w:jc w:val="left"/>
              <w:rPr>
                <w:sz w:val="18"/>
                <w:szCs w:val="18"/>
              </w:rPr>
            </w:pPr>
            <w:r>
              <w:rPr>
                <w:color w:val="314364" w:themeColor="text2"/>
                <w:sz w:val="18"/>
                <w:szCs w:val="18"/>
              </w:rPr>
              <w:t>ÚDZS</w:t>
            </w:r>
          </w:p>
        </w:tc>
        <w:tc>
          <w:tcPr>
            <w:tcW w:w="1778" w:type="pct"/>
          </w:tcPr>
          <w:p w14:paraId="07C0F5E0" w14:textId="77777777" w:rsidR="004D139E" w:rsidRPr="00342619" w:rsidRDefault="004D139E" w:rsidP="004A05BA">
            <w:pPr>
              <w:spacing w:after="0"/>
              <w:jc w:val="left"/>
              <w:rPr>
                <w:sz w:val="18"/>
                <w:szCs w:val="18"/>
              </w:rPr>
            </w:pPr>
            <w:r>
              <w:rPr>
                <w:sz w:val="18"/>
                <w:szCs w:val="18"/>
              </w:rPr>
              <w:t>Úrad pre dohľad nad zdravotnou starostlivosťou</w:t>
            </w:r>
          </w:p>
        </w:tc>
      </w:tr>
      <w:tr w:rsidR="004D139E" w:rsidRPr="00B52236" w14:paraId="40D23DB3" w14:textId="77777777" w:rsidTr="004A05BA">
        <w:trPr>
          <w:trHeight w:val="283"/>
          <w:jc w:val="center"/>
        </w:trPr>
        <w:tc>
          <w:tcPr>
            <w:tcW w:w="541" w:type="pct"/>
            <w:shd w:val="clear" w:color="auto" w:fill="auto"/>
          </w:tcPr>
          <w:p w14:paraId="2D1CDFE4" w14:textId="77777777" w:rsidR="004D139E" w:rsidRPr="000353E9" w:rsidRDefault="004D139E" w:rsidP="004A05BA">
            <w:pPr>
              <w:spacing w:after="0"/>
              <w:ind w:right="-81"/>
              <w:jc w:val="left"/>
              <w:rPr>
                <w:color w:val="314364" w:themeColor="text2"/>
                <w:sz w:val="18"/>
                <w:szCs w:val="18"/>
              </w:rPr>
            </w:pPr>
            <w:r w:rsidRPr="000353E9">
              <w:rPr>
                <w:color w:val="314364" w:themeColor="text2"/>
                <w:sz w:val="18"/>
                <w:szCs w:val="18"/>
              </w:rPr>
              <w:t>MO SR</w:t>
            </w:r>
          </w:p>
        </w:tc>
        <w:tc>
          <w:tcPr>
            <w:tcW w:w="2112" w:type="pct"/>
            <w:shd w:val="clear" w:color="auto" w:fill="auto"/>
          </w:tcPr>
          <w:p w14:paraId="47C60036" w14:textId="77777777" w:rsidR="004D139E" w:rsidRPr="00342619" w:rsidRDefault="004D139E" w:rsidP="004A05BA">
            <w:pPr>
              <w:spacing w:after="0"/>
              <w:ind w:right="-73"/>
              <w:jc w:val="left"/>
              <w:rPr>
                <w:sz w:val="18"/>
                <w:szCs w:val="18"/>
              </w:rPr>
            </w:pPr>
            <w:r w:rsidRPr="00342619">
              <w:rPr>
                <w:sz w:val="18"/>
                <w:szCs w:val="18"/>
              </w:rPr>
              <w:t xml:space="preserve">Ministerstvo obrany </w:t>
            </w:r>
            <w:r>
              <w:rPr>
                <w:sz w:val="18"/>
                <w:szCs w:val="18"/>
              </w:rPr>
              <w:t>SR</w:t>
            </w:r>
          </w:p>
        </w:tc>
        <w:tc>
          <w:tcPr>
            <w:tcW w:w="569" w:type="pct"/>
          </w:tcPr>
          <w:p w14:paraId="1202F9AA" w14:textId="77777777" w:rsidR="004D139E" w:rsidRPr="00342619" w:rsidRDefault="004D139E" w:rsidP="004A05BA">
            <w:pPr>
              <w:spacing w:after="0"/>
              <w:ind w:right="-12"/>
              <w:jc w:val="left"/>
              <w:rPr>
                <w:sz w:val="18"/>
                <w:szCs w:val="18"/>
              </w:rPr>
            </w:pPr>
            <w:r w:rsidRPr="00342619">
              <w:rPr>
                <w:color w:val="314364" w:themeColor="text2"/>
                <w:sz w:val="18"/>
                <w:szCs w:val="18"/>
              </w:rPr>
              <w:t>ÚHP</w:t>
            </w:r>
          </w:p>
        </w:tc>
        <w:tc>
          <w:tcPr>
            <w:tcW w:w="1778" w:type="pct"/>
          </w:tcPr>
          <w:p w14:paraId="1730A90E" w14:textId="77777777" w:rsidR="004D139E" w:rsidRPr="00342619" w:rsidRDefault="004D139E" w:rsidP="004A05BA">
            <w:pPr>
              <w:spacing w:after="0"/>
              <w:jc w:val="left"/>
              <w:rPr>
                <w:sz w:val="18"/>
                <w:szCs w:val="18"/>
              </w:rPr>
            </w:pPr>
            <w:r w:rsidRPr="00342619">
              <w:rPr>
                <w:sz w:val="18"/>
                <w:szCs w:val="18"/>
              </w:rPr>
              <w:t>Útvar hodnoty za peniaze</w:t>
            </w:r>
          </w:p>
        </w:tc>
      </w:tr>
      <w:tr w:rsidR="004D139E" w:rsidRPr="00B52236" w14:paraId="4CF5ADE7" w14:textId="77777777" w:rsidTr="004A05BA">
        <w:trPr>
          <w:trHeight w:val="283"/>
          <w:jc w:val="center"/>
        </w:trPr>
        <w:tc>
          <w:tcPr>
            <w:tcW w:w="541" w:type="pct"/>
            <w:shd w:val="clear" w:color="auto" w:fill="auto"/>
          </w:tcPr>
          <w:p w14:paraId="5C95DE08" w14:textId="77777777" w:rsidR="004D139E" w:rsidRPr="000353E9" w:rsidRDefault="004D139E" w:rsidP="004A05BA">
            <w:pPr>
              <w:spacing w:after="0"/>
              <w:ind w:right="-81"/>
              <w:jc w:val="left"/>
              <w:rPr>
                <w:color w:val="314364" w:themeColor="text2"/>
                <w:sz w:val="18"/>
                <w:szCs w:val="18"/>
              </w:rPr>
            </w:pPr>
            <w:r w:rsidRPr="000353E9">
              <w:rPr>
                <w:color w:val="314364" w:themeColor="text2"/>
                <w:sz w:val="18"/>
                <w:szCs w:val="18"/>
              </w:rPr>
              <w:t>MPRV SR</w:t>
            </w:r>
          </w:p>
        </w:tc>
        <w:tc>
          <w:tcPr>
            <w:tcW w:w="2112" w:type="pct"/>
            <w:shd w:val="clear" w:color="auto" w:fill="auto"/>
          </w:tcPr>
          <w:p w14:paraId="7C73C938" w14:textId="77777777" w:rsidR="004D139E" w:rsidRPr="00342619" w:rsidRDefault="004D139E" w:rsidP="004A05BA">
            <w:pPr>
              <w:spacing w:after="0"/>
              <w:jc w:val="left"/>
              <w:rPr>
                <w:sz w:val="18"/>
                <w:szCs w:val="18"/>
              </w:rPr>
            </w:pPr>
            <w:r w:rsidRPr="00342619">
              <w:rPr>
                <w:sz w:val="18"/>
                <w:szCs w:val="18"/>
              </w:rPr>
              <w:t xml:space="preserve">Ministerstvo pôdohospodárstva a rozvoja vidieka </w:t>
            </w:r>
            <w:r>
              <w:rPr>
                <w:sz w:val="18"/>
                <w:szCs w:val="18"/>
              </w:rPr>
              <w:t>SR</w:t>
            </w:r>
          </w:p>
        </w:tc>
        <w:tc>
          <w:tcPr>
            <w:tcW w:w="569" w:type="pct"/>
          </w:tcPr>
          <w:p w14:paraId="00FB7444" w14:textId="77777777" w:rsidR="004D139E" w:rsidRPr="00342619" w:rsidRDefault="004D139E" w:rsidP="004A05BA">
            <w:pPr>
              <w:spacing w:after="0"/>
              <w:ind w:right="-12"/>
              <w:jc w:val="left"/>
              <w:rPr>
                <w:sz w:val="18"/>
                <w:szCs w:val="18"/>
              </w:rPr>
            </w:pPr>
            <w:r>
              <w:rPr>
                <w:color w:val="314364" w:themeColor="text2"/>
                <w:sz w:val="18"/>
                <w:szCs w:val="18"/>
              </w:rPr>
              <w:t>ÚRSO</w:t>
            </w:r>
          </w:p>
        </w:tc>
        <w:tc>
          <w:tcPr>
            <w:tcW w:w="1778" w:type="pct"/>
          </w:tcPr>
          <w:p w14:paraId="49A7FF30" w14:textId="77777777" w:rsidR="004D139E" w:rsidRPr="00342619" w:rsidRDefault="004D139E" w:rsidP="004A05BA">
            <w:pPr>
              <w:spacing w:after="0"/>
              <w:jc w:val="left"/>
              <w:rPr>
                <w:sz w:val="18"/>
                <w:szCs w:val="18"/>
              </w:rPr>
            </w:pPr>
            <w:r>
              <w:rPr>
                <w:sz w:val="18"/>
                <w:szCs w:val="18"/>
              </w:rPr>
              <w:t>Úrad pre reguláciu sieťových odvetví</w:t>
            </w:r>
          </w:p>
        </w:tc>
      </w:tr>
      <w:tr w:rsidR="004D139E" w:rsidRPr="00B52236" w14:paraId="102DD9AA" w14:textId="77777777" w:rsidTr="004A05BA">
        <w:trPr>
          <w:trHeight w:val="283"/>
          <w:jc w:val="center"/>
        </w:trPr>
        <w:tc>
          <w:tcPr>
            <w:tcW w:w="541" w:type="pct"/>
            <w:shd w:val="clear" w:color="auto" w:fill="auto"/>
          </w:tcPr>
          <w:p w14:paraId="081D5794" w14:textId="77777777" w:rsidR="004D139E" w:rsidRPr="000353E9" w:rsidRDefault="004D139E" w:rsidP="004A05BA">
            <w:pPr>
              <w:spacing w:after="0"/>
              <w:ind w:right="-81"/>
              <w:jc w:val="left"/>
              <w:rPr>
                <w:color w:val="314364" w:themeColor="text2"/>
                <w:sz w:val="18"/>
                <w:szCs w:val="18"/>
              </w:rPr>
            </w:pPr>
            <w:r w:rsidRPr="000353E9">
              <w:rPr>
                <w:color w:val="314364" w:themeColor="text2"/>
                <w:sz w:val="18"/>
                <w:szCs w:val="18"/>
              </w:rPr>
              <w:t>MPSVR SR</w:t>
            </w:r>
          </w:p>
        </w:tc>
        <w:tc>
          <w:tcPr>
            <w:tcW w:w="2112" w:type="pct"/>
            <w:shd w:val="clear" w:color="auto" w:fill="auto"/>
          </w:tcPr>
          <w:p w14:paraId="68B58861" w14:textId="77777777" w:rsidR="004D139E" w:rsidRPr="00342619" w:rsidRDefault="004D139E" w:rsidP="004A05BA">
            <w:pPr>
              <w:spacing w:after="0"/>
              <w:jc w:val="left"/>
              <w:rPr>
                <w:sz w:val="18"/>
                <w:szCs w:val="18"/>
              </w:rPr>
            </w:pPr>
            <w:r w:rsidRPr="00342619">
              <w:rPr>
                <w:sz w:val="18"/>
                <w:szCs w:val="18"/>
              </w:rPr>
              <w:t xml:space="preserve">Ministerstvo práce, sociálnych vecí a rodiny </w:t>
            </w:r>
            <w:r>
              <w:rPr>
                <w:sz w:val="18"/>
                <w:szCs w:val="18"/>
              </w:rPr>
              <w:t>SR</w:t>
            </w:r>
          </w:p>
        </w:tc>
        <w:tc>
          <w:tcPr>
            <w:tcW w:w="569" w:type="pct"/>
          </w:tcPr>
          <w:p w14:paraId="173DD33F" w14:textId="77777777" w:rsidR="004D139E" w:rsidRPr="00342619" w:rsidRDefault="004D139E" w:rsidP="004A05BA">
            <w:pPr>
              <w:spacing w:after="0"/>
              <w:ind w:right="-12"/>
              <w:jc w:val="left"/>
              <w:rPr>
                <w:sz w:val="18"/>
                <w:szCs w:val="18"/>
              </w:rPr>
            </w:pPr>
            <w:r>
              <w:rPr>
                <w:color w:val="314364" w:themeColor="text2"/>
                <w:sz w:val="18"/>
                <w:szCs w:val="18"/>
              </w:rPr>
              <w:t>ÚS</w:t>
            </w:r>
          </w:p>
        </w:tc>
        <w:tc>
          <w:tcPr>
            <w:tcW w:w="1778" w:type="pct"/>
          </w:tcPr>
          <w:p w14:paraId="39DDE1D7" w14:textId="77777777" w:rsidR="004D139E" w:rsidRPr="00342619" w:rsidRDefault="004D139E" w:rsidP="004A05BA">
            <w:pPr>
              <w:spacing w:after="0"/>
              <w:jc w:val="left"/>
              <w:rPr>
                <w:sz w:val="18"/>
                <w:szCs w:val="18"/>
              </w:rPr>
            </w:pPr>
            <w:r>
              <w:rPr>
                <w:sz w:val="18"/>
                <w:szCs w:val="18"/>
              </w:rPr>
              <w:t>ústredná správa</w:t>
            </w:r>
          </w:p>
        </w:tc>
      </w:tr>
      <w:tr w:rsidR="004D139E" w:rsidRPr="00B52236" w14:paraId="0759A2AB" w14:textId="77777777" w:rsidTr="004A05BA">
        <w:trPr>
          <w:trHeight w:val="283"/>
          <w:jc w:val="center"/>
        </w:trPr>
        <w:tc>
          <w:tcPr>
            <w:tcW w:w="541" w:type="pct"/>
            <w:shd w:val="clear" w:color="auto" w:fill="auto"/>
          </w:tcPr>
          <w:p w14:paraId="4A03F918" w14:textId="77777777" w:rsidR="004D139E" w:rsidRPr="000353E9" w:rsidRDefault="004D139E" w:rsidP="004A05BA">
            <w:pPr>
              <w:spacing w:after="0"/>
              <w:ind w:right="-81"/>
              <w:jc w:val="left"/>
              <w:rPr>
                <w:color w:val="314364" w:themeColor="text2"/>
                <w:sz w:val="18"/>
                <w:szCs w:val="18"/>
              </w:rPr>
            </w:pPr>
            <w:r w:rsidRPr="000353E9">
              <w:rPr>
                <w:color w:val="314364" w:themeColor="text2"/>
                <w:sz w:val="18"/>
                <w:szCs w:val="18"/>
              </w:rPr>
              <w:t>MS SR</w:t>
            </w:r>
          </w:p>
        </w:tc>
        <w:tc>
          <w:tcPr>
            <w:tcW w:w="2112" w:type="pct"/>
            <w:shd w:val="clear" w:color="auto" w:fill="auto"/>
          </w:tcPr>
          <w:p w14:paraId="1577D940" w14:textId="77777777" w:rsidR="004D139E" w:rsidRPr="00342619" w:rsidRDefault="004D139E" w:rsidP="004A05BA">
            <w:pPr>
              <w:spacing w:after="0"/>
              <w:jc w:val="left"/>
              <w:rPr>
                <w:sz w:val="18"/>
                <w:szCs w:val="18"/>
              </w:rPr>
            </w:pPr>
            <w:r w:rsidRPr="00342619">
              <w:rPr>
                <w:sz w:val="18"/>
                <w:szCs w:val="18"/>
              </w:rPr>
              <w:t xml:space="preserve">Ministerstvo spravodlivosti </w:t>
            </w:r>
            <w:r>
              <w:rPr>
                <w:sz w:val="18"/>
                <w:szCs w:val="18"/>
              </w:rPr>
              <w:t>SR</w:t>
            </w:r>
          </w:p>
        </w:tc>
        <w:tc>
          <w:tcPr>
            <w:tcW w:w="569" w:type="pct"/>
          </w:tcPr>
          <w:p w14:paraId="31D62353" w14:textId="77777777" w:rsidR="004D139E" w:rsidRPr="00342619" w:rsidRDefault="004D139E" w:rsidP="004A05BA">
            <w:pPr>
              <w:spacing w:after="0"/>
              <w:ind w:right="-12"/>
              <w:jc w:val="left"/>
              <w:rPr>
                <w:sz w:val="18"/>
                <w:szCs w:val="18"/>
              </w:rPr>
            </w:pPr>
            <w:r w:rsidRPr="00342619">
              <w:rPr>
                <w:color w:val="314364" w:themeColor="text2"/>
                <w:sz w:val="18"/>
                <w:szCs w:val="18"/>
              </w:rPr>
              <w:t>ÚV SR</w:t>
            </w:r>
          </w:p>
        </w:tc>
        <w:tc>
          <w:tcPr>
            <w:tcW w:w="1778" w:type="pct"/>
          </w:tcPr>
          <w:p w14:paraId="7F15EE08" w14:textId="77777777" w:rsidR="004D139E" w:rsidRPr="00342619" w:rsidRDefault="004D139E" w:rsidP="004A05BA">
            <w:pPr>
              <w:spacing w:after="0"/>
              <w:jc w:val="left"/>
              <w:rPr>
                <w:sz w:val="18"/>
                <w:szCs w:val="18"/>
              </w:rPr>
            </w:pPr>
            <w:r w:rsidRPr="00342619">
              <w:rPr>
                <w:sz w:val="18"/>
                <w:szCs w:val="18"/>
              </w:rPr>
              <w:t xml:space="preserve">Úrad vlády </w:t>
            </w:r>
            <w:r>
              <w:rPr>
                <w:sz w:val="18"/>
                <w:szCs w:val="18"/>
              </w:rPr>
              <w:t>SR</w:t>
            </w:r>
          </w:p>
        </w:tc>
      </w:tr>
      <w:tr w:rsidR="004D139E" w:rsidRPr="00B52236" w14:paraId="44DF5136" w14:textId="77777777" w:rsidTr="004A05BA">
        <w:trPr>
          <w:trHeight w:val="283"/>
          <w:jc w:val="center"/>
        </w:trPr>
        <w:tc>
          <w:tcPr>
            <w:tcW w:w="541" w:type="pct"/>
            <w:shd w:val="clear" w:color="auto" w:fill="auto"/>
          </w:tcPr>
          <w:p w14:paraId="14C2340B" w14:textId="77777777" w:rsidR="004D139E" w:rsidRPr="000353E9" w:rsidRDefault="004D139E" w:rsidP="004A05BA">
            <w:pPr>
              <w:spacing w:after="0"/>
              <w:ind w:right="-81"/>
              <w:jc w:val="left"/>
              <w:rPr>
                <w:color w:val="314364" w:themeColor="text2"/>
                <w:sz w:val="18"/>
                <w:szCs w:val="18"/>
              </w:rPr>
            </w:pPr>
            <w:r w:rsidRPr="000353E9">
              <w:rPr>
                <w:color w:val="314364" w:themeColor="text2"/>
                <w:sz w:val="18"/>
                <w:szCs w:val="18"/>
              </w:rPr>
              <w:t>MŠVVaŠ SR</w:t>
            </w:r>
          </w:p>
        </w:tc>
        <w:tc>
          <w:tcPr>
            <w:tcW w:w="2112" w:type="pct"/>
            <w:shd w:val="clear" w:color="auto" w:fill="auto"/>
          </w:tcPr>
          <w:p w14:paraId="79534D21" w14:textId="77777777" w:rsidR="004D139E" w:rsidRPr="00342619" w:rsidRDefault="004D139E" w:rsidP="004A05BA">
            <w:pPr>
              <w:spacing w:after="0"/>
              <w:jc w:val="left"/>
              <w:rPr>
                <w:sz w:val="18"/>
                <w:szCs w:val="18"/>
              </w:rPr>
            </w:pPr>
            <w:r w:rsidRPr="00342619">
              <w:rPr>
                <w:sz w:val="18"/>
                <w:szCs w:val="18"/>
              </w:rPr>
              <w:t xml:space="preserve">Ministerstvo školstva, vedy, výskumu a športu </w:t>
            </w:r>
            <w:r>
              <w:rPr>
                <w:sz w:val="18"/>
                <w:szCs w:val="18"/>
              </w:rPr>
              <w:t>SR</w:t>
            </w:r>
          </w:p>
        </w:tc>
        <w:tc>
          <w:tcPr>
            <w:tcW w:w="569" w:type="pct"/>
          </w:tcPr>
          <w:p w14:paraId="0BC2E19A" w14:textId="77777777" w:rsidR="004D139E" w:rsidRPr="00342619" w:rsidRDefault="004D139E" w:rsidP="004A05BA">
            <w:pPr>
              <w:spacing w:after="0"/>
              <w:ind w:right="-12"/>
              <w:jc w:val="left"/>
              <w:rPr>
                <w:sz w:val="18"/>
                <w:szCs w:val="18"/>
              </w:rPr>
            </w:pPr>
            <w:r w:rsidRPr="00342619">
              <w:rPr>
                <w:color w:val="314364" w:themeColor="text2"/>
                <w:sz w:val="18"/>
                <w:szCs w:val="18"/>
              </w:rPr>
              <w:t>ÚVO</w:t>
            </w:r>
          </w:p>
        </w:tc>
        <w:tc>
          <w:tcPr>
            <w:tcW w:w="1778" w:type="pct"/>
          </w:tcPr>
          <w:p w14:paraId="4E55991A" w14:textId="77777777" w:rsidR="004D139E" w:rsidRPr="00342619" w:rsidRDefault="004D139E" w:rsidP="004A05BA">
            <w:pPr>
              <w:spacing w:after="0"/>
              <w:jc w:val="left"/>
              <w:rPr>
                <w:sz w:val="18"/>
                <w:szCs w:val="18"/>
              </w:rPr>
            </w:pPr>
            <w:r w:rsidRPr="00342619">
              <w:rPr>
                <w:sz w:val="18"/>
                <w:szCs w:val="18"/>
              </w:rPr>
              <w:t>Úrad pre verejné obstarávanie</w:t>
            </w:r>
          </w:p>
        </w:tc>
      </w:tr>
      <w:tr w:rsidR="004D139E" w:rsidRPr="00B52236" w14:paraId="5C42C14B" w14:textId="77777777" w:rsidTr="004A05BA">
        <w:trPr>
          <w:trHeight w:val="283"/>
          <w:jc w:val="center"/>
        </w:trPr>
        <w:tc>
          <w:tcPr>
            <w:tcW w:w="541" w:type="pct"/>
            <w:shd w:val="clear" w:color="auto" w:fill="auto"/>
          </w:tcPr>
          <w:p w14:paraId="463B6B7E" w14:textId="77777777" w:rsidR="004D139E" w:rsidRPr="000353E9" w:rsidRDefault="004D139E" w:rsidP="004A05BA">
            <w:pPr>
              <w:spacing w:after="0"/>
              <w:ind w:right="-81"/>
              <w:jc w:val="left"/>
              <w:rPr>
                <w:color w:val="314364" w:themeColor="text2"/>
                <w:sz w:val="18"/>
                <w:szCs w:val="18"/>
              </w:rPr>
            </w:pPr>
            <w:r w:rsidRPr="000353E9">
              <w:rPr>
                <w:color w:val="314364" w:themeColor="text2"/>
                <w:sz w:val="18"/>
                <w:szCs w:val="18"/>
              </w:rPr>
              <w:t>MV SR</w:t>
            </w:r>
          </w:p>
        </w:tc>
        <w:tc>
          <w:tcPr>
            <w:tcW w:w="2112" w:type="pct"/>
            <w:shd w:val="clear" w:color="auto" w:fill="auto"/>
          </w:tcPr>
          <w:p w14:paraId="7097A9AC" w14:textId="77777777" w:rsidR="004D139E" w:rsidRPr="00342619" w:rsidRDefault="004D139E" w:rsidP="004A05BA">
            <w:pPr>
              <w:spacing w:after="0"/>
              <w:jc w:val="left"/>
              <w:rPr>
                <w:sz w:val="18"/>
                <w:szCs w:val="18"/>
              </w:rPr>
            </w:pPr>
            <w:r w:rsidRPr="00342619">
              <w:rPr>
                <w:sz w:val="18"/>
                <w:szCs w:val="18"/>
              </w:rPr>
              <w:t xml:space="preserve">Ministerstvo vnútra </w:t>
            </w:r>
            <w:r>
              <w:rPr>
                <w:sz w:val="18"/>
                <w:szCs w:val="18"/>
              </w:rPr>
              <w:t>SR</w:t>
            </w:r>
          </w:p>
        </w:tc>
        <w:tc>
          <w:tcPr>
            <w:tcW w:w="569" w:type="pct"/>
          </w:tcPr>
          <w:p w14:paraId="055510B7" w14:textId="77777777" w:rsidR="004D139E" w:rsidRPr="00342619" w:rsidRDefault="004D139E" w:rsidP="004A05BA">
            <w:pPr>
              <w:spacing w:after="0"/>
              <w:ind w:right="-12"/>
              <w:jc w:val="left"/>
              <w:rPr>
                <w:sz w:val="18"/>
                <w:szCs w:val="18"/>
              </w:rPr>
            </w:pPr>
            <w:r>
              <w:rPr>
                <w:color w:val="314364" w:themeColor="text2"/>
                <w:sz w:val="18"/>
                <w:szCs w:val="18"/>
              </w:rPr>
              <w:t>VpDP</w:t>
            </w:r>
          </w:p>
        </w:tc>
        <w:tc>
          <w:tcPr>
            <w:tcW w:w="1778" w:type="pct"/>
          </w:tcPr>
          <w:p w14:paraId="2B6EFF3E" w14:textId="77777777" w:rsidR="004D139E" w:rsidRPr="00342619" w:rsidRDefault="004D139E" w:rsidP="004A05BA">
            <w:pPr>
              <w:spacing w:after="0"/>
              <w:jc w:val="left"/>
              <w:rPr>
                <w:sz w:val="18"/>
                <w:szCs w:val="18"/>
              </w:rPr>
            </w:pPr>
            <w:r>
              <w:rPr>
                <w:sz w:val="18"/>
                <w:szCs w:val="18"/>
              </w:rPr>
              <w:t>Výbor pre daňové prognózy</w:t>
            </w:r>
          </w:p>
        </w:tc>
      </w:tr>
      <w:tr w:rsidR="004D139E" w:rsidRPr="00B52236" w14:paraId="0771A6D6" w14:textId="77777777" w:rsidTr="004A05BA">
        <w:trPr>
          <w:trHeight w:val="283"/>
          <w:jc w:val="center"/>
        </w:trPr>
        <w:tc>
          <w:tcPr>
            <w:tcW w:w="541" w:type="pct"/>
            <w:shd w:val="clear" w:color="auto" w:fill="auto"/>
          </w:tcPr>
          <w:p w14:paraId="07FE36F0" w14:textId="77777777" w:rsidR="004D139E" w:rsidRPr="000353E9" w:rsidRDefault="004D139E" w:rsidP="004A05BA">
            <w:pPr>
              <w:spacing w:after="0"/>
              <w:ind w:right="-81"/>
              <w:jc w:val="left"/>
              <w:rPr>
                <w:color w:val="314364" w:themeColor="text2"/>
                <w:sz w:val="18"/>
                <w:szCs w:val="18"/>
              </w:rPr>
            </w:pPr>
            <w:r w:rsidRPr="000353E9">
              <w:rPr>
                <w:color w:val="314364" w:themeColor="text2"/>
                <w:sz w:val="18"/>
                <w:szCs w:val="18"/>
              </w:rPr>
              <w:t>MZ SR</w:t>
            </w:r>
          </w:p>
        </w:tc>
        <w:tc>
          <w:tcPr>
            <w:tcW w:w="2112" w:type="pct"/>
            <w:shd w:val="clear" w:color="auto" w:fill="auto"/>
          </w:tcPr>
          <w:p w14:paraId="3E8E3CC0" w14:textId="77777777" w:rsidR="004D139E" w:rsidRPr="00342619" w:rsidRDefault="004D139E" w:rsidP="004A05BA">
            <w:pPr>
              <w:spacing w:after="0"/>
              <w:jc w:val="left"/>
              <w:rPr>
                <w:sz w:val="18"/>
                <w:szCs w:val="18"/>
              </w:rPr>
            </w:pPr>
            <w:r w:rsidRPr="00342619">
              <w:rPr>
                <w:sz w:val="18"/>
                <w:szCs w:val="18"/>
              </w:rPr>
              <w:t xml:space="preserve">Ministerstvo zdravotníctva </w:t>
            </w:r>
            <w:r>
              <w:rPr>
                <w:sz w:val="18"/>
                <w:szCs w:val="18"/>
              </w:rPr>
              <w:t>SR</w:t>
            </w:r>
          </w:p>
        </w:tc>
        <w:tc>
          <w:tcPr>
            <w:tcW w:w="569" w:type="pct"/>
          </w:tcPr>
          <w:p w14:paraId="71BD67FD" w14:textId="77777777" w:rsidR="004D139E" w:rsidRPr="00342619" w:rsidRDefault="004D139E" w:rsidP="004A05BA">
            <w:pPr>
              <w:spacing w:after="0"/>
              <w:ind w:right="-12"/>
              <w:jc w:val="left"/>
              <w:rPr>
                <w:sz w:val="18"/>
                <w:szCs w:val="18"/>
              </w:rPr>
            </w:pPr>
            <w:r w:rsidRPr="00342619">
              <w:rPr>
                <w:color w:val="314364" w:themeColor="text2"/>
                <w:sz w:val="18"/>
                <w:szCs w:val="18"/>
              </w:rPr>
              <w:t>VpMP</w:t>
            </w:r>
          </w:p>
        </w:tc>
        <w:tc>
          <w:tcPr>
            <w:tcW w:w="1778" w:type="pct"/>
          </w:tcPr>
          <w:p w14:paraId="0A4B57BD" w14:textId="77777777" w:rsidR="004D139E" w:rsidRPr="00342619" w:rsidRDefault="004D139E" w:rsidP="004A05BA">
            <w:pPr>
              <w:spacing w:after="0"/>
              <w:jc w:val="left"/>
              <w:rPr>
                <w:sz w:val="18"/>
                <w:szCs w:val="18"/>
              </w:rPr>
            </w:pPr>
            <w:r w:rsidRPr="00342619">
              <w:rPr>
                <w:sz w:val="18"/>
                <w:szCs w:val="18"/>
              </w:rPr>
              <w:t>Výbor pre makroekonomické prognózy</w:t>
            </w:r>
          </w:p>
        </w:tc>
      </w:tr>
      <w:tr w:rsidR="004D139E" w:rsidRPr="00B52236" w14:paraId="1B09B34D" w14:textId="77777777" w:rsidTr="004A05BA">
        <w:trPr>
          <w:trHeight w:val="283"/>
          <w:jc w:val="center"/>
        </w:trPr>
        <w:tc>
          <w:tcPr>
            <w:tcW w:w="541" w:type="pct"/>
            <w:shd w:val="clear" w:color="auto" w:fill="auto"/>
          </w:tcPr>
          <w:p w14:paraId="2E1A038F" w14:textId="77777777" w:rsidR="004D139E" w:rsidRPr="000353E9" w:rsidRDefault="004D139E" w:rsidP="004A05BA">
            <w:pPr>
              <w:spacing w:after="0"/>
              <w:ind w:right="-81"/>
              <w:jc w:val="left"/>
              <w:rPr>
                <w:color w:val="314364" w:themeColor="text2"/>
                <w:sz w:val="18"/>
                <w:szCs w:val="18"/>
              </w:rPr>
            </w:pPr>
            <w:r w:rsidRPr="000353E9">
              <w:rPr>
                <w:color w:val="314364" w:themeColor="text2"/>
                <w:sz w:val="18"/>
                <w:szCs w:val="18"/>
              </w:rPr>
              <w:t>MŽP SR</w:t>
            </w:r>
          </w:p>
        </w:tc>
        <w:tc>
          <w:tcPr>
            <w:tcW w:w="2112" w:type="pct"/>
            <w:shd w:val="clear" w:color="auto" w:fill="auto"/>
          </w:tcPr>
          <w:p w14:paraId="3707580C" w14:textId="77777777" w:rsidR="004D139E" w:rsidRPr="00342619" w:rsidRDefault="004D139E" w:rsidP="004A05BA">
            <w:pPr>
              <w:spacing w:after="0"/>
              <w:jc w:val="left"/>
              <w:rPr>
                <w:sz w:val="18"/>
                <w:szCs w:val="18"/>
              </w:rPr>
            </w:pPr>
            <w:r w:rsidRPr="00342619">
              <w:rPr>
                <w:sz w:val="18"/>
                <w:szCs w:val="18"/>
              </w:rPr>
              <w:t xml:space="preserve">Ministerstvo životného prostredia </w:t>
            </w:r>
            <w:r>
              <w:rPr>
                <w:sz w:val="18"/>
                <w:szCs w:val="18"/>
              </w:rPr>
              <w:t>SR</w:t>
            </w:r>
          </w:p>
        </w:tc>
        <w:tc>
          <w:tcPr>
            <w:tcW w:w="569" w:type="pct"/>
          </w:tcPr>
          <w:p w14:paraId="2FC988B2" w14:textId="77777777" w:rsidR="004D139E" w:rsidRPr="00342619" w:rsidRDefault="004D139E" w:rsidP="004A05BA">
            <w:pPr>
              <w:spacing w:after="0"/>
              <w:ind w:right="-12"/>
              <w:jc w:val="left"/>
              <w:rPr>
                <w:sz w:val="18"/>
                <w:szCs w:val="18"/>
              </w:rPr>
            </w:pPr>
            <w:r w:rsidRPr="00342619">
              <w:rPr>
                <w:color w:val="314364" w:themeColor="text2"/>
                <w:sz w:val="18"/>
                <w:szCs w:val="18"/>
              </w:rPr>
              <w:t>VPS</w:t>
            </w:r>
          </w:p>
        </w:tc>
        <w:tc>
          <w:tcPr>
            <w:tcW w:w="1778" w:type="pct"/>
          </w:tcPr>
          <w:p w14:paraId="618DE150" w14:textId="77777777" w:rsidR="004D139E" w:rsidRPr="00342619" w:rsidRDefault="004D139E" w:rsidP="004A05BA">
            <w:pPr>
              <w:spacing w:after="0"/>
              <w:jc w:val="left"/>
              <w:rPr>
                <w:sz w:val="18"/>
                <w:szCs w:val="18"/>
              </w:rPr>
            </w:pPr>
            <w:r w:rsidRPr="00342619">
              <w:rPr>
                <w:sz w:val="18"/>
                <w:szCs w:val="18"/>
              </w:rPr>
              <w:t>Všeobecná pokladničná správa</w:t>
            </w:r>
          </w:p>
        </w:tc>
      </w:tr>
      <w:tr w:rsidR="00A7563F" w:rsidRPr="00B52236" w14:paraId="1B3BE79B" w14:textId="77777777" w:rsidTr="004A05BA">
        <w:trPr>
          <w:trHeight w:val="283"/>
          <w:jc w:val="center"/>
        </w:trPr>
        <w:tc>
          <w:tcPr>
            <w:tcW w:w="541" w:type="pct"/>
            <w:shd w:val="clear" w:color="auto" w:fill="auto"/>
          </w:tcPr>
          <w:p w14:paraId="5E304067" w14:textId="77777777" w:rsidR="00A7563F" w:rsidRPr="000353E9" w:rsidRDefault="00A7563F" w:rsidP="00A7563F">
            <w:pPr>
              <w:spacing w:after="0"/>
              <w:ind w:right="-81"/>
              <w:jc w:val="left"/>
              <w:rPr>
                <w:color w:val="314364" w:themeColor="text2"/>
                <w:sz w:val="18"/>
                <w:szCs w:val="18"/>
              </w:rPr>
            </w:pPr>
            <w:r w:rsidRPr="000353E9">
              <w:rPr>
                <w:color w:val="314364" w:themeColor="text2"/>
                <w:sz w:val="18"/>
                <w:szCs w:val="18"/>
              </w:rPr>
              <w:t>NKÚ SR</w:t>
            </w:r>
          </w:p>
        </w:tc>
        <w:tc>
          <w:tcPr>
            <w:tcW w:w="2112" w:type="pct"/>
            <w:shd w:val="clear" w:color="auto" w:fill="auto"/>
          </w:tcPr>
          <w:p w14:paraId="7C23886E" w14:textId="77777777" w:rsidR="00A7563F" w:rsidRPr="00342619" w:rsidRDefault="00A7563F" w:rsidP="00A7563F">
            <w:pPr>
              <w:spacing w:after="0"/>
              <w:jc w:val="left"/>
              <w:rPr>
                <w:sz w:val="18"/>
                <w:szCs w:val="18"/>
              </w:rPr>
            </w:pPr>
            <w:r w:rsidRPr="00342619">
              <w:rPr>
                <w:sz w:val="18"/>
                <w:szCs w:val="18"/>
              </w:rPr>
              <w:t xml:space="preserve">Najvyšší kontrolný úrad </w:t>
            </w:r>
            <w:r>
              <w:rPr>
                <w:sz w:val="18"/>
                <w:szCs w:val="18"/>
              </w:rPr>
              <w:t>SR</w:t>
            </w:r>
          </w:p>
        </w:tc>
        <w:tc>
          <w:tcPr>
            <w:tcW w:w="569" w:type="pct"/>
          </w:tcPr>
          <w:p w14:paraId="7A35DC11" w14:textId="1F69EADB" w:rsidR="00A7563F" w:rsidRPr="00342619" w:rsidRDefault="00A7563F" w:rsidP="00A7563F">
            <w:pPr>
              <w:spacing w:after="0"/>
              <w:ind w:right="-12"/>
              <w:jc w:val="left"/>
              <w:rPr>
                <w:sz w:val="18"/>
                <w:szCs w:val="18"/>
              </w:rPr>
            </w:pPr>
            <w:r w:rsidRPr="00342619">
              <w:rPr>
                <w:color w:val="314364" w:themeColor="text2"/>
                <w:sz w:val="18"/>
                <w:szCs w:val="18"/>
              </w:rPr>
              <w:t>VS</w:t>
            </w:r>
          </w:p>
        </w:tc>
        <w:tc>
          <w:tcPr>
            <w:tcW w:w="1778" w:type="pct"/>
          </w:tcPr>
          <w:p w14:paraId="7F487EF8" w14:textId="2DE719F4" w:rsidR="00A7563F" w:rsidRPr="00342619" w:rsidRDefault="00A7563F" w:rsidP="00A7563F">
            <w:pPr>
              <w:spacing w:after="0"/>
              <w:jc w:val="left"/>
              <w:rPr>
                <w:sz w:val="18"/>
                <w:szCs w:val="18"/>
              </w:rPr>
            </w:pPr>
            <w:r w:rsidRPr="00342619">
              <w:rPr>
                <w:sz w:val="18"/>
                <w:szCs w:val="18"/>
              </w:rPr>
              <w:t>verejná správa</w:t>
            </w:r>
          </w:p>
        </w:tc>
      </w:tr>
      <w:tr w:rsidR="00A7563F" w:rsidRPr="00B52236" w14:paraId="7043C195" w14:textId="77777777" w:rsidTr="004A05BA">
        <w:trPr>
          <w:trHeight w:val="283"/>
          <w:jc w:val="center"/>
        </w:trPr>
        <w:tc>
          <w:tcPr>
            <w:tcW w:w="541" w:type="pct"/>
            <w:shd w:val="clear" w:color="auto" w:fill="auto"/>
          </w:tcPr>
          <w:p w14:paraId="6430F45B" w14:textId="77777777" w:rsidR="00A7563F" w:rsidRPr="000353E9" w:rsidRDefault="00A7563F" w:rsidP="00A7563F">
            <w:pPr>
              <w:spacing w:after="0"/>
              <w:ind w:right="-81"/>
              <w:jc w:val="left"/>
              <w:rPr>
                <w:color w:val="314364" w:themeColor="text2"/>
                <w:sz w:val="18"/>
                <w:szCs w:val="18"/>
              </w:rPr>
            </w:pPr>
            <w:r w:rsidRPr="000353E9">
              <w:rPr>
                <w:color w:val="314364" w:themeColor="text2"/>
                <w:sz w:val="18"/>
                <w:szCs w:val="18"/>
              </w:rPr>
              <w:t xml:space="preserve">NR </w:t>
            </w:r>
          </w:p>
        </w:tc>
        <w:tc>
          <w:tcPr>
            <w:tcW w:w="2112" w:type="pct"/>
            <w:shd w:val="clear" w:color="auto" w:fill="auto"/>
          </w:tcPr>
          <w:p w14:paraId="451B3919" w14:textId="77777777" w:rsidR="00A7563F" w:rsidRPr="00342619" w:rsidRDefault="00A7563F" w:rsidP="00A7563F">
            <w:pPr>
              <w:spacing w:after="0"/>
              <w:jc w:val="left"/>
              <w:rPr>
                <w:sz w:val="18"/>
                <w:szCs w:val="18"/>
              </w:rPr>
            </w:pPr>
            <w:r w:rsidRPr="00342619">
              <w:rPr>
                <w:sz w:val="18"/>
                <w:szCs w:val="18"/>
              </w:rPr>
              <w:t>návrh rozpočtu</w:t>
            </w:r>
          </w:p>
        </w:tc>
        <w:tc>
          <w:tcPr>
            <w:tcW w:w="569" w:type="pct"/>
          </w:tcPr>
          <w:p w14:paraId="406A5F74" w14:textId="1CCB307E" w:rsidR="00A7563F" w:rsidRPr="00342619" w:rsidRDefault="00A7563F" w:rsidP="00A7563F">
            <w:pPr>
              <w:spacing w:after="0"/>
              <w:ind w:right="-12"/>
              <w:jc w:val="left"/>
              <w:rPr>
                <w:sz w:val="18"/>
                <w:szCs w:val="18"/>
              </w:rPr>
            </w:pPr>
            <w:r>
              <w:rPr>
                <w:color w:val="314364" w:themeColor="text2"/>
                <w:sz w:val="18"/>
                <w:szCs w:val="18"/>
              </w:rPr>
              <w:t>VZP</w:t>
            </w:r>
          </w:p>
        </w:tc>
        <w:tc>
          <w:tcPr>
            <w:tcW w:w="1778" w:type="pct"/>
          </w:tcPr>
          <w:p w14:paraId="4BDCCA25" w14:textId="16667A3D" w:rsidR="00A7563F" w:rsidRPr="00342619" w:rsidRDefault="00A7563F" w:rsidP="00A7563F">
            <w:pPr>
              <w:spacing w:after="0"/>
              <w:jc w:val="left"/>
              <w:rPr>
                <w:sz w:val="18"/>
                <w:szCs w:val="18"/>
              </w:rPr>
            </w:pPr>
            <w:r>
              <w:rPr>
                <w:sz w:val="18"/>
                <w:szCs w:val="18"/>
              </w:rPr>
              <w:t>všeobecné zdravotné poistenie</w:t>
            </w:r>
          </w:p>
        </w:tc>
      </w:tr>
      <w:tr w:rsidR="00A7563F" w:rsidRPr="00B52236" w14:paraId="43E78011" w14:textId="77777777" w:rsidTr="004A05BA">
        <w:trPr>
          <w:trHeight w:val="283"/>
          <w:jc w:val="center"/>
        </w:trPr>
        <w:tc>
          <w:tcPr>
            <w:tcW w:w="541" w:type="pct"/>
            <w:shd w:val="clear" w:color="auto" w:fill="auto"/>
          </w:tcPr>
          <w:p w14:paraId="726670A7" w14:textId="77777777" w:rsidR="00A7563F" w:rsidRPr="000353E9" w:rsidRDefault="00A7563F" w:rsidP="00A7563F">
            <w:pPr>
              <w:spacing w:after="0"/>
              <w:ind w:right="-81"/>
              <w:jc w:val="left"/>
              <w:rPr>
                <w:color w:val="314364" w:themeColor="text2"/>
                <w:sz w:val="18"/>
                <w:szCs w:val="18"/>
              </w:rPr>
            </w:pPr>
            <w:r w:rsidRPr="000353E9">
              <w:rPr>
                <w:color w:val="314364" w:themeColor="text2"/>
                <w:sz w:val="18"/>
                <w:szCs w:val="18"/>
              </w:rPr>
              <w:t>NR SR</w:t>
            </w:r>
          </w:p>
        </w:tc>
        <w:tc>
          <w:tcPr>
            <w:tcW w:w="2112" w:type="pct"/>
            <w:shd w:val="clear" w:color="auto" w:fill="auto"/>
          </w:tcPr>
          <w:p w14:paraId="5EFCBCDD" w14:textId="77777777" w:rsidR="00A7563F" w:rsidRPr="00342619" w:rsidRDefault="00A7563F" w:rsidP="00A7563F">
            <w:pPr>
              <w:spacing w:after="0"/>
              <w:jc w:val="left"/>
              <w:rPr>
                <w:sz w:val="18"/>
                <w:szCs w:val="18"/>
              </w:rPr>
            </w:pPr>
            <w:r w:rsidRPr="00342619">
              <w:rPr>
                <w:sz w:val="18"/>
                <w:szCs w:val="18"/>
              </w:rPr>
              <w:t xml:space="preserve">Národná rada </w:t>
            </w:r>
            <w:r>
              <w:rPr>
                <w:sz w:val="18"/>
                <w:szCs w:val="18"/>
              </w:rPr>
              <w:t>SR</w:t>
            </w:r>
          </w:p>
        </w:tc>
        <w:tc>
          <w:tcPr>
            <w:tcW w:w="569" w:type="pct"/>
          </w:tcPr>
          <w:p w14:paraId="20E6506A" w14:textId="78601786" w:rsidR="00A7563F" w:rsidRDefault="00A7563F" w:rsidP="00A7563F">
            <w:pPr>
              <w:spacing w:after="0"/>
              <w:ind w:right="-12"/>
              <w:jc w:val="left"/>
              <w:rPr>
                <w:color w:val="314364" w:themeColor="text2"/>
                <w:sz w:val="18"/>
                <w:szCs w:val="18"/>
              </w:rPr>
            </w:pPr>
            <w:r>
              <w:rPr>
                <w:color w:val="314364" w:themeColor="text2"/>
                <w:sz w:val="18"/>
                <w:szCs w:val="18"/>
              </w:rPr>
              <w:t>ZS</w:t>
            </w:r>
          </w:p>
        </w:tc>
        <w:tc>
          <w:tcPr>
            <w:tcW w:w="1778" w:type="pct"/>
          </w:tcPr>
          <w:p w14:paraId="3EA7BC16" w14:textId="7D6CB946" w:rsidR="00A7563F" w:rsidRDefault="00A7563F" w:rsidP="00A7563F">
            <w:pPr>
              <w:spacing w:after="0"/>
              <w:jc w:val="left"/>
              <w:rPr>
                <w:sz w:val="18"/>
                <w:szCs w:val="18"/>
              </w:rPr>
            </w:pPr>
            <w:r>
              <w:rPr>
                <w:sz w:val="18"/>
                <w:szCs w:val="18"/>
              </w:rPr>
              <w:t>zdravotná starostlivosť</w:t>
            </w:r>
          </w:p>
        </w:tc>
      </w:tr>
      <w:tr w:rsidR="004D139E" w:rsidRPr="00B52236" w14:paraId="61EA2B29" w14:textId="77777777" w:rsidTr="004A05BA">
        <w:trPr>
          <w:trHeight w:val="283"/>
          <w:jc w:val="center"/>
        </w:trPr>
        <w:tc>
          <w:tcPr>
            <w:tcW w:w="541" w:type="pct"/>
            <w:shd w:val="clear" w:color="auto" w:fill="auto"/>
          </w:tcPr>
          <w:p w14:paraId="2328F17B" w14:textId="77777777" w:rsidR="004D139E" w:rsidRPr="000353E9" w:rsidRDefault="004D139E" w:rsidP="004A05BA">
            <w:pPr>
              <w:spacing w:after="0"/>
              <w:ind w:right="-81"/>
              <w:jc w:val="left"/>
              <w:rPr>
                <w:color w:val="314364" w:themeColor="text2"/>
                <w:sz w:val="18"/>
                <w:szCs w:val="18"/>
              </w:rPr>
            </w:pPr>
            <w:r w:rsidRPr="000353E9">
              <w:rPr>
                <w:color w:val="314364" w:themeColor="text2"/>
                <w:sz w:val="18"/>
                <w:szCs w:val="18"/>
              </w:rPr>
              <w:t>OECD</w:t>
            </w:r>
          </w:p>
        </w:tc>
        <w:tc>
          <w:tcPr>
            <w:tcW w:w="2112" w:type="pct"/>
            <w:shd w:val="clear" w:color="auto" w:fill="auto"/>
          </w:tcPr>
          <w:p w14:paraId="74C4C556" w14:textId="77777777" w:rsidR="004D139E" w:rsidRPr="00342619" w:rsidRDefault="004D139E" w:rsidP="004A05BA">
            <w:pPr>
              <w:spacing w:after="0"/>
              <w:jc w:val="left"/>
              <w:rPr>
                <w:sz w:val="18"/>
                <w:szCs w:val="18"/>
              </w:rPr>
            </w:pPr>
            <w:r>
              <w:rPr>
                <w:sz w:val="18"/>
                <w:szCs w:val="18"/>
              </w:rPr>
              <w:t>Organizácia pre hospodársku spoluprácu a rozvoj</w:t>
            </w:r>
          </w:p>
        </w:tc>
        <w:tc>
          <w:tcPr>
            <w:tcW w:w="569" w:type="pct"/>
          </w:tcPr>
          <w:p w14:paraId="3BD36349" w14:textId="2736D2FD" w:rsidR="004D139E" w:rsidRDefault="004D139E" w:rsidP="004A05BA">
            <w:pPr>
              <w:spacing w:after="0"/>
              <w:ind w:right="-12"/>
              <w:jc w:val="left"/>
              <w:rPr>
                <w:color w:val="314364" w:themeColor="text2"/>
                <w:sz w:val="18"/>
                <w:szCs w:val="18"/>
              </w:rPr>
            </w:pPr>
          </w:p>
        </w:tc>
        <w:tc>
          <w:tcPr>
            <w:tcW w:w="1778" w:type="pct"/>
          </w:tcPr>
          <w:p w14:paraId="3794C8DA" w14:textId="1AD56F16" w:rsidR="004D139E" w:rsidRDefault="004D139E" w:rsidP="004A05BA">
            <w:pPr>
              <w:spacing w:after="0"/>
              <w:jc w:val="left"/>
              <w:rPr>
                <w:sz w:val="18"/>
                <w:szCs w:val="18"/>
              </w:rPr>
            </w:pPr>
          </w:p>
        </w:tc>
      </w:tr>
    </w:tbl>
    <w:p w14:paraId="49D7FCB9" w14:textId="67638FA2" w:rsidR="004D139E" w:rsidRDefault="004D139E" w:rsidP="00277C8B">
      <w:pPr>
        <w:pStyle w:val="vodZverZhrnutie"/>
      </w:pPr>
    </w:p>
    <w:p w14:paraId="718A2419" w14:textId="77777777" w:rsidR="004D139E" w:rsidRDefault="004D139E">
      <w:pPr>
        <w:spacing w:after="160" w:line="259" w:lineRule="auto"/>
        <w:jc w:val="left"/>
        <w:rPr>
          <w:rFonts w:eastAsiaTheme="majorEastAsia" w:cstheme="majorBidi"/>
          <w:b/>
          <w:color w:val="314364"/>
          <w:position w:val="10"/>
          <w:sz w:val="32"/>
          <w:szCs w:val="32"/>
        </w:rPr>
      </w:pPr>
      <w:r>
        <w:br w:type="page"/>
      </w:r>
    </w:p>
    <w:p w14:paraId="03AADF1D" w14:textId="59205E8C" w:rsidR="001609D9" w:rsidRDefault="001609D9" w:rsidP="00277C8B">
      <w:pPr>
        <w:pStyle w:val="vodZverZhrnutie"/>
      </w:pPr>
      <w:bookmarkStart w:id="2" w:name="_Toc153784690"/>
      <w:r>
        <w:lastRenderedPageBreak/>
        <w:t>Zhrnutie</w:t>
      </w:r>
      <w:bookmarkEnd w:id="0"/>
      <w:bookmarkEnd w:id="2"/>
    </w:p>
    <w:p w14:paraId="03B5192F" w14:textId="77777777" w:rsidR="00936DDB" w:rsidRDefault="00936DDB" w:rsidP="00936DDB">
      <w:pPr>
        <w:pStyle w:val="Textpoznmkypodiarou"/>
        <w:spacing w:after="120" w:line="276" w:lineRule="auto"/>
        <w:rPr>
          <w:sz w:val="20"/>
        </w:rPr>
      </w:pPr>
      <w:r>
        <w:rPr>
          <w:sz w:val="20"/>
        </w:rPr>
        <w:t>Návrh rozpočtu pripravila nová vláda v zrýchlenom konaní tak, aby ho predložila na schválenie ešte v roku 2023 a aby sa krajina vyhla rozpočtovému provizóriu.</w:t>
      </w:r>
      <w:r w:rsidRPr="00311600">
        <w:t xml:space="preserve"> </w:t>
      </w:r>
      <w:r>
        <w:rPr>
          <w:sz w:val="20"/>
        </w:rPr>
        <w:t>Dlhšie r</w:t>
      </w:r>
      <w:r w:rsidRPr="00311600">
        <w:rPr>
          <w:sz w:val="20"/>
        </w:rPr>
        <w:t>ozpočtové provizórium by mohlo mať negatívny vplyv na riadenie celého štátu, ako aj na ratingové hodnotenie S</w:t>
      </w:r>
      <w:r>
        <w:rPr>
          <w:sz w:val="20"/>
        </w:rPr>
        <w:t>R</w:t>
      </w:r>
      <w:r w:rsidRPr="00311600">
        <w:rPr>
          <w:sz w:val="20"/>
        </w:rPr>
        <w:t>.</w:t>
      </w:r>
    </w:p>
    <w:p w14:paraId="5593C16B" w14:textId="77777777" w:rsidR="00936DDB" w:rsidRPr="00C87CF4" w:rsidRDefault="00936DDB" w:rsidP="00936DDB">
      <w:pPr>
        <w:pStyle w:val="Textpoznmkypodiarou"/>
        <w:spacing w:after="120" w:line="276" w:lineRule="auto"/>
        <w:rPr>
          <w:sz w:val="20"/>
        </w:rPr>
      </w:pPr>
      <w:r>
        <w:rPr>
          <w:sz w:val="20"/>
        </w:rPr>
        <w:t>Z dôvodu obmedzeného času na tvorbu rozpočtu neprebehla riadna celospoločenská diskusia a diskusia neprebehla ani na úrovni kapitol ohľadom záväzných ukazovateľov a plánovanej konsolidácie či revízie výdavkov. Následkom sú tak viaceré nezrovnalosti, ako aj nižšia transparentnosť výdavkov, ktoré sa v predloženom rozpočte objavili, vrátane nepredvídateľnosti financovania vo viacerých oblastiach.</w:t>
      </w:r>
    </w:p>
    <w:p w14:paraId="206FF932" w14:textId="0DA84084" w:rsidR="00936DDB" w:rsidRDefault="00936DDB" w:rsidP="00936DDB">
      <w:pPr>
        <w:pStyle w:val="Textpoznmkypodiarou"/>
        <w:spacing w:after="120" w:line="276" w:lineRule="auto"/>
        <w:rPr>
          <w:sz w:val="20"/>
        </w:rPr>
      </w:pPr>
      <w:r w:rsidRPr="00D71961">
        <w:rPr>
          <w:sz w:val="20"/>
        </w:rPr>
        <w:t>Udržateľné verejné financie sú z dlhodobého hľadiska pre SR veľkou výzvou. Jedným z nástrojov na zabezpečenie dlhodobej udržateľnosti verejných financií je aj limit verejných výdavkov. Predkladaný návrh rozpočtu nereflektuje na vyčíslené limity verejných výdavkov. NKÚ SR identifik</w:t>
      </w:r>
      <w:r>
        <w:rPr>
          <w:sz w:val="20"/>
        </w:rPr>
        <w:t>oval už v roku 2022</w:t>
      </w:r>
      <w:r w:rsidRPr="00D71961">
        <w:rPr>
          <w:sz w:val="20"/>
        </w:rPr>
        <w:t xml:space="preserve"> riziko pri </w:t>
      </w:r>
      <w:r w:rsidR="00E63A22">
        <w:rPr>
          <w:sz w:val="20"/>
        </w:rPr>
        <w:t>neuplatňovaní</w:t>
      </w:r>
      <w:r w:rsidRPr="00D71961">
        <w:rPr>
          <w:sz w:val="20"/>
        </w:rPr>
        <w:t xml:space="preserve"> limitov ako míľnika </w:t>
      </w:r>
      <w:r w:rsidR="00E63A22">
        <w:rPr>
          <w:sz w:val="20"/>
        </w:rPr>
        <w:t xml:space="preserve">zadefinovaného </w:t>
      </w:r>
      <w:r w:rsidRPr="00D71961">
        <w:rPr>
          <w:sz w:val="20"/>
        </w:rPr>
        <w:t>v</w:t>
      </w:r>
      <w:r>
        <w:rPr>
          <w:sz w:val="20"/>
        </w:rPr>
        <w:t> pláne obnovy a</w:t>
      </w:r>
      <w:r w:rsidR="00E63A22">
        <w:rPr>
          <w:sz w:val="20"/>
        </w:rPr>
        <w:t> </w:t>
      </w:r>
      <w:r>
        <w:rPr>
          <w:sz w:val="20"/>
        </w:rPr>
        <w:t>odolnosti</w:t>
      </w:r>
      <w:r w:rsidR="00E63A22">
        <w:rPr>
          <w:sz w:val="20"/>
        </w:rPr>
        <w:t>, ktoré sú jedným zo systémových nástrojov</w:t>
      </w:r>
      <w:r w:rsidRPr="00D71961">
        <w:rPr>
          <w:sz w:val="20"/>
        </w:rPr>
        <w:t xml:space="preserve"> ud</w:t>
      </w:r>
      <w:r>
        <w:rPr>
          <w:sz w:val="20"/>
        </w:rPr>
        <w:t>ržateľnosti verejných financií.</w:t>
      </w:r>
    </w:p>
    <w:p w14:paraId="02B7A60B" w14:textId="77777777" w:rsidR="00936DDB" w:rsidRPr="00C87CF4" w:rsidRDefault="00936DDB" w:rsidP="00936DDB">
      <w:pPr>
        <w:pStyle w:val="Textpoznmkypodiarou"/>
        <w:spacing w:after="120" w:line="276" w:lineRule="auto"/>
        <w:rPr>
          <w:sz w:val="20"/>
        </w:rPr>
      </w:pPr>
      <w:r w:rsidRPr="00680454">
        <w:rPr>
          <w:sz w:val="20"/>
        </w:rPr>
        <w:t>Predložený návrh rozpočtu podporuje ekonomický rast v roku 2024, a to aj na úkor vyššieho deficitu VS</w:t>
      </w:r>
      <w:r>
        <w:rPr>
          <w:sz w:val="20"/>
        </w:rPr>
        <w:t xml:space="preserve"> (5,97 % HDP)</w:t>
      </w:r>
      <w:r w:rsidRPr="00680454">
        <w:rPr>
          <w:sz w:val="20"/>
        </w:rPr>
        <w:t>.</w:t>
      </w:r>
      <w:r w:rsidRPr="00C87CF4">
        <w:rPr>
          <w:sz w:val="20"/>
        </w:rPr>
        <w:t xml:space="preserve"> </w:t>
      </w:r>
      <w:r>
        <w:rPr>
          <w:sz w:val="20"/>
        </w:rPr>
        <w:t xml:space="preserve">To bude mať za následok aj rast dlhu VS </w:t>
      </w:r>
      <w:r w:rsidRPr="001208E2">
        <w:rPr>
          <w:sz w:val="20"/>
        </w:rPr>
        <w:t xml:space="preserve">z 57,8 % HDP v roku 2023 na </w:t>
      </w:r>
      <w:r w:rsidRPr="00C87CF4">
        <w:rPr>
          <w:sz w:val="20"/>
        </w:rPr>
        <w:t>5</w:t>
      </w:r>
      <w:r>
        <w:rPr>
          <w:sz w:val="20"/>
        </w:rPr>
        <w:t>8</w:t>
      </w:r>
      <w:r w:rsidRPr="00C87CF4">
        <w:rPr>
          <w:sz w:val="20"/>
        </w:rPr>
        <w:t>,</w:t>
      </w:r>
      <w:r>
        <w:rPr>
          <w:sz w:val="20"/>
        </w:rPr>
        <w:t>3</w:t>
      </w:r>
      <w:r w:rsidRPr="00C87CF4">
        <w:rPr>
          <w:sz w:val="20"/>
        </w:rPr>
        <w:t xml:space="preserve"> % HDP</w:t>
      </w:r>
      <w:r>
        <w:rPr>
          <w:sz w:val="20"/>
        </w:rPr>
        <w:t xml:space="preserve"> v roku 2024. Rast HDP</w:t>
      </w:r>
      <w:r w:rsidRPr="00C87CF4">
        <w:rPr>
          <w:sz w:val="20"/>
        </w:rPr>
        <w:t xml:space="preserve"> </w:t>
      </w:r>
      <w:r>
        <w:rPr>
          <w:sz w:val="20"/>
        </w:rPr>
        <w:t xml:space="preserve">v roku 2024 </w:t>
      </w:r>
      <w:r w:rsidRPr="00C87CF4">
        <w:rPr>
          <w:sz w:val="20"/>
        </w:rPr>
        <w:t xml:space="preserve">očakáva MF SR na úrovni 2,7 %, čo sa </w:t>
      </w:r>
      <w:r>
        <w:rPr>
          <w:sz w:val="20"/>
        </w:rPr>
        <w:t xml:space="preserve">má </w:t>
      </w:r>
      <w:r w:rsidRPr="00C87CF4">
        <w:rPr>
          <w:sz w:val="20"/>
        </w:rPr>
        <w:t>premietn</w:t>
      </w:r>
      <w:r>
        <w:rPr>
          <w:sz w:val="20"/>
        </w:rPr>
        <w:t>uť</w:t>
      </w:r>
      <w:r w:rsidRPr="00C87CF4">
        <w:rPr>
          <w:sz w:val="20"/>
        </w:rPr>
        <w:t xml:space="preserve"> do rastu zamestnanosti o 0,4 % a miera nezamestnanosti </w:t>
      </w:r>
      <w:r>
        <w:rPr>
          <w:sz w:val="20"/>
        </w:rPr>
        <w:t xml:space="preserve">by mala </w:t>
      </w:r>
      <w:r w:rsidRPr="00C87CF4">
        <w:rPr>
          <w:sz w:val="20"/>
        </w:rPr>
        <w:t>klesn</w:t>
      </w:r>
      <w:r>
        <w:rPr>
          <w:sz w:val="20"/>
        </w:rPr>
        <w:t>úť</w:t>
      </w:r>
      <w:r w:rsidRPr="00C87CF4">
        <w:rPr>
          <w:sz w:val="20"/>
        </w:rPr>
        <w:t xml:space="preserve"> na historicky najnižšiu úroveň 5,4 %.</w:t>
      </w:r>
      <w:r>
        <w:rPr>
          <w:sz w:val="20"/>
        </w:rPr>
        <w:t xml:space="preserve"> NKÚ SR upozorňuje však na riziko nenaplnenia rozpočtu podľa očakávaní.</w:t>
      </w:r>
    </w:p>
    <w:p w14:paraId="5A69B449" w14:textId="77777777" w:rsidR="00936DDB" w:rsidRDefault="00936DDB" w:rsidP="00936DDB">
      <w:pPr>
        <w:pStyle w:val="Textpoznmkypodiarou"/>
        <w:spacing w:after="120" w:line="276" w:lineRule="auto"/>
        <w:rPr>
          <w:sz w:val="20"/>
        </w:rPr>
      </w:pPr>
      <w:r w:rsidRPr="00604309">
        <w:rPr>
          <w:rFonts w:eastAsia="Calibri" w:cs="Segoe UI"/>
          <w:sz w:val="20"/>
        </w:rPr>
        <w:t xml:space="preserve">K medziročnému poklesu schodku o 0,5 % </w:t>
      </w:r>
      <w:r>
        <w:rPr>
          <w:rFonts w:eastAsia="Calibri" w:cs="Segoe UI"/>
          <w:sz w:val="20"/>
        </w:rPr>
        <w:t xml:space="preserve">HDP v roku 2024 majú prispieť </w:t>
      </w:r>
      <w:r w:rsidRPr="00604309">
        <w:rPr>
          <w:rFonts w:eastAsia="Calibri" w:cs="Segoe UI"/>
          <w:sz w:val="20"/>
        </w:rPr>
        <w:t>najmä prijaté konsolidačné opatrenia</w:t>
      </w:r>
      <w:r>
        <w:rPr>
          <w:rFonts w:eastAsia="Calibri" w:cs="Segoe UI"/>
          <w:sz w:val="20"/>
        </w:rPr>
        <w:t>.</w:t>
      </w:r>
      <w:r w:rsidRPr="00604309">
        <w:rPr>
          <w:rFonts w:eastAsia="Calibri" w:cs="Segoe UI"/>
          <w:sz w:val="20"/>
        </w:rPr>
        <w:t xml:space="preserve"> </w:t>
      </w:r>
      <w:r>
        <w:rPr>
          <w:rFonts w:eastAsia="Calibri" w:cs="Segoe UI"/>
          <w:sz w:val="20"/>
        </w:rPr>
        <w:t>N</w:t>
      </w:r>
      <w:r w:rsidRPr="00604309">
        <w:rPr>
          <w:rFonts w:eastAsia="Calibri" w:cs="Segoe UI"/>
          <w:sz w:val="20"/>
        </w:rPr>
        <w:t xml:space="preserve">a príjmovej </w:t>
      </w:r>
      <w:r>
        <w:rPr>
          <w:rFonts w:eastAsia="Calibri" w:cs="Segoe UI"/>
          <w:sz w:val="20"/>
        </w:rPr>
        <w:t>strane je to n</w:t>
      </w:r>
      <w:r w:rsidRPr="00604309">
        <w:rPr>
          <w:rFonts w:eastAsia="Calibri" w:cs="Segoe UI"/>
          <w:sz w:val="20"/>
        </w:rPr>
        <w:t xml:space="preserve">ajmä zdanenie dočasných vysokých ziskov v bankovom sektore, zvýšenie zdravotných odvodov, predĺženie platnosti solidárneho príspevku v odvetví </w:t>
      </w:r>
      <w:proofErr w:type="spellStart"/>
      <w:r w:rsidRPr="00604309">
        <w:rPr>
          <w:rFonts w:eastAsia="Calibri" w:cs="Segoe UI"/>
          <w:sz w:val="20"/>
        </w:rPr>
        <w:t>spracujúcom</w:t>
      </w:r>
      <w:proofErr w:type="spellEnd"/>
      <w:r w:rsidRPr="00604309">
        <w:rPr>
          <w:rFonts w:eastAsia="Calibri" w:cs="Segoe UI"/>
          <w:sz w:val="20"/>
        </w:rPr>
        <w:t xml:space="preserve"> ropu, zníženie odvodov do </w:t>
      </w:r>
      <w:r>
        <w:rPr>
          <w:rFonts w:eastAsia="Calibri" w:cs="Segoe UI"/>
          <w:sz w:val="20"/>
        </w:rPr>
        <w:t>II</w:t>
      </w:r>
      <w:r w:rsidRPr="00604309">
        <w:rPr>
          <w:rFonts w:eastAsia="Calibri" w:cs="Segoe UI"/>
          <w:sz w:val="20"/>
        </w:rPr>
        <w:t xml:space="preserve">. dôchodkového piliera, zavedenie minimálnej a </w:t>
      </w:r>
      <w:proofErr w:type="spellStart"/>
      <w:r w:rsidRPr="00604309">
        <w:rPr>
          <w:rFonts w:eastAsia="Calibri" w:cs="Segoe UI"/>
          <w:sz w:val="20"/>
        </w:rPr>
        <w:t>dorovnávacej</w:t>
      </w:r>
      <w:proofErr w:type="spellEnd"/>
      <w:r w:rsidRPr="00604309">
        <w:rPr>
          <w:rFonts w:eastAsia="Calibri" w:cs="Segoe UI"/>
          <w:sz w:val="20"/>
        </w:rPr>
        <w:t xml:space="preserve"> dane pre právnické osoby, či zvýšenie daní z tabaku a</w:t>
      </w:r>
      <w:r>
        <w:rPr>
          <w:rFonts w:eastAsia="Calibri" w:cs="Segoe UI"/>
          <w:sz w:val="20"/>
        </w:rPr>
        <w:t> </w:t>
      </w:r>
      <w:r w:rsidRPr="00604309">
        <w:rPr>
          <w:rFonts w:eastAsia="Calibri" w:cs="Segoe UI"/>
          <w:sz w:val="20"/>
        </w:rPr>
        <w:t>liehu</w:t>
      </w:r>
      <w:r>
        <w:rPr>
          <w:rFonts w:eastAsia="Calibri" w:cs="Segoe UI"/>
          <w:sz w:val="20"/>
        </w:rPr>
        <w:t>.</w:t>
      </w:r>
      <w:r w:rsidRPr="00604309">
        <w:rPr>
          <w:rFonts w:eastAsia="Calibri" w:cs="Segoe UI"/>
          <w:sz w:val="20"/>
        </w:rPr>
        <w:t xml:space="preserve"> </w:t>
      </w:r>
      <w:r>
        <w:rPr>
          <w:rFonts w:eastAsia="Calibri" w:cs="Segoe UI"/>
          <w:sz w:val="20"/>
        </w:rPr>
        <w:t>N</w:t>
      </w:r>
      <w:r w:rsidRPr="00604309">
        <w:rPr>
          <w:rFonts w:eastAsia="Calibri" w:cs="Segoe UI"/>
          <w:sz w:val="20"/>
        </w:rPr>
        <w:t xml:space="preserve">a výdavkovej strane </w:t>
      </w:r>
      <w:r>
        <w:rPr>
          <w:rFonts w:eastAsia="Calibri" w:cs="Segoe UI"/>
          <w:sz w:val="20"/>
        </w:rPr>
        <w:t xml:space="preserve">je to napríklad </w:t>
      </w:r>
      <w:r w:rsidRPr="00604309">
        <w:rPr>
          <w:sz w:val="20"/>
        </w:rPr>
        <w:t>viazanie</w:t>
      </w:r>
      <w:r>
        <w:rPr>
          <w:sz w:val="20"/>
        </w:rPr>
        <w:t xml:space="preserve"> </w:t>
      </w:r>
      <w:r w:rsidRPr="00604309">
        <w:rPr>
          <w:sz w:val="20"/>
        </w:rPr>
        <w:t xml:space="preserve">výdavkov </w:t>
      </w:r>
      <w:r>
        <w:rPr>
          <w:sz w:val="20"/>
        </w:rPr>
        <w:t xml:space="preserve">kapitol </w:t>
      </w:r>
      <w:r w:rsidRPr="00604309">
        <w:rPr>
          <w:sz w:val="20"/>
        </w:rPr>
        <w:t>na úrovni 5 %</w:t>
      </w:r>
      <w:r>
        <w:rPr>
          <w:sz w:val="20"/>
        </w:rPr>
        <w:t xml:space="preserve"> osobných výdavkov a nulová valorizáciu platov zamestnancov vo verejnej správe v roku 2024</w:t>
      </w:r>
      <w:r w:rsidRPr="00604309">
        <w:rPr>
          <w:sz w:val="20"/>
        </w:rPr>
        <w:t>.</w:t>
      </w:r>
      <w:r w:rsidRPr="003C3FA9">
        <w:rPr>
          <w:sz w:val="20"/>
        </w:rPr>
        <w:t xml:space="preserve"> </w:t>
      </w:r>
      <w:r w:rsidRPr="003514B9">
        <w:rPr>
          <w:sz w:val="20"/>
        </w:rPr>
        <w:t xml:space="preserve">Týmito konsolidačnými opatreniami však vláda nekonsoliduje verejné financie, ale </w:t>
      </w:r>
      <w:r>
        <w:rPr>
          <w:sz w:val="20"/>
        </w:rPr>
        <w:t xml:space="preserve">predovšetkým </w:t>
      </w:r>
      <w:r w:rsidRPr="003514B9">
        <w:rPr>
          <w:sz w:val="20"/>
        </w:rPr>
        <w:t>hľadá dodatočné finančné zdroje na plnenie sociálnych programov a cieľov v PVV.</w:t>
      </w:r>
    </w:p>
    <w:p w14:paraId="24362885" w14:textId="1FE38F19" w:rsidR="00936DDB" w:rsidRDefault="00F752DF" w:rsidP="00936DDB">
      <w:pPr>
        <w:pStyle w:val="Textpoznmkypodiarou"/>
        <w:spacing w:after="120" w:line="276" w:lineRule="auto"/>
        <w:rPr>
          <w:sz w:val="20"/>
        </w:rPr>
      </w:pPr>
      <w:r>
        <w:rPr>
          <w:sz w:val="20"/>
        </w:rPr>
        <w:t>V</w:t>
      </w:r>
      <w:r w:rsidR="00936DDB" w:rsidRPr="00C87CF4">
        <w:rPr>
          <w:sz w:val="20"/>
        </w:rPr>
        <w:t>láda</w:t>
      </w:r>
      <w:r w:rsidR="00936DDB">
        <w:rPr>
          <w:sz w:val="20"/>
        </w:rPr>
        <w:t xml:space="preserve"> môže ovplyvniť ekonomický a hospodársky rast SR</w:t>
      </w:r>
      <w:r w:rsidR="00936DDB" w:rsidRPr="00C87CF4">
        <w:rPr>
          <w:sz w:val="20"/>
        </w:rPr>
        <w:t xml:space="preserve"> </w:t>
      </w:r>
      <w:r w:rsidR="00936DDB">
        <w:rPr>
          <w:sz w:val="20"/>
        </w:rPr>
        <w:t xml:space="preserve">v budúcom roku aj </w:t>
      </w:r>
      <w:r w:rsidR="00936DDB" w:rsidRPr="00C87CF4">
        <w:rPr>
          <w:sz w:val="20"/>
        </w:rPr>
        <w:t>využi</w:t>
      </w:r>
      <w:r w:rsidR="00936DDB">
        <w:rPr>
          <w:sz w:val="20"/>
        </w:rPr>
        <w:t>tím</w:t>
      </w:r>
      <w:r w:rsidR="00936DDB" w:rsidRPr="00C87CF4">
        <w:rPr>
          <w:sz w:val="20"/>
        </w:rPr>
        <w:t xml:space="preserve"> prostriedkov z európskych štrukturálnych a investičných fondov, ako aj z</w:t>
      </w:r>
      <w:r w:rsidR="00936DDB">
        <w:rPr>
          <w:sz w:val="20"/>
        </w:rPr>
        <w:t> POO v celkovej sume</w:t>
      </w:r>
      <w:r w:rsidR="00936DDB" w:rsidRPr="000D6E76">
        <w:t xml:space="preserve"> </w:t>
      </w:r>
      <w:r w:rsidR="00936DDB" w:rsidRPr="000D6E76">
        <w:rPr>
          <w:sz w:val="20"/>
        </w:rPr>
        <w:t>2,5 mld. eur</w:t>
      </w:r>
      <w:r w:rsidR="00936DDB">
        <w:rPr>
          <w:sz w:val="20"/>
        </w:rPr>
        <w:t>, čo predstavuje</w:t>
      </w:r>
      <w:r w:rsidR="00936DDB" w:rsidRPr="00B505D4">
        <w:t xml:space="preserve"> </w:t>
      </w:r>
      <w:r w:rsidR="00936DDB" w:rsidRPr="00B505D4">
        <w:rPr>
          <w:sz w:val="20"/>
        </w:rPr>
        <w:t>približne jednu tretinu celkovej rozpočtovanej sumy na rok 2023</w:t>
      </w:r>
      <w:r w:rsidR="00936DDB" w:rsidRPr="00C87CF4">
        <w:rPr>
          <w:sz w:val="20"/>
        </w:rPr>
        <w:t>.</w:t>
      </w:r>
      <w:r w:rsidR="00936DDB">
        <w:rPr>
          <w:sz w:val="20"/>
        </w:rPr>
        <w:t xml:space="preserve"> Napriek tomu budú kapitálové výdavky RVS medziročne nižšie o takmer 17</w:t>
      </w:r>
      <w:r w:rsidR="00936DDB" w:rsidRPr="00B505D4">
        <w:rPr>
          <w:sz w:val="20"/>
        </w:rPr>
        <w:t xml:space="preserve"> %</w:t>
      </w:r>
      <w:r w:rsidR="00936DDB">
        <w:rPr>
          <w:sz w:val="20"/>
        </w:rPr>
        <w:t xml:space="preserve"> oproti očakávanej skutočnosti roku 2023.</w:t>
      </w:r>
      <w:r w:rsidR="00936DDB" w:rsidRPr="00634A7F">
        <w:rPr>
          <w:sz w:val="20"/>
        </w:rPr>
        <w:t xml:space="preserve"> </w:t>
      </w:r>
      <w:r w:rsidR="00936DDB">
        <w:rPr>
          <w:sz w:val="20"/>
        </w:rPr>
        <w:t>NKÚ SR upozorňuje, že okrem samotného čerpania je výzvou aj efektívna alokácia výdavkov a dosahovanie stanovených cieľov.</w:t>
      </w:r>
    </w:p>
    <w:p w14:paraId="4CBD322F" w14:textId="77777777" w:rsidR="00936DDB" w:rsidRPr="009950D0" w:rsidRDefault="00936DDB" w:rsidP="00936DDB">
      <w:pPr>
        <w:pStyle w:val="Textpoznmkypodiarou"/>
        <w:spacing w:after="120" w:line="276" w:lineRule="auto"/>
        <w:rPr>
          <w:sz w:val="20"/>
        </w:rPr>
      </w:pPr>
      <w:r w:rsidRPr="009950D0">
        <w:rPr>
          <w:sz w:val="20"/>
        </w:rPr>
        <w:t xml:space="preserve">Predložený návrh ŠR reaguje predovšetkým na programové vyhlásenie novej vlády, v ktorom si nastavila vlastné rozpočtové ciele. Pred novou vládou SR stojí výzva, ako udržať súčasný sociálny štandard a zároveň naplniť krátkodobé priority stanovené v PVV, čo naráža na možnosti rozpočtu. V rozpočte sa nachádza aj historicky najvyšší transfer Sociálnej poisťovni vo výške 1,6 mld. eur, ktorý sa má použiť na rodičovský dôchodok a na valorizáciu dôchodkov. V návrhu rozpočtu sa počíta aj s </w:t>
      </w:r>
      <w:r>
        <w:rPr>
          <w:sz w:val="20"/>
        </w:rPr>
        <w:t> </w:t>
      </w:r>
      <w:r w:rsidRPr="009950D0">
        <w:rPr>
          <w:sz w:val="20"/>
        </w:rPr>
        <w:t>rezervou na 13. dôchodky a na ďalšie napl</w:t>
      </w:r>
      <w:r>
        <w:rPr>
          <w:sz w:val="20"/>
        </w:rPr>
        <w:t>ánované legislatívne opatrenia.</w:t>
      </w:r>
    </w:p>
    <w:p w14:paraId="113B13F0" w14:textId="5685245D" w:rsidR="00936DDB" w:rsidRDefault="00936DDB" w:rsidP="00936DDB">
      <w:pPr>
        <w:pStyle w:val="Textpoznmkypodiarou"/>
        <w:spacing w:after="120" w:line="276" w:lineRule="auto"/>
        <w:rPr>
          <w:sz w:val="20"/>
        </w:rPr>
      </w:pPr>
      <w:r w:rsidRPr="00EA3814">
        <w:rPr>
          <w:sz w:val="20"/>
        </w:rPr>
        <w:t>Napriek via</w:t>
      </w:r>
      <w:r>
        <w:rPr>
          <w:sz w:val="20"/>
        </w:rPr>
        <w:t>zaniu</w:t>
      </w:r>
      <w:r w:rsidRPr="00EA3814">
        <w:rPr>
          <w:sz w:val="20"/>
        </w:rPr>
        <w:t xml:space="preserve"> výdavk</w:t>
      </w:r>
      <w:r>
        <w:rPr>
          <w:sz w:val="20"/>
        </w:rPr>
        <w:t>ov</w:t>
      </w:r>
      <w:r w:rsidRPr="00EA3814">
        <w:rPr>
          <w:sz w:val="20"/>
        </w:rPr>
        <w:t xml:space="preserve"> </w:t>
      </w:r>
      <w:r>
        <w:rPr>
          <w:sz w:val="20"/>
        </w:rPr>
        <w:t xml:space="preserve">kapitol ŠR </w:t>
      </w:r>
      <w:r w:rsidRPr="00EA3814">
        <w:rPr>
          <w:sz w:val="20"/>
        </w:rPr>
        <w:t>na úrovni 5 %</w:t>
      </w:r>
      <w:r>
        <w:rPr>
          <w:sz w:val="20"/>
        </w:rPr>
        <w:t xml:space="preserve"> osobných výdavkov počíta návrh rozpočtu s rastom</w:t>
      </w:r>
      <w:r w:rsidRPr="00EA3814">
        <w:rPr>
          <w:sz w:val="20"/>
        </w:rPr>
        <w:t xml:space="preserve"> počtu zamestnancov </w:t>
      </w:r>
      <w:r>
        <w:rPr>
          <w:sz w:val="20"/>
        </w:rPr>
        <w:t>VS</w:t>
      </w:r>
      <w:r w:rsidRPr="00EA3814">
        <w:rPr>
          <w:sz w:val="20"/>
        </w:rPr>
        <w:t xml:space="preserve">. </w:t>
      </w:r>
      <w:r w:rsidRPr="003514B9">
        <w:rPr>
          <w:sz w:val="20"/>
        </w:rPr>
        <w:t>Podľa PVV vláda plánuje re</w:t>
      </w:r>
      <w:r>
        <w:rPr>
          <w:sz w:val="20"/>
        </w:rPr>
        <w:t>formu</w:t>
      </w:r>
      <w:r w:rsidRPr="003514B9">
        <w:rPr>
          <w:sz w:val="20"/>
        </w:rPr>
        <w:t xml:space="preserve"> VS</w:t>
      </w:r>
      <w:r>
        <w:rPr>
          <w:sz w:val="20"/>
        </w:rPr>
        <w:t>, ktorá</w:t>
      </w:r>
      <w:r w:rsidRPr="003514B9">
        <w:rPr>
          <w:sz w:val="20"/>
        </w:rPr>
        <w:t xml:space="preserve"> má priniesť významné úspory na investičných aj prevádzkových nákladoch štátu. NKÚ SR upozorňuje, že zakladanie nových úradov</w:t>
      </w:r>
      <w:r>
        <w:rPr>
          <w:sz w:val="20"/>
        </w:rPr>
        <w:t xml:space="preserve"> vrátane</w:t>
      </w:r>
      <w:r w:rsidRPr="003514B9">
        <w:rPr>
          <w:sz w:val="20"/>
        </w:rPr>
        <w:t xml:space="preserve"> zriadeni</w:t>
      </w:r>
      <w:r>
        <w:rPr>
          <w:sz w:val="20"/>
        </w:rPr>
        <w:t>a</w:t>
      </w:r>
      <w:r w:rsidRPr="003514B9">
        <w:rPr>
          <w:sz w:val="20"/>
        </w:rPr>
        <w:t xml:space="preserve"> nového ministerstva </w:t>
      </w:r>
      <w:r>
        <w:rPr>
          <w:sz w:val="20"/>
        </w:rPr>
        <w:t xml:space="preserve">je </w:t>
      </w:r>
      <w:r w:rsidRPr="003514B9">
        <w:rPr>
          <w:sz w:val="20"/>
        </w:rPr>
        <w:t>v rozpore s touto optimalizáciou.</w:t>
      </w:r>
      <w:r>
        <w:rPr>
          <w:sz w:val="20"/>
        </w:rPr>
        <w:t xml:space="preserve"> </w:t>
      </w:r>
      <w:r w:rsidRPr="00E119E5">
        <w:rPr>
          <w:sz w:val="20"/>
        </w:rPr>
        <w:t xml:space="preserve">V návrhu rozpočtu sa </w:t>
      </w:r>
      <w:r>
        <w:rPr>
          <w:sz w:val="20"/>
        </w:rPr>
        <w:t xml:space="preserve">vzniku </w:t>
      </w:r>
      <w:r w:rsidRPr="00E119E5">
        <w:rPr>
          <w:sz w:val="20"/>
        </w:rPr>
        <w:lastRenderedPageBreak/>
        <w:t>nové</w:t>
      </w:r>
      <w:r>
        <w:rPr>
          <w:sz w:val="20"/>
        </w:rPr>
        <w:t>ho</w:t>
      </w:r>
      <w:r w:rsidRPr="00E119E5">
        <w:rPr>
          <w:sz w:val="20"/>
        </w:rPr>
        <w:t xml:space="preserve"> </w:t>
      </w:r>
      <w:r w:rsidRPr="008F6CAB">
        <w:rPr>
          <w:sz w:val="20"/>
        </w:rPr>
        <w:t xml:space="preserve">Ministerstva cestovného ruchu a športu SR </w:t>
      </w:r>
      <w:r w:rsidRPr="00E119E5">
        <w:rPr>
          <w:sz w:val="20"/>
        </w:rPr>
        <w:t>venuje len jedna veta a nie je jasné, koľko zdrojov bude preň vyčlenených a či pôjde o presun súčasných štátnych zamestnancov z iných kapitol alebo o prijatie nových.</w:t>
      </w:r>
      <w:r w:rsidRPr="00966191">
        <w:rPr>
          <w:sz w:val="20"/>
        </w:rPr>
        <w:t xml:space="preserve"> </w:t>
      </w:r>
      <w:r>
        <w:rPr>
          <w:sz w:val="20"/>
        </w:rPr>
        <w:t>Rovnako nie je jasné konkrétne zameranie, ciele a politiky, na ktoré bude nové ministerstvo zamerané a aké kompetencie a nástroje na dosahovanie cieľov mu budú stanovené.</w:t>
      </w:r>
    </w:p>
    <w:p w14:paraId="22789004" w14:textId="77777777" w:rsidR="00936DDB" w:rsidRDefault="00936DDB" w:rsidP="00936DDB">
      <w:pPr>
        <w:pStyle w:val="Textpoznmkypodiarou"/>
        <w:spacing w:after="120" w:line="276" w:lineRule="auto"/>
        <w:rPr>
          <w:sz w:val="20"/>
        </w:rPr>
      </w:pPr>
      <w:r w:rsidRPr="00E40AE8">
        <w:rPr>
          <w:sz w:val="20"/>
        </w:rPr>
        <w:t xml:space="preserve">Pre oblasť zdravotníctva je navrhovaný celkový </w:t>
      </w:r>
      <w:r w:rsidRPr="00447295">
        <w:rPr>
          <w:sz w:val="20"/>
        </w:rPr>
        <w:t xml:space="preserve">objem verejných výdavkov vo výške 8,9 mld. eur, čo znamená rast okolo 10 % oproti rozpočtu na rok 2023. Tento nárast je krytý predovšetkým z dvoch zdrojov </w:t>
      </w:r>
      <w:r>
        <w:rPr>
          <w:sz w:val="20"/>
        </w:rPr>
        <w:t>–</w:t>
      </w:r>
      <w:r w:rsidRPr="00447295">
        <w:rPr>
          <w:sz w:val="20"/>
        </w:rPr>
        <w:t xml:space="preserve"> nárast</w:t>
      </w:r>
      <w:r>
        <w:rPr>
          <w:sz w:val="20"/>
        </w:rPr>
        <w:t xml:space="preserve">u </w:t>
      </w:r>
      <w:r w:rsidRPr="00447295">
        <w:rPr>
          <w:sz w:val="20"/>
        </w:rPr>
        <w:t xml:space="preserve">odvodov o 1 % z vymeriavacieho základu </w:t>
      </w:r>
      <w:r>
        <w:rPr>
          <w:sz w:val="20"/>
        </w:rPr>
        <w:t>od</w:t>
      </w:r>
      <w:r w:rsidRPr="00447295">
        <w:rPr>
          <w:sz w:val="20"/>
        </w:rPr>
        <w:t xml:space="preserve"> roku 2024 a</w:t>
      </w:r>
      <w:r>
        <w:rPr>
          <w:sz w:val="20"/>
        </w:rPr>
        <w:t xml:space="preserve"> stanovením pevnej sumy platby za </w:t>
      </w:r>
      <w:r w:rsidRPr="00447295">
        <w:rPr>
          <w:sz w:val="20"/>
        </w:rPr>
        <w:t>poistencov štátu</w:t>
      </w:r>
      <w:r>
        <w:rPr>
          <w:sz w:val="20"/>
        </w:rPr>
        <w:t>.</w:t>
      </w:r>
      <w:r w:rsidRPr="00447295">
        <w:rPr>
          <w:sz w:val="20"/>
        </w:rPr>
        <w:t xml:space="preserve"> NKÚ SR hodnotí pozitívne navýšenie celkového rozpočtovaného objemu financií na zdravotníctvo</w:t>
      </w:r>
      <w:r>
        <w:rPr>
          <w:sz w:val="20"/>
        </w:rPr>
        <w:t>, no zároveň upozorňuje, že treba zabezpečiť, aby zdroje boli vynaložené predovšetkým na zlepšenie poskytovania zdravotnej starostlivosti.</w:t>
      </w:r>
      <w:bookmarkStart w:id="3" w:name="_GoBack"/>
      <w:bookmarkEnd w:id="3"/>
    </w:p>
    <w:p w14:paraId="0639BB47" w14:textId="77777777" w:rsidR="00936DDB" w:rsidRDefault="00936DDB" w:rsidP="00936DDB">
      <w:pPr>
        <w:pStyle w:val="Textpoznmkypodiarou"/>
        <w:spacing w:after="120" w:line="276" w:lineRule="auto"/>
        <w:rPr>
          <w:sz w:val="20"/>
        </w:rPr>
      </w:pPr>
      <w:r>
        <w:rPr>
          <w:sz w:val="20"/>
        </w:rPr>
        <w:t xml:space="preserve">Najväčšie investície sú plánované v rezorte obrany. NKÚ SR upozorňuje na </w:t>
      </w:r>
      <w:r w:rsidRPr="00F85DAA">
        <w:rPr>
          <w:sz w:val="20"/>
        </w:rPr>
        <w:t>riziko</w:t>
      </w:r>
      <w:r>
        <w:rPr>
          <w:sz w:val="20"/>
        </w:rPr>
        <w:t xml:space="preserve"> nedodania taktických lietadiel F-16</w:t>
      </w:r>
      <w:r w:rsidRPr="00F85DAA">
        <w:rPr>
          <w:sz w:val="20"/>
        </w:rPr>
        <w:t>,</w:t>
      </w:r>
      <w:r>
        <w:rPr>
          <w:sz w:val="20"/>
        </w:rPr>
        <w:t xml:space="preserve"> za ktoré už bolo zaplatených 70 % zmluvnej ceny, ak </w:t>
      </w:r>
      <w:r w:rsidRPr="00F85DAA">
        <w:rPr>
          <w:sz w:val="20"/>
        </w:rPr>
        <w:t>SR nedokáže do budúceho roka pripraviť leteckú základňu Sliač</w:t>
      </w:r>
      <w:r>
        <w:rPr>
          <w:sz w:val="20"/>
        </w:rPr>
        <w:t>, ktorá momentálne nemá vyhovujúcu infraštruktúru. Do letiska boli preinvestované finančné prostriedky, ktoré sa však v priebehu realizácie niekoľkonásobne zvýšili. NKÚ SR v tejto súvislosti identifikuje riziko nehospodárnosti využitia finančných prostriedkov.</w:t>
      </w:r>
    </w:p>
    <w:p w14:paraId="6FD253C1" w14:textId="77777777" w:rsidR="00936DDB" w:rsidRDefault="00936DDB" w:rsidP="00936DDB">
      <w:pPr>
        <w:pStyle w:val="Textpoznmkypodiarou"/>
        <w:spacing w:after="120" w:line="276" w:lineRule="auto"/>
        <w:rPr>
          <w:sz w:val="20"/>
        </w:rPr>
      </w:pPr>
      <w:r>
        <w:rPr>
          <w:sz w:val="20"/>
        </w:rPr>
        <w:t xml:space="preserve">Vzhľadom na skrátený čas na prípravu rozpočtu sa do jednotlivých kapitol zatiaľ nepremietli viaceré krátkodobé priority z PVV. Keďže niektoré z dlhodobých problémov napríklad v rezorte školstva alebo životného prostredia nie sú riešené v tomto návrhu rozpočtu, odporúčame v budúcnosti vyčleniť na </w:t>
      </w:r>
      <w:proofErr w:type="spellStart"/>
      <w:r>
        <w:rPr>
          <w:sz w:val="20"/>
        </w:rPr>
        <w:t>ne</w:t>
      </w:r>
      <w:proofErr w:type="spellEnd"/>
      <w:r>
        <w:rPr>
          <w:sz w:val="20"/>
        </w:rPr>
        <w:t xml:space="preserve"> dostatočné zdroje, či už na riešenie modernizačného dlhu alebo iných pretrvávajúcich problémov.</w:t>
      </w:r>
    </w:p>
    <w:p w14:paraId="7A43A38C" w14:textId="77777777" w:rsidR="00CB3FC9" w:rsidRDefault="00701274" w:rsidP="00A9226D">
      <w:pPr>
        <w:pStyle w:val="Textpoznmkypodiarou"/>
        <w:spacing w:after="120" w:line="276" w:lineRule="auto"/>
        <w:rPr>
          <w:sz w:val="20"/>
        </w:rPr>
      </w:pPr>
      <w:r w:rsidRPr="00701274">
        <w:rPr>
          <w:sz w:val="20"/>
        </w:rPr>
        <w:t xml:space="preserve">NKÚ SR vníma pozitívne trend znižovania deficitov verejných financií v rozpočte </w:t>
      </w:r>
      <w:r>
        <w:rPr>
          <w:sz w:val="20"/>
        </w:rPr>
        <w:t>VS</w:t>
      </w:r>
      <w:r w:rsidRPr="00701274">
        <w:rPr>
          <w:sz w:val="20"/>
        </w:rPr>
        <w:t xml:space="preserve"> na roky 2025 a 2026. Celkový deficit </w:t>
      </w:r>
      <w:r>
        <w:rPr>
          <w:sz w:val="20"/>
        </w:rPr>
        <w:t>VS</w:t>
      </w:r>
      <w:r w:rsidRPr="00701274">
        <w:rPr>
          <w:sz w:val="20"/>
        </w:rPr>
        <w:t xml:space="preserve"> by mal byť v roku 2025 na úrovni 5% HDP a v roku 2026 na úrovni 4% HDP. I napriek uvedenej snahe vlády v znižovaní deficitov verejnej správy Slovensko v roku 2026 nedosiahne optimálne kritériá vyplývajúce zo zákona o rozpočtovej zodpovednosti. Na druhej strane NKÚ SR identifikoval riziko, ktoré súvisí s nejednoznačnosťou zákona o rozpočtových pravidlách v kontexte záväznosti výdavkových limitov a ich rozdielnym výkladom zo strany ministerstva financií či Rady pre rozpočtovú zodpovednosť. Výdavkové limity sú pritom jedným z rozhodujúcich nástrojov pre zabezpečenie dlhodobej udržateľnosti verejných financií. Ich neuplatňovanie v praxi môže ohroziť zdravé verejné financie a taktiež môže mať za následok konanie EK voči SR pre nedodržiavanie míľnika schváleného v </w:t>
      </w:r>
      <w:r>
        <w:rPr>
          <w:sz w:val="20"/>
        </w:rPr>
        <w:t> </w:t>
      </w:r>
      <w:r w:rsidRPr="00701274">
        <w:rPr>
          <w:sz w:val="20"/>
        </w:rPr>
        <w:t>POO.</w:t>
      </w:r>
    </w:p>
    <w:p w14:paraId="15191A8B" w14:textId="77777777" w:rsidR="00CB3FC9" w:rsidRDefault="00CB3FC9" w:rsidP="00A9226D">
      <w:pPr>
        <w:pStyle w:val="Textpoznmkypodiarou"/>
        <w:spacing w:after="120" w:line="276" w:lineRule="auto"/>
        <w:rPr>
          <w:sz w:val="20"/>
        </w:rPr>
      </w:pPr>
    </w:p>
    <w:p w14:paraId="188A4A24" w14:textId="103D3AF3" w:rsidR="0066520B" w:rsidRPr="00CB3FC9" w:rsidRDefault="00CB3FC9" w:rsidP="00A9226D">
      <w:pPr>
        <w:pStyle w:val="Textpoznmkypodiarou"/>
        <w:spacing w:after="120" w:line="276" w:lineRule="auto"/>
        <w:rPr>
          <w:b/>
          <w:sz w:val="24"/>
        </w:rPr>
      </w:pPr>
      <w:r w:rsidRPr="00CB3FC9">
        <w:rPr>
          <w:b/>
          <w:sz w:val="20"/>
        </w:rPr>
        <w:t xml:space="preserve">Návrh zákona o štátnom rozpočte  je zostavený v súlade s Ústavou Slovenskej republiky, ústavnými zákonmi, nálezmi Ústavného súdu Slovenskej republiky a ďalšími zákonmi platnými v Slovenskej republike, ako aj medzinárodnými zmluvami a inými dokumentmi, ktorými je Slovenská republika viazaná a s právom Európskej únie, </w:t>
      </w:r>
      <w:r w:rsidR="00E63A22">
        <w:rPr>
          <w:b/>
          <w:sz w:val="20"/>
        </w:rPr>
        <w:t>pričom NKÚ SR identifikoval riziko spojené s legislatívnou nejednoznačnosťou uplatňovania limitu verejných výdavkov.</w:t>
      </w:r>
      <w:r w:rsidR="0066520B" w:rsidRPr="00CB3FC9">
        <w:rPr>
          <w:b/>
          <w:sz w:val="20"/>
        </w:rPr>
        <w:br w:type="page"/>
      </w:r>
    </w:p>
    <w:p w14:paraId="6932155B" w14:textId="1A087518" w:rsidR="00441315" w:rsidRPr="003514B9" w:rsidRDefault="00592162" w:rsidP="00701274">
      <w:pPr>
        <w:pStyle w:val="Textpoznmkypodiarou"/>
        <w:spacing w:after="120" w:line="276" w:lineRule="auto"/>
        <w:jc w:val="center"/>
        <w:rPr>
          <w:sz w:val="20"/>
        </w:rPr>
      </w:pPr>
      <w:r>
        <w:rPr>
          <w:noProof/>
          <w:lang w:eastAsia="sk-SK"/>
        </w:rPr>
        <w:lastRenderedPageBreak/>
        <w:drawing>
          <wp:anchor distT="0" distB="0" distL="114300" distR="114300" simplePos="0" relativeHeight="251658240" behindDoc="0" locked="0" layoutInCell="1" allowOverlap="1" wp14:anchorId="460DBB69" wp14:editId="4B724ABA">
            <wp:simplePos x="0" y="0"/>
            <wp:positionH relativeFrom="margin">
              <wp:posOffset>0</wp:posOffset>
            </wp:positionH>
            <wp:positionV relativeFrom="margin">
              <wp:posOffset>-182880</wp:posOffset>
            </wp:positionV>
            <wp:extent cx="5759450" cy="7793990"/>
            <wp:effectExtent l="0" t="0" r="0" b="0"/>
            <wp:wrapSquare wrapText="bothSides"/>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fografika stanovisko ŠR 2024.png"/>
                    <pic:cNvPicPr/>
                  </pic:nvPicPr>
                  <pic:blipFill rotWithShape="1">
                    <a:blip r:embed="rId10">
                      <a:extLst>
                        <a:ext uri="{28A0092B-C50C-407E-A947-70E740481C1C}">
                          <a14:useLocalDpi xmlns:a14="http://schemas.microsoft.com/office/drawing/2010/main" val="0"/>
                        </a:ext>
                      </a:extLst>
                    </a:blip>
                    <a:srcRect t="9310"/>
                    <a:stretch/>
                  </pic:blipFill>
                  <pic:spPr bwMode="auto">
                    <a:xfrm>
                      <a:off x="0" y="0"/>
                      <a:ext cx="5759450" cy="7793990"/>
                    </a:xfrm>
                    <a:prstGeom prst="rect">
                      <a:avLst/>
                    </a:prstGeom>
                    <a:ln>
                      <a:noFill/>
                    </a:ln>
                    <a:extLst>
                      <a:ext uri="{53640926-AAD7-44D8-BBD7-CCE9431645EC}">
                        <a14:shadowObscured xmlns:a14="http://schemas.microsoft.com/office/drawing/2010/main"/>
                      </a:ext>
                    </a:extLst>
                  </pic:spPr>
                </pic:pic>
              </a:graphicData>
            </a:graphic>
          </wp:anchor>
        </w:drawing>
      </w:r>
      <w:r w:rsidR="00441315">
        <w:br w:type="page"/>
      </w:r>
    </w:p>
    <w:p w14:paraId="1C6F03E5" w14:textId="578F17BF" w:rsidR="00B10EC5" w:rsidRDefault="00092577" w:rsidP="0011737A">
      <w:pPr>
        <w:pStyle w:val="Nadpis1"/>
      </w:pPr>
      <w:bookmarkStart w:id="4" w:name="_Toc86396372"/>
      <w:bookmarkStart w:id="5" w:name="_Toc153784691"/>
      <w:bookmarkStart w:id="6" w:name="_Toc53475707"/>
      <w:bookmarkEnd w:id="1"/>
      <w:r>
        <w:lastRenderedPageBreak/>
        <w:t>Makroekonomick</w:t>
      </w:r>
      <w:r w:rsidR="00F36F51">
        <w:t>é predpoklady rozpočtu</w:t>
      </w:r>
      <w:bookmarkEnd w:id="4"/>
      <w:bookmarkEnd w:id="5"/>
    </w:p>
    <w:p w14:paraId="2696C689" w14:textId="72470356" w:rsidR="002F0DBC" w:rsidRDefault="00446505" w:rsidP="002F0DBC">
      <w:r>
        <w:t>Vzhľadom na okolnosti spojené s voľbami do Národnej rady SR konc</w:t>
      </w:r>
      <w:r w:rsidR="00E74FB2">
        <w:t>om</w:t>
      </w:r>
      <w:r>
        <w:t xml:space="preserve"> septembra 2023 a vymenovaním novej vlády SR konc</w:t>
      </w:r>
      <w:r w:rsidR="00E74FB2">
        <w:t>om</w:t>
      </w:r>
      <w:r>
        <w:t xml:space="preserve"> októbra 2023</w:t>
      </w:r>
      <w:r w:rsidR="0091614C">
        <w:t>, sa konal</w:t>
      </w:r>
      <w:r w:rsidR="00EA6FD3">
        <w:t>i</w:t>
      </w:r>
      <w:r w:rsidR="0091614C">
        <w:t xml:space="preserve"> v</w:t>
      </w:r>
      <w:r w:rsidR="00EA6FD3">
        <w:t> novembri a</w:t>
      </w:r>
      <w:r w:rsidR="00207753">
        <w:t> </w:t>
      </w:r>
      <w:r w:rsidR="0091614C">
        <w:t>decembri</w:t>
      </w:r>
      <w:r w:rsidR="00207753">
        <w:t xml:space="preserve"> tohto roku</w:t>
      </w:r>
      <w:r w:rsidR="0091614C">
        <w:t xml:space="preserve"> </w:t>
      </w:r>
      <w:r w:rsidR="00EA6FD3">
        <w:t xml:space="preserve">dva </w:t>
      </w:r>
      <w:r w:rsidR="00F05A52">
        <w:t xml:space="preserve">mimoriadne </w:t>
      </w:r>
      <w:r w:rsidR="0091614C">
        <w:t>Výbor</w:t>
      </w:r>
      <w:r w:rsidR="00EA6FD3">
        <w:t>y</w:t>
      </w:r>
      <w:r w:rsidR="0091614C">
        <w:t xml:space="preserve"> pre makroekonomické prognózy</w:t>
      </w:r>
      <w:r w:rsidR="00E74FB2">
        <w:t xml:space="preserve"> (VpMP)</w:t>
      </w:r>
      <w:r w:rsidR="0091614C">
        <w:t>.</w:t>
      </w:r>
      <w:r w:rsidR="00EA6FD3">
        <w:t xml:space="preserve"> Novembrový výbor reflektoval potrebu prognóz</w:t>
      </w:r>
      <w:r w:rsidR="00027733">
        <w:t>y</w:t>
      </w:r>
      <w:r w:rsidR="00EA6FD3">
        <w:t xml:space="preserve"> pre výpočet </w:t>
      </w:r>
      <w:r w:rsidR="00EB15DF">
        <w:t>l</w:t>
      </w:r>
      <w:r w:rsidR="00EA6FD3">
        <w:t>imitu verejných výdavkov pre novú vládu SR</w:t>
      </w:r>
      <w:r w:rsidR="00EB15DF">
        <w:t>.</w:t>
      </w:r>
      <w:r w:rsidR="00EA6FD3">
        <w:t xml:space="preserve"> </w:t>
      </w:r>
      <w:r w:rsidR="00EB15DF">
        <w:t>D</w:t>
      </w:r>
      <w:r w:rsidR="00EA6FD3">
        <w:t xml:space="preserve">ecembrový výbor </w:t>
      </w:r>
      <w:r w:rsidR="00EB15DF">
        <w:t>z</w:t>
      </w:r>
      <w:r w:rsidR="00EA6FD3">
        <w:t xml:space="preserve">ahŕňal </w:t>
      </w:r>
      <w:r w:rsidR="00EB15DF">
        <w:t xml:space="preserve">už </w:t>
      </w:r>
      <w:r w:rsidR="00EA6FD3">
        <w:t xml:space="preserve">aj balík konsolidačných opatrení, ktoré súvisia so zostavením </w:t>
      </w:r>
      <w:r w:rsidR="00EB15DF">
        <w:t xml:space="preserve">návrhu </w:t>
      </w:r>
      <w:r w:rsidR="00EA6FD3">
        <w:t>štátneho rozpočtu na rok 2024.</w:t>
      </w:r>
    </w:p>
    <w:p w14:paraId="0B52A1AE" w14:textId="3DCCFEDD" w:rsidR="00E77C4D" w:rsidRDefault="00FE4CD9" w:rsidP="002F0DBC">
      <w:r w:rsidRPr="00FE4CD9">
        <w:rPr>
          <w:b/>
        </w:rPr>
        <w:t>Nová vláda sa rozhodla podporiť ekonomický rast aj na úkor vyššieho deficitu, na rozdiel od predchádzajúcej vlády, ktorá plánovala konsolidovať výdavky.</w:t>
      </w:r>
      <w:r>
        <w:t xml:space="preserve"> </w:t>
      </w:r>
      <w:r w:rsidR="00743F57">
        <w:t>V roku 2024 sa ekonomická situácia S</w:t>
      </w:r>
      <w:r w:rsidR="00441315">
        <w:t>R</w:t>
      </w:r>
      <w:r w:rsidR="00743F57">
        <w:t xml:space="preserve"> zlepší výraznejšie, keďže VpMP očakáva me</w:t>
      </w:r>
      <w:r w:rsidR="00411A4C">
        <w:t>dziročný rast reálneho HDP o 2,7</w:t>
      </w:r>
      <w:r w:rsidR="00743F57">
        <w:t xml:space="preserve"> %</w:t>
      </w:r>
      <w:r w:rsidR="00E74FB2">
        <w:t xml:space="preserve">. </w:t>
      </w:r>
      <w:r w:rsidR="000C4086">
        <w:t xml:space="preserve">Pri porovnaní s </w:t>
      </w:r>
      <w:r w:rsidR="00ED02EC">
        <w:t> </w:t>
      </w:r>
      <w:r w:rsidR="000C4086">
        <w:t>prognózou z júna 2023 je zlepšenie makroekonomických ukazovateľo</w:t>
      </w:r>
      <w:r w:rsidR="003C3FA9">
        <w:t>v spôsobené aj vďaka zafixovaniu cien energií, čo vyústilo do nižšej inflácie</w:t>
      </w:r>
      <w:r w:rsidR="000C4086">
        <w:t xml:space="preserve"> </w:t>
      </w:r>
      <w:r w:rsidR="00EB15DF">
        <w:t>(graf 1)</w:t>
      </w:r>
      <w:r w:rsidR="00743F57">
        <w:t xml:space="preserve">. </w:t>
      </w:r>
      <w:r w:rsidR="001F78F5">
        <w:t>P</w:t>
      </w:r>
      <w:r w:rsidR="00743F57">
        <w:t xml:space="preserve">ozitívny vývoj bude podporený </w:t>
      </w:r>
      <w:r w:rsidR="001F78F5">
        <w:t>tiež</w:t>
      </w:r>
      <w:r w:rsidR="00743F57">
        <w:t xml:space="preserve"> rastom súkromnej spotreby, ako aj </w:t>
      </w:r>
      <w:r w:rsidR="0090760F">
        <w:t>investíciami</w:t>
      </w:r>
      <w:r w:rsidR="003044AE">
        <w:t xml:space="preserve"> z POO</w:t>
      </w:r>
      <w:r w:rsidR="0090760F">
        <w:t>.</w:t>
      </w:r>
      <w:r w:rsidR="00B367FC">
        <w:t xml:space="preserve"> Súčasne by sa v roku 2024 malo naštartovať aj čerpanie eurofondov z nového </w:t>
      </w:r>
      <w:r w:rsidR="00950563">
        <w:t>PO</w:t>
      </w:r>
      <w:r w:rsidR="00B367FC">
        <w:t>.</w:t>
      </w:r>
      <w:r w:rsidR="0090760F">
        <w:t xml:space="preserve"> Pozitívn</w:t>
      </w:r>
      <w:r w:rsidR="00EB15DF">
        <w:t xml:space="preserve">ou </w:t>
      </w:r>
      <w:r w:rsidR="0090760F">
        <w:t>správ</w:t>
      </w:r>
      <w:r w:rsidR="00EB15DF">
        <w:t xml:space="preserve">ou </w:t>
      </w:r>
      <w:r w:rsidR="0090760F">
        <w:t xml:space="preserve">je, že ekonomika </w:t>
      </w:r>
      <w:r w:rsidR="00EB15DF">
        <w:t xml:space="preserve">by mala </w:t>
      </w:r>
      <w:r w:rsidR="0090760F">
        <w:t>dosiahn</w:t>
      </w:r>
      <w:r w:rsidR="00EB15DF">
        <w:t>uť</w:t>
      </w:r>
      <w:r w:rsidR="0090760F">
        <w:t xml:space="preserve"> vyváženú mieru rastu bez výrazných tlakov na ceny, keď inflácia poklesne z 10,7 % v tomto roku na 3,2 % v roku 2024. Nižšia spotrebiteľská inflácia</w:t>
      </w:r>
      <w:r w:rsidR="00966191">
        <w:t>,</w:t>
      </w:r>
      <w:r w:rsidR="0090760F">
        <w:t xml:space="preserve"> </w:t>
      </w:r>
      <w:r w:rsidR="00966191" w:rsidRPr="00966191">
        <w:t xml:space="preserve">tlačená nadol </w:t>
      </w:r>
      <w:r w:rsidR="00950563">
        <w:t>aj</w:t>
      </w:r>
      <w:r w:rsidR="00966191" w:rsidRPr="00966191">
        <w:t xml:space="preserve"> </w:t>
      </w:r>
      <w:r w:rsidR="00966191">
        <w:t>za</w:t>
      </w:r>
      <w:r w:rsidR="00966191" w:rsidRPr="00966191">
        <w:t>fixovanými cenami energií</w:t>
      </w:r>
      <w:r w:rsidR="00966191">
        <w:t>,</w:t>
      </w:r>
      <w:r w:rsidR="00966191" w:rsidRPr="00966191">
        <w:t xml:space="preserve"> </w:t>
      </w:r>
      <w:r w:rsidR="0090760F">
        <w:t>môže prispieť k zachovaniu kúp</w:t>
      </w:r>
      <w:r w:rsidR="00282703">
        <w:t xml:space="preserve">nej sily obyvateľstva, čo sa prejaví </w:t>
      </w:r>
      <w:r w:rsidR="00D05E33">
        <w:t xml:space="preserve">aj </w:t>
      </w:r>
      <w:r w:rsidR="00282703">
        <w:t xml:space="preserve">na miere úspor, ktoré </w:t>
      </w:r>
      <w:r w:rsidR="00EB15DF">
        <w:t xml:space="preserve">by mali </w:t>
      </w:r>
      <w:r w:rsidR="00282703">
        <w:t>opäť r</w:t>
      </w:r>
      <w:r w:rsidR="00EB15DF">
        <w:t>á</w:t>
      </w:r>
      <w:r w:rsidR="00282703">
        <w:t>s</w:t>
      </w:r>
      <w:r w:rsidR="00EB15DF">
        <w:t>ť</w:t>
      </w:r>
      <w:r w:rsidR="00282703">
        <w:t xml:space="preserve">. </w:t>
      </w:r>
    </w:p>
    <w:p w14:paraId="6FA83FF7" w14:textId="1FEEC8B7" w:rsidR="00BD6851" w:rsidRPr="00987D5D" w:rsidRDefault="00BD6851" w:rsidP="00BD6851">
      <w:pPr>
        <w:pStyle w:val="Popis"/>
        <w:keepNext/>
        <w:rPr>
          <w:color w:val="314364"/>
        </w:rPr>
      </w:pPr>
      <w:r w:rsidRPr="00987D5D">
        <w:rPr>
          <w:color w:val="314364"/>
        </w:rPr>
        <w:t>Graf</w:t>
      </w:r>
      <w:r w:rsidR="003356A6" w:rsidRPr="00987D5D">
        <w:rPr>
          <w:color w:val="314364"/>
        </w:rPr>
        <w:t xml:space="preserve"> 1</w:t>
      </w:r>
      <w:r w:rsidRPr="00987D5D">
        <w:rPr>
          <w:color w:val="314364"/>
        </w:rPr>
        <w:t>:</w:t>
      </w:r>
      <w:r w:rsidR="00733B01" w:rsidRPr="00987D5D">
        <w:rPr>
          <w:color w:val="314364"/>
        </w:rPr>
        <w:t xml:space="preserve"> </w:t>
      </w:r>
      <w:r w:rsidR="002D54E5" w:rsidRPr="00987D5D">
        <w:rPr>
          <w:color w:val="314364"/>
        </w:rPr>
        <w:t>Porovnanie prognóz vývoja ekonomiky v roku 2024 (medziročná zmena</w:t>
      </w:r>
      <w:r w:rsidR="00865D0E" w:rsidRPr="00987D5D">
        <w:rPr>
          <w:color w:val="314364"/>
        </w:rPr>
        <w:t>, %</w:t>
      </w:r>
      <w:r w:rsidR="002D54E5" w:rsidRPr="00987D5D">
        <w:rPr>
          <w:color w:val="314364"/>
        </w:rPr>
        <w:t>)</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BD6851" w:rsidRPr="000F43AE" w14:paraId="46EC644D" w14:textId="77777777" w:rsidTr="00F05A52">
        <w:trPr>
          <w:trHeight w:val="2843"/>
        </w:trPr>
        <w:tc>
          <w:tcPr>
            <w:tcW w:w="9085" w:type="dxa"/>
            <w:tcBorders>
              <w:top w:val="single" w:sz="4" w:space="0" w:color="314364"/>
              <w:bottom w:val="single" w:sz="4" w:space="0" w:color="314364"/>
            </w:tcBorders>
            <w:vAlign w:val="center"/>
          </w:tcPr>
          <w:p w14:paraId="24AAC8F7" w14:textId="2D6CF837" w:rsidR="00BD6851" w:rsidRPr="000F43AE" w:rsidRDefault="002F0DBC" w:rsidP="00DA711B">
            <w:pPr>
              <w:spacing w:after="0"/>
              <w:rPr>
                <w:b/>
                <w:color w:val="576431"/>
                <w:highlight w:val="yellow"/>
              </w:rPr>
            </w:pPr>
            <w:r>
              <w:rPr>
                <w:noProof/>
                <w:lang w:eastAsia="sk-SK"/>
              </w:rPr>
              <w:drawing>
                <wp:inline distT="0" distB="0" distL="0" distR="0" wp14:anchorId="487B2867" wp14:editId="44EB4C78">
                  <wp:extent cx="5676900" cy="2314575"/>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14:paraId="3F6A9583" w14:textId="77777777" w:rsidR="001B2BA3" w:rsidRDefault="00BD6851" w:rsidP="001B2BA3">
      <w:pPr>
        <w:pStyle w:val="Zdroj"/>
      </w:pPr>
      <w:r w:rsidRPr="00987D5D">
        <w:t xml:space="preserve">Zdroj: </w:t>
      </w:r>
      <w:r w:rsidR="00A605C7" w:rsidRPr="00987D5D">
        <w:t>VpMP</w:t>
      </w:r>
    </w:p>
    <w:p w14:paraId="013743BA" w14:textId="6DA0728D" w:rsidR="00843A10" w:rsidRDefault="00843A10" w:rsidP="001B2BA3">
      <w:r w:rsidRPr="00B4666E">
        <w:rPr>
          <w:b/>
        </w:rPr>
        <w:t xml:space="preserve">Podľa prognózy na ďalší rok </w:t>
      </w:r>
      <w:r w:rsidR="003E1DDD" w:rsidRPr="00B4666E">
        <w:rPr>
          <w:b/>
        </w:rPr>
        <w:t xml:space="preserve">však trh práce </w:t>
      </w:r>
      <w:r w:rsidRPr="00B4666E">
        <w:rPr>
          <w:b/>
        </w:rPr>
        <w:t xml:space="preserve">naráža </w:t>
      </w:r>
      <w:r w:rsidR="003E1DDD" w:rsidRPr="00B4666E">
        <w:rPr>
          <w:b/>
        </w:rPr>
        <w:t>n</w:t>
      </w:r>
      <w:r w:rsidRPr="00B4666E">
        <w:rPr>
          <w:b/>
        </w:rPr>
        <w:t>a svoje limity.</w:t>
      </w:r>
      <w:r>
        <w:t xml:space="preserve"> Regionálny a kvalifikačný nesúlad bráni </w:t>
      </w:r>
      <w:r w:rsidR="003C3FA9">
        <w:t>výraznému</w:t>
      </w:r>
      <w:r>
        <w:t xml:space="preserve"> </w:t>
      </w:r>
      <w:r w:rsidR="003C3FA9">
        <w:t>rastu</w:t>
      </w:r>
      <w:r>
        <w:t xml:space="preserve"> zamestnanosti a k obsadzovaniu voľných miest, ktorých je dostatok, pomáhajú najmä cudzinci. </w:t>
      </w:r>
      <w:r w:rsidR="007C2DB1">
        <w:t>Nedostatok pracovníkov sa zatiaľ neodráža na raste miezd, pričom v roku 2024 bude za polovicu rastu zodpovedná hlavne dynamika z roku 2023</w:t>
      </w:r>
      <w:r w:rsidR="0045176B">
        <w:t xml:space="preserve">, kedy sa </w:t>
      </w:r>
      <w:r w:rsidR="007C2DB1">
        <w:t>valoriz</w:t>
      </w:r>
      <w:r w:rsidR="0045176B">
        <w:t>ovali</w:t>
      </w:r>
      <w:r w:rsidR="007C2DB1">
        <w:t xml:space="preserve"> </w:t>
      </w:r>
      <w:r w:rsidR="003E1DDD">
        <w:t>mzd</w:t>
      </w:r>
      <w:r w:rsidR="0045176B">
        <w:t>y</w:t>
      </w:r>
      <w:r w:rsidR="003E1DDD">
        <w:t xml:space="preserve"> </w:t>
      </w:r>
      <w:r w:rsidR="007C2DB1">
        <w:t xml:space="preserve">vo </w:t>
      </w:r>
      <w:r w:rsidR="004851A3">
        <w:t>VS</w:t>
      </w:r>
      <w:r w:rsidR="007C2DB1">
        <w:t xml:space="preserve">. </w:t>
      </w:r>
      <w:r w:rsidR="00B367FC">
        <w:t>Aj z tohto dôvodu prijala vláda SR rozhodnutie nevalorizovať platy vo VS v roku 2024.</w:t>
      </w:r>
    </w:p>
    <w:p w14:paraId="75D0BD21" w14:textId="52B2958A" w:rsidR="000E5B51" w:rsidRPr="000C724E" w:rsidRDefault="00D401EF" w:rsidP="001B2BA3">
      <w:pPr>
        <w:rPr>
          <w:rFonts w:eastAsiaTheme="majorEastAsia" w:cstheme="majorBidi"/>
          <w:b/>
          <w:color w:val="314364"/>
          <w:position w:val="10"/>
          <w:sz w:val="32"/>
          <w:szCs w:val="32"/>
        </w:rPr>
      </w:pPr>
      <w:r w:rsidRPr="00B4666E">
        <w:rPr>
          <w:b/>
        </w:rPr>
        <w:t xml:space="preserve">Na zverejnené cenové rozhodnutie ÚRSO pre SPP, podľa ktorého sa mala cena plynu  v roku 2024 zvýšiť približne na dvojnásobok, zareagovala vláda SR </w:t>
      </w:r>
      <w:r w:rsidR="000C724E">
        <w:rPr>
          <w:b/>
        </w:rPr>
        <w:t>vládnym</w:t>
      </w:r>
      <w:r w:rsidRPr="00B4666E">
        <w:rPr>
          <w:b/>
        </w:rPr>
        <w:t xml:space="preserve"> </w:t>
      </w:r>
      <w:r w:rsidR="00421462">
        <w:rPr>
          <w:b/>
        </w:rPr>
        <w:t>nariadením</w:t>
      </w:r>
      <w:r w:rsidRPr="00B4666E">
        <w:rPr>
          <w:b/>
        </w:rPr>
        <w:t>.</w:t>
      </w:r>
      <w:r>
        <w:t xml:space="preserve"> </w:t>
      </w:r>
      <w:r w:rsidR="00A7563F">
        <w:t>Opatrením</w:t>
      </w:r>
      <w:r>
        <w:t xml:space="preserve"> predpokladá zafixovanie cien energií na rok 2024 a od roku 2025 do roku 2027 predpokladá každoročný</w:t>
      </w:r>
      <w:r w:rsidR="00CD6676">
        <w:t xml:space="preserve"> mierny</w:t>
      </w:r>
      <w:r>
        <w:t xml:space="preserve"> nárast cien, kedy sa dostanú na úroveň trhových cien. </w:t>
      </w:r>
      <w:r w:rsidR="00B367FC">
        <w:t xml:space="preserve">Výdavky určené na kompenzačné opatrenia spojené s nárastom </w:t>
      </w:r>
      <w:r w:rsidR="00A61CC5">
        <w:t>cien</w:t>
      </w:r>
      <w:r w:rsidR="00B367FC">
        <w:t xml:space="preserve"> energií</w:t>
      </w:r>
      <w:r w:rsidR="00A61CC5">
        <w:t xml:space="preserve"> v budúcom roku</w:t>
      </w:r>
      <w:r w:rsidR="00B367FC">
        <w:t xml:space="preserve"> bud</w:t>
      </w:r>
      <w:r w:rsidR="003E1DDD">
        <w:t>ú</w:t>
      </w:r>
      <w:r w:rsidR="00B367FC">
        <w:t xml:space="preserve"> na úrovni 1,25 mld. eur, z čoho budú výdavky zo ŠR v sume 800 mil. eur a refundácia z prostriedkov EÚ v sume 449 mil. eur</w:t>
      </w:r>
      <w:r w:rsidR="00AB4ACB">
        <w:t>.</w:t>
      </w:r>
      <w:r w:rsidR="00421462">
        <w:t xml:space="preserve"> </w:t>
      </w:r>
      <w:r w:rsidR="00421462" w:rsidRPr="000C724E">
        <w:rPr>
          <w:b/>
        </w:rPr>
        <w:t xml:space="preserve">Tieto opatrenia majú plošný charakter, ale NKÚ SR odporúča </w:t>
      </w:r>
      <w:r w:rsidR="00A7563F">
        <w:rPr>
          <w:b/>
        </w:rPr>
        <w:t xml:space="preserve">opatrenia </w:t>
      </w:r>
      <w:r w:rsidR="000C724E" w:rsidRPr="000C724E">
        <w:rPr>
          <w:b/>
        </w:rPr>
        <w:t>zamerať adresn</w:t>
      </w:r>
      <w:r w:rsidR="00A7563F">
        <w:rPr>
          <w:b/>
        </w:rPr>
        <w:t>e</w:t>
      </w:r>
      <w:r w:rsidR="000C724E" w:rsidRPr="000C724E">
        <w:rPr>
          <w:b/>
        </w:rPr>
        <w:t>.</w:t>
      </w:r>
      <w:r w:rsidR="000E5B51" w:rsidRPr="000C724E">
        <w:rPr>
          <w:rFonts w:eastAsiaTheme="majorEastAsia" w:cstheme="majorBidi"/>
          <w:b/>
          <w:color w:val="314364"/>
          <w:position w:val="10"/>
          <w:sz w:val="32"/>
          <w:szCs w:val="32"/>
        </w:rPr>
        <w:br w:type="page"/>
      </w:r>
    </w:p>
    <w:p w14:paraId="59F546D8" w14:textId="5FF04EA7" w:rsidR="00BD3507" w:rsidRDefault="00092577" w:rsidP="00BF2818">
      <w:pPr>
        <w:pStyle w:val="Nadpis1"/>
      </w:pPr>
      <w:bookmarkStart w:id="7" w:name="_Toc86396373"/>
      <w:bookmarkStart w:id="8" w:name="_Toc153784692"/>
      <w:bookmarkEnd w:id="6"/>
      <w:r>
        <w:lastRenderedPageBreak/>
        <w:t>Východiskový rámec návrhu RVS</w:t>
      </w:r>
      <w:bookmarkEnd w:id="7"/>
      <w:bookmarkEnd w:id="8"/>
    </w:p>
    <w:p w14:paraId="512F2E25" w14:textId="09341FB8" w:rsidR="00235CFE" w:rsidRPr="00B4666E" w:rsidRDefault="000F43AE" w:rsidP="00235CFE">
      <w:r w:rsidRPr="00B16D30">
        <w:rPr>
          <w:b/>
        </w:rPr>
        <w:t>Po zostavení novej vlády, ktorá v novembri 2023 získala dôveru v NR SR, začala znova platiť dvojročná výnimka z dlhovej brzdy.</w:t>
      </w:r>
      <w:r w:rsidR="00B16D30" w:rsidRPr="00B16D30">
        <w:t xml:space="preserve"> Uplatňovania fiškálnych pravidiel sa týkajú dve výnimky. Prvou je neuplatňovanie dlhovej brzdy podľa zákona o rozpočtovej zodpovednosti, v prvých dvoch rokoch od schválenia PVV a vyslovenia dôvery vláde . Druhou je tzv. všeobecná úniková doložka na úrovni EÚ, počas ktorej platnosti sa neuplatňujú fiškálne pravidlá Paktu stability a rastu na úrovni EÚ ani LVV na národnej úrovni. Aktivovaná bola v marci 2020 po vypuknutí pandémie COVID-19 a pre pokračujúcu neistotu spojenú s konfliktom na Ukrajine, ceny energií a ďalšie vplyvy sa uplatňuje aj v roku 2023. EK oznámila </w:t>
      </w:r>
      <w:r w:rsidR="00AC6179">
        <w:t>Európskej r</w:t>
      </w:r>
      <w:r w:rsidR="00B16D30" w:rsidRPr="00B16D30">
        <w:t>ade 8. marca 2023, že všeobecná úniková doložka sa koncom roka 2023 deaktivuje tak</w:t>
      </w:r>
      <w:r w:rsidR="00B16D30">
        <w:t>,</w:t>
      </w:r>
      <w:r w:rsidR="00B16D30" w:rsidRPr="00B16D30">
        <w:t xml:space="preserve"> aby od </w:t>
      </w:r>
      <w:r w:rsidR="00B16D30">
        <w:t xml:space="preserve">roku </w:t>
      </w:r>
      <w:r w:rsidR="00B16D30" w:rsidRPr="00B16D30">
        <w:t>2024 mohli byť aplikované princípy obozretných fiškálnych politík.</w:t>
      </w:r>
    </w:p>
    <w:p w14:paraId="5C8F5F2F" w14:textId="66FA24D5" w:rsidR="00DA335D" w:rsidRDefault="00DA335D" w:rsidP="000D631B">
      <w:pPr>
        <w:pStyle w:val="Nadpis2"/>
      </w:pPr>
      <w:bookmarkStart w:id="9" w:name="_Toc153784693"/>
      <w:r w:rsidRPr="00DA335D">
        <w:t xml:space="preserve">Daňové a odvodové príjmy </w:t>
      </w:r>
      <w:r>
        <w:t>VS</w:t>
      </w:r>
      <w:bookmarkEnd w:id="9"/>
    </w:p>
    <w:p w14:paraId="2781D577" w14:textId="7D2D8CBC" w:rsidR="00A022AF" w:rsidRDefault="00A022AF" w:rsidP="00A022AF">
      <w:r>
        <w:t xml:space="preserve">Návrh RVS na roky 2024 až 2026 počíta celkovo so 14 legislatívnymi opatreniami, </w:t>
      </w:r>
      <w:r w:rsidR="00AC6179" w:rsidRPr="000661BF">
        <w:t>na základe ktorých, bude podľa odhadu VpDP  vytvorený dodatočný príjem už v roku 2024 a to vo výške 1,6 mld</w:t>
      </w:r>
      <w:r w:rsidR="00AC6179">
        <w:t xml:space="preserve">. eur. </w:t>
      </w:r>
      <w:r>
        <w:t xml:space="preserve">Najväčší príjem má priniesť šesť legislatívnych zmien (tabuľka 1). </w:t>
      </w:r>
    </w:p>
    <w:p w14:paraId="75356F7B" w14:textId="726318A8" w:rsidR="00CB40A2" w:rsidRDefault="00CB40A2" w:rsidP="00CB40A2">
      <w:pPr>
        <w:pStyle w:val="Popis"/>
        <w:keepNext/>
      </w:pPr>
      <w:r>
        <w:t xml:space="preserve">Tabuľka </w:t>
      </w:r>
      <w:fldSimple w:instr=" SEQ Tabuľka \* ARABIC ">
        <w:r w:rsidR="00CD109C">
          <w:rPr>
            <w:noProof/>
          </w:rPr>
          <w:t>1</w:t>
        </w:r>
      </w:fldSimple>
      <w:r>
        <w:t xml:space="preserve">: Návrh legislatívnych opatrení s najväčším vplyvom na príjmy </w:t>
      </w:r>
      <w:r w:rsidR="008B3C58">
        <w:t xml:space="preserve">RVS </w:t>
      </w:r>
      <w:r>
        <w:t>(</w:t>
      </w:r>
      <w:r w:rsidR="00C7020E">
        <w:t xml:space="preserve">ESA 2010 </w:t>
      </w:r>
      <w:r>
        <w:t>v mil. eur)</w:t>
      </w:r>
    </w:p>
    <w:tbl>
      <w:tblPr>
        <w:tblpPr w:leftFromText="141" w:rightFromText="141" w:vertAnchor="text" w:horzAnchor="margin" w:tblpXSpec="right" w:tblpY="118"/>
        <w:tblOverlap w:val="never"/>
        <w:tblW w:w="5000" w:type="pct"/>
        <w:tblCellMar>
          <w:top w:w="28" w:type="dxa"/>
        </w:tblCellMar>
        <w:tblLook w:val="04A0" w:firstRow="1" w:lastRow="0" w:firstColumn="1" w:lastColumn="0" w:noHBand="0" w:noVBand="1"/>
      </w:tblPr>
      <w:tblGrid>
        <w:gridCol w:w="6244"/>
        <w:gridCol w:w="943"/>
        <w:gridCol w:w="943"/>
        <w:gridCol w:w="940"/>
      </w:tblGrid>
      <w:tr w:rsidR="00CB40A2" w14:paraId="3D21B761" w14:textId="77777777" w:rsidTr="0038031E">
        <w:trPr>
          <w:trHeight w:val="20"/>
        </w:trPr>
        <w:tc>
          <w:tcPr>
            <w:tcW w:w="3442" w:type="pct"/>
            <w:tcBorders>
              <w:bottom w:val="single" w:sz="4" w:space="0" w:color="314364"/>
            </w:tcBorders>
            <w:shd w:val="clear" w:color="auto" w:fill="314364"/>
            <w:vAlign w:val="center"/>
          </w:tcPr>
          <w:p w14:paraId="1E02B381" w14:textId="77777777" w:rsidR="00CB40A2" w:rsidRPr="0032280E" w:rsidRDefault="00CB40A2" w:rsidP="0038031E">
            <w:pPr>
              <w:spacing w:after="0" w:line="259" w:lineRule="auto"/>
              <w:jc w:val="left"/>
              <w:rPr>
                <w:b/>
                <w:color w:val="FFFFFF" w:themeColor="background1"/>
                <w:sz w:val="18"/>
              </w:rPr>
            </w:pPr>
          </w:p>
        </w:tc>
        <w:tc>
          <w:tcPr>
            <w:tcW w:w="520" w:type="pct"/>
            <w:tcBorders>
              <w:bottom w:val="single" w:sz="4" w:space="0" w:color="314364"/>
            </w:tcBorders>
            <w:shd w:val="clear" w:color="auto" w:fill="314364"/>
            <w:vAlign w:val="center"/>
          </w:tcPr>
          <w:p w14:paraId="68AD0C0A" w14:textId="77777777" w:rsidR="00CB40A2" w:rsidRPr="0032280E" w:rsidRDefault="00CB40A2" w:rsidP="0038031E">
            <w:pPr>
              <w:spacing w:after="0" w:line="259" w:lineRule="auto"/>
              <w:jc w:val="center"/>
              <w:rPr>
                <w:b/>
                <w:color w:val="FFFFFF" w:themeColor="background1"/>
                <w:sz w:val="18"/>
              </w:rPr>
            </w:pPr>
            <w:r>
              <w:rPr>
                <w:b/>
                <w:color w:val="FFFFFF" w:themeColor="background1"/>
                <w:sz w:val="18"/>
              </w:rPr>
              <w:t>2024</w:t>
            </w:r>
          </w:p>
        </w:tc>
        <w:tc>
          <w:tcPr>
            <w:tcW w:w="520" w:type="pct"/>
            <w:tcBorders>
              <w:bottom w:val="single" w:sz="4" w:space="0" w:color="314364"/>
            </w:tcBorders>
            <w:shd w:val="clear" w:color="auto" w:fill="314364"/>
            <w:vAlign w:val="center"/>
          </w:tcPr>
          <w:p w14:paraId="51B3D3F8" w14:textId="77777777" w:rsidR="00CB40A2" w:rsidRDefault="00CB40A2" w:rsidP="0038031E">
            <w:pPr>
              <w:spacing w:after="0" w:line="259" w:lineRule="auto"/>
              <w:jc w:val="center"/>
              <w:rPr>
                <w:b/>
                <w:color w:val="FFFFFF" w:themeColor="background1"/>
                <w:sz w:val="18"/>
              </w:rPr>
            </w:pPr>
            <w:r>
              <w:rPr>
                <w:b/>
                <w:color w:val="FFFFFF" w:themeColor="background1"/>
                <w:sz w:val="18"/>
              </w:rPr>
              <w:t>2025</w:t>
            </w:r>
          </w:p>
        </w:tc>
        <w:tc>
          <w:tcPr>
            <w:tcW w:w="518" w:type="pct"/>
            <w:tcBorders>
              <w:bottom w:val="single" w:sz="4" w:space="0" w:color="314364"/>
            </w:tcBorders>
            <w:shd w:val="clear" w:color="auto" w:fill="314364"/>
            <w:vAlign w:val="center"/>
          </w:tcPr>
          <w:p w14:paraId="7AD79FFD" w14:textId="77777777" w:rsidR="00CB40A2" w:rsidRPr="0032280E" w:rsidRDefault="00CB40A2" w:rsidP="0038031E">
            <w:pPr>
              <w:spacing w:after="0" w:line="259" w:lineRule="auto"/>
              <w:jc w:val="center"/>
              <w:rPr>
                <w:b/>
                <w:color w:val="FFFFFF" w:themeColor="background1"/>
                <w:sz w:val="18"/>
              </w:rPr>
            </w:pPr>
            <w:r>
              <w:rPr>
                <w:b/>
                <w:color w:val="FFFFFF" w:themeColor="background1"/>
                <w:sz w:val="18"/>
              </w:rPr>
              <w:t>2026</w:t>
            </w:r>
          </w:p>
        </w:tc>
      </w:tr>
      <w:tr w:rsidR="00CB40A2" w14:paraId="761D32E7" w14:textId="77777777" w:rsidTr="0038031E">
        <w:trPr>
          <w:trHeight w:val="20"/>
        </w:trPr>
        <w:tc>
          <w:tcPr>
            <w:tcW w:w="3442" w:type="pct"/>
            <w:vAlign w:val="center"/>
          </w:tcPr>
          <w:p w14:paraId="5184D17D" w14:textId="77777777" w:rsidR="00CB40A2" w:rsidRPr="00120A92" w:rsidRDefault="00CB40A2" w:rsidP="0038031E">
            <w:pPr>
              <w:spacing w:after="0" w:line="259" w:lineRule="auto"/>
              <w:jc w:val="left"/>
              <w:rPr>
                <w:sz w:val="18"/>
              </w:rPr>
            </w:pPr>
            <w:r>
              <w:rPr>
                <w:sz w:val="18"/>
              </w:rPr>
              <w:t>Zmena odvodov II. piliera z 5,5 % na 4 %</w:t>
            </w:r>
          </w:p>
        </w:tc>
        <w:tc>
          <w:tcPr>
            <w:tcW w:w="520" w:type="pct"/>
            <w:shd w:val="clear" w:color="auto" w:fill="auto"/>
            <w:vAlign w:val="center"/>
          </w:tcPr>
          <w:p w14:paraId="6F658CA9" w14:textId="77777777" w:rsidR="00CB40A2" w:rsidRPr="00120A92" w:rsidRDefault="00CB40A2" w:rsidP="0038031E">
            <w:pPr>
              <w:spacing w:after="0" w:line="259" w:lineRule="auto"/>
              <w:jc w:val="center"/>
              <w:rPr>
                <w:sz w:val="18"/>
              </w:rPr>
            </w:pPr>
            <w:r>
              <w:rPr>
                <w:sz w:val="18"/>
              </w:rPr>
              <w:t>363,1</w:t>
            </w:r>
          </w:p>
        </w:tc>
        <w:tc>
          <w:tcPr>
            <w:tcW w:w="520" w:type="pct"/>
            <w:vAlign w:val="center"/>
          </w:tcPr>
          <w:p w14:paraId="25D230F3" w14:textId="77777777" w:rsidR="00CB40A2" w:rsidRPr="00120A92" w:rsidRDefault="00CB40A2" w:rsidP="0038031E">
            <w:pPr>
              <w:spacing w:after="0" w:line="259" w:lineRule="auto"/>
              <w:jc w:val="center"/>
              <w:rPr>
                <w:sz w:val="18"/>
              </w:rPr>
            </w:pPr>
            <w:r>
              <w:rPr>
                <w:sz w:val="18"/>
              </w:rPr>
              <w:t>460,2</w:t>
            </w:r>
          </w:p>
        </w:tc>
        <w:tc>
          <w:tcPr>
            <w:tcW w:w="518" w:type="pct"/>
            <w:vAlign w:val="center"/>
          </w:tcPr>
          <w:p w14:paraId="0BAC9001" w14:textId="77777777" w:rsidR="00CB40A2" w:rsidRPr="00120A92" w:rsidRDefault="00CB40A2" w:rsidP="0038031E">
            <w:pPr>
              <w:spacing w:after="0" w:line="259" w:lineRule="auto"/>
              <w:jc w:val="center"/>
              <w:rPr>
                <w:sz w:val="18"/>
              </w:rPr>
            </w:pPr>
            <w:r>
              <w:rPr>
                <w:sz w:val="18"/>
              </w:rPr>
              <w:t>495,3</w:t>
            </w:r>
          </w:p>
        </w:tc>
      </w:tr>
      <w:tr w:rsidR="00CB40A2" w:rsidRPr="00325BDA" w14:paraId="63D984EE" w14:textId="77777777" w:rsidTr="0038031E">
        <w:trPr>
          <w:trHeight w:val="20"/>
        </w:trPr>
        <w:tc>
          <w:tcPr>
            <w:tcW w:w="3442" w:type="pct"/>
            <w:vAlign w:val="center"/>
          </w:tcPr>
          <w:p w14:paraId="5936BF21" w14:textId="56FFFC55" w:rsidR="00CB40A2" w:rsidRPr="00120A92" w:rsidRDefault="00CB40A2" w:rsidP="00F05A52">
            <w:pPr>
              <w:spacing w:after="0" w:line="259" w:lineRule="auto"/>
              <w:jc w:val="left"/>
              <w:rPr>
                <w:sz w:val="18"/>
              </w:rPr>
            </w:pPr>
            <w:r>
              <w:rPr>
                <w:sz w:val="18"/>
              </w:rPr>
              <w:t>Zvýšenie zdravotných odvodov o 1 p. b.</w:t>
            </w:r>
          </w:p>
        </w:tc>
        <w:tc>
          <w:tcPr>
            <w:tcW w:w="520" w:type="pct"/>
            <w:shd w:val="clear" w:color="auto" w:fill="auto"/>
            <w:vAlign w:val="center"/>
          </w:tcPr>
          <w:p w14:paraId="244F2E88" w14:textId="77777777" w:rsidR="00CB40A2" w:rsidRPr="00120A92" w:rsidRDefault="00CB40A2" w:rsidP="0038031E">
            <w:pPr>
              <w:spacing w:after="0" w:line="259" w:lineRule="auto"/>
              <w:jc w:val="center"/>
              <w:rPr>
                <w:sz w:val="18"/>
              </w:rPr>
            </w:pPr>
            <w:r>
              <w:rPr>
                <w:sz w:val="18"/>
              </w:rPr>
              <w:t>357,5</w:t>
            </w:r>
          </w:p>
        </w:tc>
        <w:tc>
          <w:tcPr>
            <w:tcW w:w="520" w:type="pct"/>
            <w:vAlign w:val="center"/>
          </w:tcPr>
          <w:p w14:paraId="0CB8CD35" w14:textId="77777777" w:rsidR="00CB40A2" w:rsidRPr="00120A92" w:rsidRDefault="00CB40A2" w:rsidP="0038031E">
            <w:pPr>
              <w:spacing w:after="0" w:line="259" w:lineRule="auto"/>
              <w:jc w:val="center"/>
              <w:rPr>
                <w:sz w:val="18"/>
              </w:rPr>
            </w:pPr>
            <w:r>
              <w:rPr>
                <w:sz w:val="18"/>
              </w:rPr>
              <w:t>377,8</w:t>
            </w:r>
          </w:p>
        </w:tc>
        <w:tc>
          <w:tcPr>
            <w:tcW w:w="518" w:type="pct"/>
            <w:vAlign w:val="center"/>
          </w:tcPr>
          <w:p w14:paraId="28A52DC4" w14:textId="77777777" w:rsidR="00CB40A2" w:rsidRPr="00120A92" w:rsidRDefault="00CB40A2" w:rsidP="0038031E">
            <w:pPr>
              <w:spacing w:after="0" w:line="259" w:lineRule="auto"/>
              <w:jc w:val="center"/>
              <w:rPr>
                <w:sz w:val="18"/>
              </w:rPr>
            </w:pPr>
            <w:r>
              <w:rPr>
                <w:sz w:val="18"/>
              </w:rPr>
              <w:t>394,9</w:t>
            </w:r>
          </w:p>
        </w:tc>
      </w:tr>
      <w:tr w:rsidR="00CB40A2" w:rsidRPr="00325BDA" w14:paraId="259A8090" w14:textId="77777777" w:rsidTr="0038031E">
        <w:trPr>
          <w:trHeight w:val="20"/>
        </w:trPr>
        <w:tc>
          <w:tcPr>
            <w:tcW w:w="3442" w:type="pct"/>
            <w:vAlign w:val="center"/>
          </w:tcPr>
          <w:p w14:paraId="2ACD784D" w14:textId="77777777" w:rsidR="00CB40A2" w:rsidRDefault="00CB40A2" w:rsidP="0038031E">
            <w:pPr>
              <w:spacing w:after="0" w:line="259" w:lineRule="auto"/>
              <w:jc w:val="left"/>
              <w:rPr>
                <w:sz w:val="18"/>
              </w:rPr>
            </w:pPr>
            <w:r w:rsidRPr="00120A92">
              <w:rPr>
                <w:sz w:val="18"/>
              </w:rPr>
              <w:t>Osobitný odvod pre banky a subjekty s licenciou NBS</w:t>
            </w:r>
          </w:p>
        </w:tc>
        <w:tc>
          <w:tcPr>
            <w:tcW w:w="520" w:type="pct"/>
            <w:shd w:val="clear" w:color="auto" w:fill="auto"/>
            <w:vAlign w:val="center"/>
          </w:tcPr>
          <w:p w14:paraId="278CF3A5" w14:textId="77777777" w:rsidR="00CB40A2" w:rsidRDefault="00CB40A2" w:rsidP="0038031E">
            <w:pPr>
              <w:spacing w:after="0" w:line="259" w:lineRule="auto"/>
              <w:jc w:val="center"/>
              <w:rPr>
                <w:sz w:val="18"/>
              </w:rPr>
            </w:pPr>
            <w:r w:rsidRPr="00120A92">
              <w:rPr>
                <w:sz w:val="18"/>
              </w:rPr>
              <w:t>33</w:t>
            </w:r>
            <w:r>
              <w:rPr>
                <w:sz w:val="18"/>
              </w:rPr>
              <w:t>5,8</w:t>
            </w:r>
          </w:p>
        </w:tc>
        <w:tc>
          <w:tcPr>
            <w:tcW w:w="520" w:type="pct"/>
            <w:vAlign w:val="center"/>
          </w:tcPr>
          <w:p w14:paraId="656BDA54" w14:textId="77777777" w:rsidR="00CB40A2" w:rsidRDefault="00CB40A2" w:rsidP="0038031E">
            <w:pPr>
              <w:spacing w:after="0" w:line="259" w:lineRule="auto"/>
              <w:jc w:val="center"/>
              <w:rPr>
                <w:sz w:val="18"/>
              </w:rPr>
            </w:pPr>
            <w:r w:rsidRPr="00120A92">
              <w:rPr>
                <w:sz w:val="18"/>
              </w:rPr>
              <w:t>281</w:t>
            </w:r>
            <w:r>
              <w:rPr>
                <w:sz w:val="18"/>
              </w:rPr>
              <w:t>,9</w:t>
            </w:r>
          </w:p>
        </w:tc>
        <w:tc>
          <w:tcPr>
            <w:tcW w:w="518" w:type="pct"/>
            <w:vAlign w:val="center"/>
          </w:tcPr>
          <w:p w14:paraId="75A3BD1A" w14:textId="77777777" w:rsidR="00CB40A2" w:rsidRDefault="00CB40A2" w:rsidP="0038031E">
            <w:pPr>
              <w:spacing w:after="0" w:line="259" w:lineRule="auto"/>
              <w:jc w:val="center"/>
              <w:rPr>
                <w:sz w:val="18"/>
              </w:rPr>
            </w:pPr>
            <w:r w:rsidRPr="00120A92">
              <w:rPr>
                <w:sz w:val="18"/>
              </w:rPr>
              <w:t>238</w:t>
            </w:r>
            <w:r>
              <w:rPr>
                <w:sz w:val="18"/>
              </w:rPr>
              <w:t>,7</w:t>
            </w:r>
          </w:p>
        </w:tc>
      </w:tr>
      <w:tr w:rsidR="00CB40A2" w:rsidRPr="00325BDA" w14:paraId="248FA1A5" w14:textId="77777777" w:rsidTr="0038031E">
        <w:trPr>
          <w:trHeight w:val="20"/>
        </w:trPr>
        <w:tc>
          <w:tcPr>
            <w:tcW w:w="3442" w:type="pct"/>
            <w:vAlign w:val="center"/>
          </w:tcPr>
          <w:p w14:paraId="3342E05E" w14:textId="77777777" w:rsidR="00CB40A2" w:rsidRPr="00120A92" w:rsidRDefault="00CB40A2" w:rsidP="0038031E">
            <w:pPr>
              <w:spacing w:after="0" w:line="259" w:lineRule="auto"/>
              <w:ind w:right="-102"/>
              <w:jc w:val="left"/>
              <w:rPr>
                <w:sz w:val="18"/>
              </w:rPr>
            </w:pPr>
            <w:r>
              <w:rPr>
                <w:sz w:val="18"/>
              </w:rPr>
              <w:t>Predĺženie solidárneho príspevku z činnosti v odvetviach ropy a plynu</w:t>
            </w:r>
          </w:p>
        </w:tc>
        <w:tc>
          <w:tcPr>
            <w:tcW w:w="520" w:type="pct"/>
            <w:shd w:val="clear" w:color="auto" w:fill="auto"/>
            <w:vAlign w:val="center"/>
          </w:tcPr>
          <w:p w14:paraId="27A637A3" w14:textId="77777777" w:rsidR="00CB40A2" w:rsidRPr="00120A92" w:rsidRDefault="00CB40A2" w:rsidP="0038031E">
            <w:pPr>
              <w:spacing w:after="0" w:line="259" w:lineRule="auto"/>
              <w:jc w:val="center"/>
              <w:rPr>
                <w:sz w:val="18"/>
              </w:rPr>
            </w:pPr>
            <w:r>
              <w:rPr>
                <w:sz w:val="18"/>
              </w:rPr>
              <w:t>179,8</w:t>
            </w:r>
          </w:p>
        </w:tc>
        <w:tc>
          <w:tcPr>
            <w:tcW w:w="520" w:type="pct"/>
            <w:vAlign w:val="center"/>
          </w:tcPr>
          <w:p w14:paraId="2EB1389D" w14:textId="77777777" w:rsidR="00CB40A2" w:rsidRPr="00120A92" w:rsidRDefault="00CB40A2" w:rsidP="0038031E">
            <w:pPr>
              <w:spacing w:after="0" w:line="259" w:lineRule="auto"/>
              <w:jc w:val="center"/>
              <w:rPr>
                <w:sz w:val="18"/>
              </w:rPr>
            </w:pPr>
            <w:r>
              <w:rPr>
                <w:sz w:val="18"/>
              </w:rPr>
              <w:t>0</w:t>
            </w:r>
          </w:p>
        </w:tc>
        <w:tc>
          <w:tcPr>
            <w:tcW w:w="518" w:type="pct"/>
            <w:vAlign w:val="center"/>
          </w:tcPr>
          <w:p w14:paraId="5FD5B50D" w14:textId="77777777" w:rsidR="00CB40A2" w:rsidRPr="00120A92" w:rsidRDefault="00CB40A2" w:rsidP="0038031E">
            <w:pPr>
              <w:spacing w:after="0" w:line="259" w:lineRule="auto"/>
              <w:jc w:val="center"/>
              <w:rPr>
                <w:sz w:val="18"/>
              </w:rPr>
            </w:pPr>
            <w:r>
              <w:rPr>
                <w:sz w:val="18"/>
              </w:rPr>
              <w:t>0</w:t>
            </w:r>
          </w:p>
        </w:tc>
      </w:tr>
      <w:tr w:rsidR="00CB40A2" w:rsidRPr="00325BDA" w14:paraId="3525CE3F" w14:textId="77777777" w:rsidTr="0038031E">
        <w:trPr>
          <w:trHeight w:val="20"/>
        </w:trPr>
        <w:tc>
          <w:tcPr>
            <w:tcW w:w="3442" w:type="pct"/>
            <w:vAlign w:val="center"/>
          </w:tcPr>
          <w:p w14:paraId="3538FC53" w14:textId="77777777" w:rsidR="00CB40A2" w:rsidRPr="00120A92" w:rsidRDefault="00CB40A2" w:rsidP="0038031E">
            <w:pPr>
              <w:spacing w:after="0" w:line="259" w:lineRule="auto"/>
              <w:jc w:val="left"/>
              <w:rPr>
                <w:sz w:val="18"/>
              </w:rPr>
            </w:pPr>
            <w:r>
              <w:rPr>
                <w:sz w:val="18"/>
              </w:rPr>
              <w:t>Zavedenie minimálnej dane z príjmov právnických osôb</w:t>
            </w:r>
          </w:p>
        </w:tc>
        <w:tc>
          <w:tcPr>
            <w:tcW w:w="520" w:type="pct"/>
            <w:shd w:val="clear" w:color="auto" w:fill="auto"/>
            <w:vAlign w:val="center"/>
          </w:tcPr>
          <w:p w14:paraId="6634DDA2" w14:textId="77777777" w:rsidR="00CB40A2" w:rsidRPr="00120A92" w:rsidRDefault="00CB40A2" w:rsidP="0038031E">
            <w:pPr>
              <w:spacing w:after="0" w:line="259" w:lineRule="auto"/>
              <w:jc w:val="center"/>
              <w:rPr>
                <w:sz w:val="18"/>
              </w:rPr>
            </w:pPr>
            <w:r>
              <w:rPr>
                <w:sz w:val="18"/>
              </w:rPr>
              <w:t>123,0</w:t>
            </w:r>
          </w:p>
        </w:tc>
        <w:tc>
          <w:tcPr>
            <w:tcW w:w="520" w:type="pct"/>
            <w:vAlign w:val="center"/>
          </w:tcPr>
          <w:p w14:paraId="152775C2" w14:textId="77777777" w:rsidR="00CB40A2" w:rsidRPr="00120A92" w:rsidRDefault="00CB40A2" w:rsidP="0038031E">
            <w:pPr>
              <w:spacing w:after="0" w:line="259" w:lineRule="auto"/>
              <w:jc w:val="center"/>
              <w:rPr>
                <w:sz w:val="18"/>
              </w:rPr>
            </w:pPr>
            <w:r>
              <w:rPr>
                <w:sz w:val="18"/>
              </w:rPr>
              <w:t>107,0</w:t>
            </w:r>
          </w:p>
        </w:tc>
        <w:tc>
          <w:tcPr>
            <w:tcW w:w="518" w:type="pct"/>
            <w:vAlign w:val="center"/>
          </w:tcPr>
          <w:p w14:paraId="25DD4827" w14:textId="77777777" w:rsidR="00CB40A2" w:rsidRPr="00120A92" w:rsidRDefault="00CB40A2" w:rsidP="0038031E">
            <w:pPr>
              <w:spacing w:after="0" w:line="259" w:lineRule="auto"/>
              <w:jc w:val="center"/>
              <w:rPr>
                <w:sz w:val="18"/>
              </w:rPr>
            </w:pPr>
            <w:r>
              <w:rPr>
                <w:sz w:val="18"/>
              </w:rPr>
              <w:t>107,0</w:t>
            </w:r>
          </w:p>
        </w:tc>
      </w:tr>
      <w:tr w:rsidR="00CB40A2" w:rsidRPr="00325BDA" w14:paraId="2625388C" w14:textId="77777777" w:rsidTr="0038031E">
        <w:trPr>
          <w:trHeight w:val="20"/>
        </w:trPr>
        <w:tc>
          <w:tcPr>
            <w:tcW w:w="3442" w:type="pct"/>
            <w:tcBorders>
              <w:bottom w:val="single" w:sz="4" w:space="0" w:color="314364" w:themeColor="text2"/>
            </w:tcBorders>
            <w:vAlign w:val="center"/>
          </w:tcPr>
          <w:p w14:paraId="066604B5" w14:textId="77777777" w:rsidR="00CB40A2" w:rsidRPr="00120A92" w:rsidRDefault="00CB40A2" w:rsidP="0038031E">
            <w:pPr>
              <w:spacing w:after="0" w:line="259" w:lineRule="auto"/>
              <w:jc w:val="left"/>
              <w:rPr>
                <w:sz w:val="18"/>
              </w:rPr>
            </w:pPr>
            <w:r>
              <w:rPr>
                <w:sz w:val="18"/>
              </w:rPr>
              <w:t>Zvýšenie sadzieb spotrebnej dane z tabakových výrobkov</w:t>
            </w:r>
          </w:p>
        </w:tc>
        <w:tc>
          <w:tcPr>
            <w:tcW w:w="520" w:type="pct"/>
            <w:tcBorders>
              <w:bottom w:val="single" w:sz="4" w:space="0" w:color="314364" w:themeColor="text2"/>
            </w:tcBorders>
            <w:shd w:val="clear" w:color="auto" w:fill="auto"/>
            <w:vAlign w:val="center"/>
          </w:tcPr>
          <w:p w14:paraId="12CF419D" w14:textId="77777777" w:rsidR="00CB40A2" w:rsidRPr="00120A92" w:rsidRDefault="00CB40A2" w:rsidP="0038031E">
            <w:pPr>
              <w:spacing w:after="0" w:line="259" w:lineRule="auto"/>
              <w:jc w:val="center"/>
              <w:rPr>
                <w:sz w:val="18"/>
              </w:rPr>
            </w:pPr>
            <w:r>
              <w:rPr>
                <w:sz w:val="18"/>
              </w:rPr>
              <w:t>107,5</w:t>
            </w:r>
          </w:p>
        </w:tc>
        <w:tc>
          <w:tcPr>
            <w:tcW w:w="520" w:type="pct"/>
            <w:tcBorders>
              <w:bottom w:val="single" w:sz="4" w:space="0" w:color="314364" w:themeColor="text2"/>
            </w:tcBorders>
            <w:vAlign w:val="center"/>
          </w:tcPr>
          <w:p w14:paraId="3414DDCE" w14:textId="77777777" w:rsidR="00CB40A2" w:rsidRPr="00120A92" w:rsidRDefault="00CB40A2" w:rsidP="0038031E">
            <w:pPr>
              <w:spacing w:after="0" w:line="259" w:lineRule="auto"/>
              <w:jc w:val="center"/>
              <w:rPr>
                <w:sz w:val="18"/>
              </w:rPr>
            </w:pPr>
            <w:r>
              <w:rPr>
                <w:sz w:val="18"/>
              </w:rPr>
              <w:t>153,0</w:t>
            </w:r>
          </w:p>
        </w:tc>
        <w:tc>
          <w:tcPr>
            <w:tcW w:w="518" w:type="pct"/>
            <w:tcBorders>
              <w:bottom w:val="single" w:sz="4" w:space="0" w:color="314364" w:themeColor="text2"/>
            </w:tcBorders>
            <w:vAlign w:val="center"/>
          </w:tcPr>
          <w:p w14:paraId="1F8E0367" w14:textId="77777777" w:rsidR="00CB40A2" w:rsidRPr="00120A92" w:rsidRDefault="00CB40A2" w:rsidP="0038031E">
            <w:pPr>
              <w:spacing w:after="0" w:line="259" w:lineRule="auto"/>
              <w:jc w:val="center"/>
              <w:rPr>
                <w:sz w:val="18"/>
              </w:rPr>
            </w:pPr>
            <w:r>
              <w:rPr>
                <w:sz w:val="18"/>
              </w:rPr>
              <w:t>263,0</w:t>
            </w:r>
          </w:p>
        </w:tc>
      </w:tr>
    </w:tbl>
    <w:p w14:paraId="7CF71A30" w14:textId="77777777" w:rsidR="00CB40A2" w:rsidRDefault="00CB40A2" w:rsidP="00CB40A2">
      <w:pPr>
        <w:pStyle w:val="Zdroj"/>
      </w:pPr>
      <w:r>
        <w:t>Zdroj: Návrh RVS na roky 2024 až 2026</w:t>
      </w:r>
    </w:p>
    <w:p w14:paraId="27F309BA" w14:textId="0BA2ABD1" w:rsidR="00117ABE" w:rsidRDefault="00CB40A2" w:rsidP="000F1888">
      <w:r w:rsidRPr="00A022AF">
        <w:rPr>
          <w:b/>
        </w:rPr>
        <w:t>Novozvolená vláda SR si vo svojom programovom vyhlásení (PVV)</w:t>
      </w:r>
      <w:r w:rsidRPr="00A022AF">
        <w:rPr>
          <w:rStyle w:val="Odkaznapoznmkupodiarou"/>
          <w:b/>
        </w:rPr>
        <w:footnoteReference w:id="1"/>
      </w:r>
      <w:r w:rsidRPr="00A022AF">
        <w:rPr>
          <w:b/>
        </w:rPr>
        <w:t xml:space="preserve"> určila ako strednodobú a dlhodobú prioritu prehodnotiť efektívnosť všetkých troch pilierov dôchodkového systému, posilniť jeho dlhodobú udržateľnosť a maximalizovať úžitok pre poistencov.</w:t>
      </w:r>
      <w:r>
        <w:t xml:space="preserve"> Podľa zákona o sociálnom poistení sa mala sadzba povinných príspevkov do II. piliera postupne zvyšovať a v roku 2027 mala dosiahnuť konečnú hodnotu 6 % z vymeriavacieho základu. Takéto systémové nastavenie malo zabezpečiť, že tretinu budúcich dôchodkov mal financovať práve II. pilier. </w:t>
      </w:r>
      <w:r w:rsidR="00117ABE">
        <w:t>N</w:t>
      </w:r>
      <w:r w:rsidR="000F1888">
        <w:t>amiesto toho vláda SR bez hlbšej analýzy či diskusie s expertmi pristúpila k zníženiu sadzby povinných príspevkov do II. piliera z 5,5</w:t>
      </w:r>
      <w:r w:rsidR="00C7020E">
        <w:t> </w:t>
      </w:r>
      <w:r w:rsidR="000F1888">
        <w:t>% na úroveň 4 % vymeriavacieho základu s účinnosťou od 1. januára 2024.</w:t>
      </w:r>
      <w:r w:rsidR="00B07DCA">
        <w:rPr>
          <w:rStyle w:val="Odkaznapoznmkupodiarou"/>
        </w:rPr>
        <w:footnoteReference w:id="2"/>
      </w:r>
      <w:r w:rsidR="000F1888">
        <w:t xml:space="preserve"> Tento krok vlády síce bude mať pozitívny vplyv na rozpočet Sociálnej poisťovne, keď uvedeným opatrením dôjde k navýšeniu príjmov SP v roku 2024 o </w:t>
      </w:r>
      <w:r w:rsidR="00C7020E">
        <w:t xml:space="preserve">vyše </w:t>
      </w:r>
      <w:r w:rsidR="000F1888">
        <w:t>36</w:t>
      </w:r>
      <w:r w:rsidR="00B367FC">
        <w:t>3</w:t>
      </w:r>
      <w:r w:rsidR="000F1888">
        <w:t xml:space="preserve"> mil. eur, no zároveň tým poškodí aktívnych sporiteľov na úkor súčasných poberateľov dôchodku. </w:t>
      </w:r>
      <w:r w:rsidR="00117ABE">
        <w:t>Vláda sa snaží týmto krokom nájsť finančné krytie pre</w:t>
      </w:r>
      <w:r w:rsidR="00E20E1C">
        <w:t xml:space="preserve"> dvojnásobne vyššie</w:t>
      </w:r>
      <w:r w:rsidR="00117ABE">
        <w:t xml:space="preserve"> </w:t>
      </w:r>
      <w:r w:rsidR="00E20E1C">
        <w:t>1</w:t>
      </w:r>
      <w:r w:rsidR="00117ABE">
        <w:t>3. dôchodky</w:t>
      </w:r>
      <w:r w:rsidR="00E20E1C">
        <w:t xml:space="preserve"> v roku 2024, ktoré spôsobia výpadok v </w:t>
      </w:r>
      <w:r w:rsidR="00654191">
        <w:t>rozpočte</w:t>
      </w:r>
      <w:r w:rsidR="00E20E1C">
        <w:t xml:space="preserve"> na úrovni 495 mil. eur. </w:t>
      </w:r>
    </w:p>
    <w:p w14:paraId="4F576522" w14:textId="2FD25B54" w:rsidR="00925A5F" w:rsidRDefault="00925A5F" w:rsidP="000F1888">
      <w:pPr>
        <w:rPr>
          <w:b/>
        </w:rPr>
      </w:pPr>
      <w:r w:rsidRPr="006827E6">
        <w:rPr>
          <w:b/>
        </w:rPr>
        <w:t>Dlhodobá udržateľnosť dôchodkového systému si vyžaduje od štátu posilnenie</w:t>
      </w:r>
      <w:r w:rsidR="00FB32B7" w:rsidRPr="006827E6">
        <w:rPr>
          <w:b/>
        </w:rPr>
        <w:t xml:space="preserve"> sporiacej schémy aj prostredníctvom </w:t>
      </w:r>
      <w:r w:rsidR="000D6E76">
        <w:rPr>
          <w:b/>
        </w:rPr>
        <w:t>iných zdrojov</w:t>
      </w:r>
      <w:r w:rsidR="00FB32B7" w:rsidRPr="006827E6">
        <w:rPr>
          <w:b/>
        </w:rPr>
        <w:t>. T</w:t>
      </w:r>
      <w:r w:rsidR="000D6E76">
        <w:rPr>
          <w:b/>
        </w:rPr>
        <w:t>ie</w:t>
      </w:r>
      <w:r w:rsidR="00FB32B7" w:rsidRPr="006827E6">
        <w:rPr>
          <w:b/>
        </w:rPr>
        <w:t xml:space="preserve"> dokáž</w:t>
      </w:r>
      <w:r w:rsidR="000D6E76">
        <w:rPr>
          <w:b/>
        </w:rPr>
        <w:t>u</w:t>
      </w:r>
      <w:r w:rsidR="00FB32B7" w:rsidRPr="006827E6">
        <w:rPr>
          <w:b/>
        </w:rPr>
        <w:t xml:space="preserve"> znížiť tlak na verejné financie v budúcnosti, keď sa </w:t>
      </w:r>
      <w:r w:rsidR="00A022AF">
        <w:rPr>
          <w:b/>
        </w:rPr>
        <w:t xml:space="preserve">naplno </w:t>
      </w:r>
      <w:r w:rsidR="00FB32B7" w:rsidRPr="006827E6">
        <w:rPr>
          <w:b/>
        </w:rPr>
        <w:t>prejaví demografická kríza a počet dôchodcov bude rásť vyšším tempom</w:t>
      </w:r>
      <w:r w:rsidR="00CD6676">
        <w:rPr>
          <w:b/>
        </w:rPr>
        <w:t>,</w:t>
      </w:r>
      <w:r w:rsidR="00FB32B7" w:rsidRPr="006827E6">
        <w:rPr>
          <w:b/>
        </w:rPr>
        <w:t xml:space="preserve"> ako bude pribúdať počet pracujúcich.</w:t>
      </w:r>
    </w:p>
    <w:p w14:paraId="2CCC9E6D" w14:textId="68B5751C" w:rsidR="00BE3DAC" w:rsidRDefault="00BE3DAC" w:rsidP="00BE3DAC">
      <w:pPr>
        <w:rPr>
          <w:rFonts w:cs="Segoe UI"/>
          <w:szCs w:val="20"/>
        </w:rPr>
      </w:pPr>
      <w:bookmarkStart w:id="10" w:name="_Toc86396374"/>
      <w:r w:rsidRPr="00AD40A9">
        <w:rPr>
          <w:b/>
        </w:rPr>
        <w:lastRenderedPageBreak/>
        <w:t xml:space="preserve">Ďalším legislatívnym opatrením vlády SR, ktoré bude mať druhý najväčší vplyv na </w:t>
      </w:r>
      <w:r>
        <w:rPr>
          <w:b/>
        </w:rPr>
        <w:t>RVS</w:t>
      </w:r>
      <w:r w:rsidRPr="00AD40A9">
        <w:rPr>
          <w:b/>
        </w:rPr>
        <w:t>, je zvýšenie sadzby poistného zdravotných odvodov o 1 p. b.</w:t>
      </w:r>
      <w:r>
        <w:t xml:space="preserve"> Táto zmena sa týka časti odvodov platených zamestnávateľmi (sadzba sa zvýši z 10 % na 11 %) a celého balíku odvodov pre SZČO a samoplatcov (sadzba sa zvýši zo 14 % na 15 %). Opatrenie má priniesť už v budúcom roku do systému VZP dodatočných 357,5 mil. eur. </w:t>
      </w:r>
      <w:r w:rsidRPr="00680454">
        <w:rPr>
          <w:rFonts w:cs="Segoe UI"/>
          <w:szCs w:val="20"/>
        </w:rPr>
        <w:t xml:space="preserve">NKÚ SR upozorňuje, že zdroje zo zvýšených zdravotných odvodov </w:t>
      </w:r>
      <w:r w:rsidR="00AC6179">
        <w:rPr>
          <w:rFonts w:cs="Segoe UI"/>
          <w:szCs w:val="20"/>
        </w:rPr>
        <w:t>by mali byť</w:t>
      </w:r>
      <w:r w:rsidRPr="00680454">
        <w:rPr>
          <w:rFonts w:cs="Segoe UI"/>
          <w:szCs w:val="20"/>
        </w:rPr>
        <w:t xml:space="preserve"> použité na dorovnanie dlhodobo neefektívneho deficitného hospodárenia nemocníc a urovnanie žaloby EK </w:t>
      </w:r>
      <w:r>
        <w:rPr>
          <w:rFonts w:cs="Segoe UI"/>
          <w:szCs w:val="20"/>
        </w:rPr>
        <w:t>voči SR</w:t>
      </w:r>
      <w:r>
        <w:rPr>
          <w:rStyle w:val="Odkaznapoznmkupodiarou"/>
          <w:rFonts w:cs="Segoe UI"/>
          <w:szCs w:val="20"/>
        </w:rPr>
        <w:footnoteReference w:id="3"/>
      </w:r>
      <w:r>
        <w:t>, keďže toto navýšenie vláda odôvodňuje kritickou situáciou s verejnými financiami, keď príjmy nepostačujú na krytie výdavkov na zdravotnú starostlivosť</w:t>
      </w:r>
      <w:r w:rsidRPr="00CB40A2">
        <w:rPr>
          <w:b/>
        </w:rPr>
        <w:t xml:space="preserve"> </w:t>
      </w:r>
      <w:r>
        <w:t xml:space="preserve">(viac v kapitole Zdravotníctvo). </w:t>
      </w:r>
      <w:r>
        <w:rPr>
          <w:rFonts w:cs="Segoe UI"/>
          <w:szCs w:val="20"/>
        </w:rPr>
        <w:t xml:space="preserve"> </w:t>
      </w:r>
    </w:p>
    <w:p w14:paraId="40E68002" w14:textId="77777777" w:rsidR="00BE3DAC" w:rsidRDefault="00BE3DAC" w:rsidP="00BE3DAC">
      <w:pPr>
        <w:rPr>
          <w:rFonts w:cs="Segoe UI"/>
          <w:szCs w:val="20"/>
        </w:rPr>
      </w:pPr>
      <w:r w:rsidRPr="00BE3DAC">
        <w:rPr>
          <w:rFonts w:cs="Segoe UI"/>
          <w:b/>
          <w:szCs w:val="20"/>
        </w:rPr>
        <w:t>Medzi navrhovanými opatreniami je aj znovuzavedenie minimálnej dane z príjmov právnických osôb s očakávaným pozitívnym vplyvom 123 mil. eur v 2024</w:t>
      </w:r>
      <w:r>
        <w:rPr>
          <w:rFonts w:cs="Segoe UI"/>
          <w:szCs w:val="20"/>
        </w:rPr>
        <w:t xml:space="preserve"> a po 107 mil. eur v 2025 a 2026. Takzvané daňové licencie už raz zavedené boli od zdaňovacieho obdobia 2014, v ktorom </w:t>
      </w:r>
      <w:r w:rsidRPr="003625E1">
        <w:rPr>
          <w:rFonts w:cs="Segoe UI"/>
          <w:szCs w:val="20"/>
        </w:rPr>
        <w:t>výška prizn</w:t>
      </w:r>
      <w:r>
        <w:rPr>
          <w:rFonts w:cs="Segoe UI"/>
          <w:szCs w:val="20"/>
        </w:rPr>
        <w:t xml:space="preserve">anej daňovej licencie na úhradu DPPO bola na úrovni </w:t>
      </w:r>
      <w:r w:rsidRPr="003625E1">
        <w:rPr>
          <w:rFonts w:cs="Segoe UI"/>
          <w:szCs w:val="20"/>
        </w:rPr>
        <w:t>104,1 mil. eur</w:t>
      </w:r>
      <w:r>
        <w:rPr>
          <w:rFonts w:cs="Segoe UI"/>
          <w:szCs w:val="20"/>
        </w:rPr>
        <w:t>. NKÚ SR v roku 2017 prezentoval závery kontroly daňových licencií</w:t>
      </w:r>
      <w:r>
        <w:rPr>
          <w:rStyle w:val="Odkaznapoznmkupodiarou"/>
          <w:rFonts w:cs="Segoe UI"/>
          <w:szCs w:val="20"/>
        </w:rPr>
        <w:footnoteReference w:id="4"/>
      </w:r>
      <w:r>
        <w:rPr>
          <w:rFonts w:cs="Segoe UI"/>
          <w:szCs w:val="20"/>
        </w:rPr>
        <w:t xml:space="preserve">, kde vyčíslil výpadok príjmov za 2015 a 2016 v minimálnej výške 38,1 mil. eur, ktorý mohol byť minimalizovaný dôslednosťou finančnej správy pri výbere DPPO. </w:t>
      </w:r>
    </w:p>
    <w:p w14:paraId="65C9A058" w14:textId="260F5445" w:rsidR="00BE3DAC" w:rsidRPr="00E73CFF" w:rsidRDefault="00BE3DAC" w:rsidP="00BE3DAC">
      <w:pPr>
        <w:rPr>
          <w:b/>
        </w:rPr>
      </w:pPr>
      <w:r w:rsidRPr="00AD40A9">
        <w:rPr>
          <w:b/>
        </w:rPr>
        <w:t>V krátkodobom horizonte si dala vláda SR v PVV za cieľ zaviesť riešenia na zníženie úrokového zaťaženia ľudí s úvermi na bývanie</w:t>
      </w:r>
      <w:r>
        <w:t xml:space="preserve">, aby </w:t>
      </w:r>
      <w:r w:rsidR="00DE7892">
        <w:t>významné</w:t>
      </w:r>
      <w:r>
        <w:t xml:space="preserve"> zvyšovanie úrokových sadzieb neohrozovalo ich životnú úroveň. Vláda SR tak prišla s dvomi opatreniami, kde prvým je priama štátna dotácia rozdielu medzi splátkami, najviac však v sume 1 800 eur ročne. Problémom však môže byť zvýšený daňový bonus na nové uzavreté hypotekárne zmluvy od 1. januára 2024. Tu sa vláda rozhodla zvýšiť maximálny príjem z 1,3 na 1,6-násobok priemernej mesačnej mzdy, ako aj zvýšiť maximálnu možnú hranicu pre uplatnenie daňového bonusu zo zaplatených úrokov zo 400 eur na 1 200 eur. Prvým problémom je financovanie samospráv, ktoré pre tento krok budú mať v budúcom roku nižšie príjmy o viac ako 19 mil. eur.</w:t>
      </w:r>
      <w:r>
        <w:rPr>
          <w:rStyle w:val="Odkaznapoznmkupodiarou"/>
        </w:rPr>
        <w:footnoteReference w:id="5"/>
      </w:r>
      <w:r>
        <w:t xml:space="preserve"> V rámci návrhu rozpočtu však nie je bližšie určené, či bude tento výpadok samosprávam kompenzovať štát, alebo ho obce budú musieť kompenzovať priamo vyššími miestnymi daňami a poplatkami. Druhým problémom je vymáhateľnosť tohto opatrenia pri neoprávnenom uplatnení bonusu </w:t>
      </w:r>
      <w:r w:rsidR="00E73CFF">
        <w:t>(</w:t>
      </w:r>
      <w:r>
        <w:t>daná nehnuteľnosť musí slúžiť na bývanie</w:t>
      </w:r>
      <w:r w:rsidR="00E73CFF">
        <w:t>)</w:t>
      </w:r>
      <w:r>
        <w:t xml:space="preserve">. </w:t>
      </w:r>
      <w:r w:rsidR="00E73CFF" w:rsidRPr="00E73CFF">
        <w:rPr>
          <w:b/>
        </w:rPr>
        <w:t xml:space="preserve">NKÚ SR </w:t>
      </w:r>
      <w:r w:rsidR="004E64AB">
        <w:rPr>
          <w:b/>
        </w:rPr>
        <w:t>konštatuje</w:t>
      </w:r>
      <w:r w:rsidR="00E73CFF" w:rsidRPr="00E73CFF">
        <w:rPr>
          <w:b/>
        </w:rPr>
        <w:t>, že na zabezpečenie agendy poskytovania príspevku je potrebné personálne a</w:t>
      </w:r>
      <w:r w:rsidR="00AC6179">
        <w:rPr>
          <w:b/>
        </w:rPr>
        <w:t> </w:t>
      </w:r>
      <w:r w:rsidR="00E73CFF" w:rsidRPr="00E73CFF">
        <w:rPr>
          <w:b/>
        </w:rPr>
        <w:t>materiálno</w:t>
      </w:r>
      <w:r w:rsidR="00AC6179">
        <w:rPr>
          <w:b/>
        </w:rPr>
        <w:t>-</w:t>
      </w:r>
      <w:r w:rsidR="00E73CFF" w:rsidRPr="00E73CFF">
        <w:rPr>
          <w:b/>
        </w:rPr>
        <w:t>technické zabezpečenie v roku 2024 vo výške cca 8,6 mil. eur, čo tvorí viac ako 13 % nákladov z celkovej poskytnutej sumy na pomoc s hypotékami (64 mil. eur).</w:t>
      </w:r>
    </w:p>
    <w:p w14:paraId="1AEBAD67" w14:textId="5CF21A00" w:rsidR="00691C61" w:rsidRDefault="00691C61" w:rsidP="000D631B">
      <w:pPr>
        <w:pStyle w:val="Nadpis2"/>
      </w:pPr>
      <w:bookmarkStart w:id="11" w:name="_Toc153784694"/>
      <w:r w:rsidRPr="00432AD8">
        <w:t>Fiškálny rámec návrhu RVS</w:t>
      </w:r>
      <w:bookmarkEnd w:id="10"/>
      <w:bookmarkEnd w:id="11"/>
    </w:p>
    <w:p w14:paraId="1C23AD4C" w14:textId="513A6C38" w:rsidR="009E60BB" w:rsidRDefault="00A022AF" w:rsidP="00217CD2">
      <w:r w:rsidRPr="00AD40A9">
        <w:rPr>
          <w:b/>
        </w:rPr>
        <w:t xml:space="preserve">Vláda SR sa rozhodla, že pristúpi </w:t>
      </w:r>
      <w:r w:rsidR="00AD40A9">
        <w:rPr>
          <w:b/>
        </w:rPr>
        <w:t>ku</w:t>
      </w:r>
      <w:r w:rsidRPr="00AD40A9">
        <w:rPr>
          <w:b/>
        </w:rPr>
        <w:t xml:space="preserve"> konsolidácii verejných financií </w:t>
      </w:r>
      <w:r w:rsidR="00AD40A9">
        <w:rPr>
          <w:b/>
        </w:rPr>
        <w:t xml:space="preserve">najmä </w:t>
      </w:r>
      <w:r w:rsidRPr="00AD40A9">
        <w:rPr>
          <w:b/>
        </w:rPr>
        <w:t>na príjmovej strane rozpočtu.</w:t>
      </w:r>
      <w:r>
        <w:t xml:space="preserve"> Podľa návrhu RVS ide vláda SR v súlade so svojím PVV, podľa ktorého plánuje znížiť budúcoročný schodok o 0,5 % HDP, čo je najnižšia možná konsolidácia. Vďaka tomu si vláda SR vytvára priestor pre využitie dodatočných príjmov na ďalšie výdavky</w:t>
      </w:r>
      <w:r w:rsidR="00AD40A9">
        <w:t>,</w:t>
      </w:r>
      <w:r>
        <w:t xml:space="preserve"> ako sú 13. dôchodky, pomoc s hypotékami, pomoc pre rodičov, ktorých deti neboli prijaté do štátnej škôlky či vytvorenie nového Ministerstva </w:t>
      </w:r>
      <w:r w:rsidR="00885631">
        <w:t xml:space="preserve">cestovného ruchu a </w:t>
      </w:r>
      <w:r>
        <w:t>športu.</w:t>
      </w:r>
      <w:r w:rsidR="003C3FA9">
        <w:t xml:space="preserve"> </w:t>
      </w:r>
      <w:r w:rsidR="003C3FA9" w:rsidRPr="003C3FA9">
        <w:rPr>
          <w:b/>
        </w:rPr>
        <w:t>K</w:t>
      </w:r>
      <w:r w:rsidR="002E47E5" w:rsidRPr="00AD40A9">
        <w:rPr>
          <w:b/>
        </w:rPr>
        <w:t xml:space="preserve">onsolidácia </w:t>
      </w:r>
      <w:r w:rsidR="00E648E7">
        <w:rPr>
          <w:b/>
        </w:rPr>
        <w:t xml:space="preserve">verejných financií </w:t>
      </w:r>
      <w:r w:rsidR="003C3FA9">
        <w:rPr>
          <w:b/>
        </w:rPr>
        <w:t>na úrovni 0,5 % HDP ročne by</w:t>
      </w:r>
      <w:r w:rsidR="00E648E7">
        <w:rPr>
          <w:b/>
        </w:rPr>
        <w:t xml:space="preserve"> v dlhodobom horizonte neb</w:t>
      </w:r>
      <w:r w:rsidR="003C3FA9">
        <w:rPr>
          <w:b/>
        </w:rPr>
        <w:t>ola</w:t>
      </w:r>
      <w:r w:rsidR="002E47E5" w:rsidRPr="00AD40A9">
        <w:rPr>
          <w:b/>
        </w:rPr>
        <w:t xml:space="preserve"> dostatočná</w:t>
      </w:r>
      <w:r w:rsidR="004A29A5" w:rsidRPr="00E648E7">
        <w:rPr>
          <w:b/>
        </w:rPr>
        <w:t xml:space="preserve">, nakoľko </w:t>
      </w:r>
      <w:r w:rsidR="00E648E7">
        <w:rPr>
          <w:b/>
        </w:rPr>
        <w:t xml:space="preserve">nestabilizuje úroveň dlhu </w:t>
      </w:r>
      <w:r w:rsidR="00905423">
        <w:t xml:space="preserve">(graf 3) </w:t>
      </w:r>
      <w:r w:rsidR="00E648E7">
        <w:rPr>
          <w:b/>
        </w:rPr>
        <w:t xml:space="preserve">a </w:t>
      </w:r>
      <w:r w:rsidR="00AD40A9">
        <w:rPr>
          <w:b/>
        </w:rPr>
        <w:t>zv</w:t>
      </w:r>
      <w:r w:rsidR="003C3FA9">
        <w:rPr>
          <w:b/>
        </w:rPr>
        <w:t>yšuje</w:t>
      </w:r>
      <w:r w:rsidR="00E648E7">
        <w:rPr>
          <w:b/>
        </w:rPr>
        <w:t xml:space="preserve"> zraniteľnosť ekonomiky v prípade negatívnych neočakávanýc</w:t>
      </w:r>
      <w:r w:rsidR="00B10463">
        <w:rPr>
          <w:b/>
        </w:rPr>
        <w:t>h šokov z externého prostredia.</w:t>
      </w:r>
      <w:r w:rsidR="00E73CFF">
        <w:rPr>
          <w:b/>
        </w:rPr>
        <w:t xml:space="preserve"> </w:t>
      </w:r>
      <w:r w:rsidR="00217CD2" w:rsidRPr="00AD40A9">
        <w:t xml:space="preserve">Hospodárenie RVS v roku 2023 sa očakáva na </w:t>
      </w:r>
      <w:r w:rsidR="00CC53B9">
        <w:t xml:space="preserve">deficitnej </w:t>
      </w:r>
      <w:r w:rsidR="00217CD2" w:rsidRPr="00AD40A9">
        <w:t>úrovni -6,</w:t>
      </w:r>
      <w:r w:rsidR="00A375CD">
        <w:t>5</w:t>
      </w:r>
      <w:r w:rsidR="00217CD2" w:rsidRPr="00AD40A9">
        <w:t xml:space="preserve">2 % HDP, čo je oproti schválenému rozpočtu </w:t>
      </w:r>
      <w:r w:rsidR="00A375CD">
        <w:t>horšie</w:t>
      </w:r>
      <w:r w:rsidR="00A375CD" w:rsidRPr="00AD40A9">
        <w:t xml:space="preserve"> </w:t>
      </w:r>
      <w:r w:rsidR="00217CD2" w:rsidRPr="00AD40A9">
        <w:t>o 0,</w:t>
      </w:r>
      <w:r w:rsidR="00A375CD">
        <w:t>1</w:t>
      </w:r>
      <w:r w:rsidR="00217CD2" w:rsidRPr="00AD40A9">
        <w:t xml:space="preserve"> p. b. a oproti správe o očakávanej skutočnosti z augusta 2023 lepšie o 0,</w:t>
      </w:r>
      <w:r w:rsidR="00A375CD">
        <w:t>3</w:t>
      </w:r>
      <w:r w:rsidR="00217CD2" w:rsidRPr="00AD40A9">
        <w:t> p. b.</w:t>
      </w:r>
      <w:r w:rsidR="00217CD2">
        <w:t xml:space="preserve"> V roku 2024 </w:t>
      </w:r>
      <w:r w:rsidR="00A934C2">
        <w:t>plánovala</w:t>
      </w:r>
      <w:r w:rsidR="00217CD2">
        <w:t xml:space="preserve"> predošlá vláda podľa Programu stability deficit rozpočtu na úrovni 4,7 % HDP. </w:t>
      </w:r>
      <w:r w:rsidR="00217CD2">
        <w:lastRenderedPageBreak/>
        <w:t>Avšak od schválenia Programu stability boli vládou či parlamentom prijaté legislatívne zmeny</w:t>
      </w:r>
      <w:r w:rsidR="00A934C2">
        <w:t>, ktoré mali vpl</w:t>
      </w:r>
      <w:r w:rsidR="00217CD2">
        <w:t>yv</w:t>
      </w:r>
      <w:r w:rsidR="00A934C2">
        <w:t xml:space="preserve"> na schodok rozpočtu v danom roku</w:t>
      </w:r>
      <w:r w:rsidR="00217CD2">
        <w:t>.</w:t>
      </w:r>
    </w:p>
    <w:p w14:paraId="39888BB5" w14:textId="5CD519E4" w:rsidR="00217CD2" w:rsidRPr="00754FE3" w:rsidRDefault="009E60BB" w:rsidP="00217CD2">
      <w:r w:rsidRPr="00AD40A9">
        <w:rPr>
          <w:b/>
        </w:rPr>
        <w:t xml:space="preserve">V budúcom roku plánuje vláda SR znížiť deficit rozpočtu na </w:t>
      </w:r>
      <w:r w:rsidR="009971E5">
        <w:rPr>
          <w:b/>
        </w:rPr>
        <w:t xml:space="preserve">úroveň </w:t>
      </w:r>
      <w:r w:rsidRPr="00AD40A9">
        <w:rPr>
          <w:b/>
        </w:rPr>
        <w:t>5,97 % HDP</w:t>
      </w:r>
      <w:r w:rsidR="00217CD2">
        <w:t xml:space="preserve"> (graf 2).</w:t>
      </w:r>
      <w:r>
        <w:t xml:space="preserve"> K medziročnému poklesu schodku prispejú aj </w:t>
      </w:r>
      <w:r w:rsidR="00AD40A9">
        <w:t>prijaté</w:t>
      </w:r>
      <w:r>
        <w:t xml:space="preserve"> legislatívne opatrenia. </w:t>
      </w:r>
      <w:r w:rsidR="00A934C2">
        <w:t>Pripravovaná</w:t>
      </w:r>
      <w:r w:rsidR="009971E5">
        <w:t xml:space="preserve"> reform</w:t>
      </w:r>
      <w:r w:rsidR="00A934C2">
        <w:t>a</w:t>
      </w:r>
      <w:r w:rsidR="009971E5">
        <w:t xml:space="preserve"> fiškálnych pravidiel EÚ</w:t>
      </w:r>
      <w:r w:rsidR="00A5085D">
        <w:t xml:space="preserve"> naznačuje pre Slovensko ambicióznejšiu konsolidáciu, ktorá vyplýva najmä z vysokého súčasného štrukturálneho deficitu, ako aj budúcich nákladov na starnutie populácie.</w:t>
      </w:r>
      <w:r w:rsidR="00A934C2" w:rsidRPr="00A934C2">
        <w:rPr>
          <w:rStyle w:val="Odkaznapoznmkupodiarou"/>
        </w:rPr>
        <w:t xml:space="preserve"> </w:t>
      </w:r>
      <w:r w:rsidR="00A934C2">
        <w:rPr>
          <w:rStyle w:val="Odkaznapoznmkupodiarou"/>
        </w:rPr>
        <w:footnoteReference w:id="6"/>
      </w:r>
      <w:r w:rsidR="00A5085D">
        <w:t xml:space="preserve"> </w:t>
      </w:r>
      <w:r w:rsidR="00A5085D" w:rsidRPr="00AD40A9">
        <w:rPr>
          <w:b/>
        </w:rPr>
        <w:t>Nová metodika by sa mala aplikovať na štvorročný</w:t>
      </w:r>
      <w:r w:rsidR="00E72F3B">
        <w:rPr>
          <w:b/>
        </w:rPr>
        <w:t xml:space="preserve"> (prípadne sedemročný)</w:t>
      </w:r>
      <w:r w:rsidR="00A5085D" w:rsidRPr="00AD40A9">
        <w:rPr>
          <w:b/>
        </w:rPr>
        <w:t xml:space="preserve"> horizont, pričom konsolidácia </w:t>
      </w:r>
      <w:r w:rsidR="00C56102" w:rsidRPr="00AD40A9">
        <w:rPr>
          <w:b/>
        </w:rPr>
        <w:t xml:space="preserve">by sa </w:t>
      </w:r>
      <w:r w:rsidR="00A5085D" w:rsidRPr="00AD40A9">
        <w:rPr>
          <w:b/>
        </w:rPr>
        <w:t>mala priblížiť k 1 % HDP ročne</w:t>
      </w:r>
      <w:r w:rsidR="00C56102" w:rsidRPr="00AD40A9">
        <w:rPr>
          <w:b/>
        </w:rPr>
        <w:t xml:space="preserve"> a to už od roku 2025</w:t>
      </w:r>
      <w:r w:rsidR="00A5085D" w:rsidRPr="00AD40A9">
        <w:rPr>
          <w:b/>
        </w:rPr>
        <w:t>.</w:t>
      </w:r>
      <w:r w:rsidR="001813E9" w:rsidRPr="00754FE3">
        <w:rPr>
          <w:rStyle w:val="Odkaznapoznmkupodiarou"/>
        </w:rPr>
        <w:footnoteReference w:id="7"/>
      </w:r>
    </w:p>
    <w:p w14:paraId="40308D2A" w14:textId="572EF2D8" w:rsidR="00045218" w:rsidRDefault="00045218" w:rsidP="00045218">
      <w:pPr>
        <w:pStyle w:val="Popis"/>
        <w:keepNext/>
        <w:rPr>
          <w:color w:val="314364"/>
        </w:rPr>
      </w:pPr>
      <w:r w:rsidRPr="00987D5D">
        <w:rPr>
          <w:color w:val="314364"/>
        </w:rPr>
        <w:t xml:space="preserve">Graf </w:t>
      </w:r>
      <w:r w:rsidR="003356A6" w:rsidRPr="00987D5D">
        <w:rPr>
          <w:color w:val="314364"/>
        </w:rPr>
        <w:t>2</w:t>
      </w:r>
      <w:r w:rsidR="00F075DC" w:rsidRPr="00987D5D">
        <w:rPr>
          <w:color w:val="314364"/>
        </w:rPr>
        <w:t>:</w:t>
      </w:r>
      <w:r w:rsidR="000B261C" w:rsidRPr="00987D5D">
        <w:rPr>
          <w:color w:val="314364"/>
        </w:rPr>
        <w:t xml:space="preserve"> Vývoj schodku </w:t>
      </w:r>
      <w:r w:rsidR="00351819">
        <w:rPr>
          <w:color w:val="314364"/>
        </w:rPr>
        <w:t>VS</w:t>
      </w:r>
      <w:r w:rsidR="000B261C" w:rsidRPr="00987D5D">
        <w:rPr>
          <w:color w:val="314364"/>
        </w:rPr>
        <w:t xml:space="preserve"> v rokoch 20</w:t>
      </w:r>
      <w:r w:rsidR="00A3675A">
        <w:rPr>
          <w:color w:val="314364"/>
        </w:rPr>
        <w:t>19</w:t>
      </w:r>
      <w:r w:rsidR="000B261C" w:rsidRPr="00987D5D">
        <w:rPr>
          <w:color w:val="314364"/>
        </w:rPr>
        <w:t xml:space="preserve"> až 2026 (v % HDP)</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A93D2D" w:rsidRPr="000F43AE" w14:paraId="551E19B9" w14:textId="77777777" w:rsidTr="00E73CFF">
        <w:trPr>
          <w:trHeight w:val="2968"/>
        </w:trPr>
        <w:tc>
          <w:tcPr>
            <w:tcW w:w="9070" w:type="dxa"/>
            <w:tcBorders>
              <w:top w:val="single" w:sz="4" w:space="0" w:color="314364"/>
              <w:bottom w:val="single" w:sz="4" w:space="0" w:color="314364" w:themeColor="text2"/>
            </w:tcBorders>
            <w:vAlign w:val="center"/>
          </w:tcPr>
          <w:p w14:paraId="352E87D7" w14:textId="77777777" w:rsidR="00A93D2D" w:rsidRPr="000F43AE" w:rsidRDefault="00A93D2D" w:rsidP="001813E9">
            <w:pPr>
              <w:spacing w:after="0"/>
              <w:rPr>
                <w:b/>
                <w:color w:val="576431"/>
                <w:highlight w:val="yellow"/>
              </w:rPr>
            </w:pPr>
            <w:r>
              <w:rPr>
                <w:noProof/>
                <w:lang w:eastAsia="sk-SK"/>
              </w:rPr>
              <w:drawing>
                <wp:inline distT="0" distB="0" distL="0" distR="0" wp14:anchorId="32922796" wp14:editId="2F1CF86C">
                  <wp:extent cx="5759450" cy="1838325"/>
                  <wp:effectExtent l="0" t="0" r="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7ECDA725" w14:textId="77777777" w:rsidR="00A93D2D" w:rsidRPr="00987D5D" w:rsidRDefault="00A93D2D" w:rsidP="00A93D2D">
      <w:pPr>
        <w:pStyle w:val="Zdroj"/>
      </w:pPr>
      <w:r w:rsidRPr="00987D5D">
        <w:t>Zdroj: Návrh RVS na roky 2024 až 2026</w:t>
      </w:r>
      <w:r w:rsidRPr="00987D5D">
        <w:rPr>
          <w:lang w:val="en-US"/>
        </w:rPr>
        <w:t>;</w:t>
      </w:r>
      <w:r w:rsidRPr="00987D5D">
        <w:t xml:space="preserve"> *očakávaná skutočnosť; **prognóza</w:t>
      </w:r>
    </w:p>
    <w:p w14:paraId="68864C9F" w14:textId="0733CE9F" w:rsidR="00D20A30" w:rsidRDefault="00D20A30" w:rsidP="000D631B">
      <w:pPr>
        <w:pStyle w:val="Nadpis2"/>
      </w:pPr>
      <w:bookmarkStart w:id="12" w:name="_Toc86396375"/>
      <w:bookmarkStart w:id="13" w:name="_Toc153784695"/>
      <w:r w:rsidRPr="00D20A30">
        <w:t>Prognóza hrubého dlhu VS</w:t>
      </w:r>
      <w:bookmarkEnd w:id="12"/>
      <w:bookmarkEnd w:id="13"/>
    </w:p>
    <w:p w14:paraId="4686610B" w14:textId="3D326390" w:rsidR="00905423" w:rsidRPr="00777A29" w:rsidRDefault="00905423" w:rsidP="00905423">
      <w:pPr>
        <w:rPr>
          <w:rFonts w:cs="Segoe UI"/>
          <w:szCs w:val="20"/>
        </w:rPr>
      </w:pPr>
      <w:r>
        <w:rPr>
          <w:rFonts w:cs="Segoe UI"/>
          <w:b/>
          <w:szCs w:val="20"/>
        </w:rPr>
        <w:t xml:space="preserve">V roku 2023 má podľa MF SR </w:t>
      </w:r>
      <w:r w:rsidRPr="00A40DDA">
        <w:rPr>
          <w:rFonts w:cs="Segoe UI"/>
          <w:b/>
          <w:szCs w:val="20"/>
        </w:rPr>
        <w:t xml:space="preserve">dosiahnuť </w:t>
      </w:r>
      <w:r>
        <w:rPr>
          <w:rFonts w:cs="Segoe UI"/>
          <w:b/>
          <w:szCs w:val="20"/>
        </w:rPr>
        <w:t xml:space="preserve">dlh VS </w:t>
      </w:r>
      <w:r w:rsidRPr="00AD6938">
        <w:rPr>
          <w:rFonts w:cs="Segoe UI"/>
          <w:b/>
          <w:szCs w:val="20"/>
        </w:rPr>
        <w:t xml:space="preserve">úroveň 56,8 % HDP, čo je o </w:t>
      </w:r>
      <w:r>
        <w:rPr>
          <w:rFonts w:cs="Segoe UI"/>
          <w:b/>
          <w:szCs w:val="20"/>
        </w:rPr>
        <w:t>1</w:t>
      </w:r>
      <w:r w:rsidRPr="00AD6938">
        <w:rPr>
          <w:rFonts w:cs="Segoe UI"/>
          <w:b/>
          <w:szCs w:val="20"/>
        </w:rPr>
        <w:t>,</w:t>
      </w:r>
      <w:r>
        <w:rPr>
          <w:rFonts w:cs="Segoe UI"/>
          <w:b/>
          <w:szCs w:val="20"/>
        </w:rPr>
        <w:t>1</w:t>
      </w:r>
      <w:r w:rsidRPr="00AD6938">
        <w:rPr>
          <w:rFonts w:cs="Segoe UI"/>
          <w:b/>
          <w:szCs w:val="20"/>
        </w:rPr>
        <w:t xml:space="preserve"> % HDP</w:t>
      </w:r>
      <w:r w:rsidRPr="001F7803">
        <w:rPr>
          <w:rFonts w:cs="Segoe UI"/>
          <w:b/>
          <w:szCs w:val="20"/>
        </w:rPr>
        <w:t xml:space="preserve"> </w:t>
      </w:r>
      <w:r>
        <w:rPr>
          <w:rFonts w:cs="Segoe UI"/>
          <w:b/>
          <w:szCs w:val="20"/>
        </w:rPr>
        <w:t>menej oproti pôvodne plánovanej úrovni dlhu v schválenom návrhu rozpočtu</w:t>
      </w:r>
      <w:r w:rsidR="00427916">
        <w:rPr>
          <w:rFonts w:cs="Segoe UI"/>
          <w:b/>
          <w:szCs w:val="20"/>
        </w:rPr>
        <w:t xml:space="preserve"> </w:t>
      </w:r>
      <w:r w:rsidR="00427916">
        <w:rPr>
          <w:rFonts w:cs="Segoe UI"/>
          <w:szCs w:val="20"/>
        </w:rPr>
        <w:t>(graf 3)</w:t>
      </w:r>
      <w:r>
        <w:rPr>
          <w:rFonts w:cs="Segoe UI"/>
          <w:b/>
          <w:szCs w:val="20"/>
        </w:rPr>
        <w:t>.</w:t>
      </w:r>
    </w:p>
    <w:p w14:paraId="10948F80" w14:textId="7FCD8A5E" w:rsidR="000D6E76" w:rsidRDefault="00905423" w:rsidP="00905423">
      <w:pPr>
        <w:spacing w:after="0"/>
        <w:rPr>
          <w:rFonts w:cs="Segoe UI"/>
          <w:b/>
          <w:bCs/>
          <w:color w:val="304363"/>
          <w:szCs w:val="20"/>
        </w:rPr>
      </w:pPr>
      <w:r w:rsidRPr="002A0A2C">
        <w:rPr>
          <w:rFonts w:cs="Segoe UI"/>
          <w:b/>
          <w:bCs/>
          <w:color w:val="304363"/>
          <w:szCs w:val="20"/>
        </w:rPr>
        <w:t xml:space="preserve">Graf </w:t>
      </w:r>
      <w:r>
        <w:rPr>
          <w:rFonts w:cs="Segoe UI"/>
          <w:b/>
          <w:bCs/>
          <w:color w:val="304363"/>
          <w:szCs w:val="20"/>
        </w:rPr>
        <w:t>3</w:t>
      </w:r>
      <w:r w:rsidRPr="002A0A2C">
        <w:rPr>
          <w:rFonts w:cs="Segoe UI"/>
          <w:b/>
          <w:bCs/>
          <w:color w:val="304363"/>
          <w:szCs w:val="20"/>
        </w:rPr>
        <w:t>: Vývoj hrubého a čistého dlhu VS v rokoch 2016 až 2026 (v % HDP)</w:t>
      </w:r>
    </w:p>
    <w:tbl>
      <w:tblPr>
        <w:tblStyle w:val="Mriekatabuky"/>
        <w:tblW w:w="0" w:type="auto"/>
        <w:tblCellMar>
          <w:left w:w="70" w:type="dxa"/>
          <w:right w:w="70" w:type="dxa"/>
        </w:tblCellMar>
        <w:tblLook w:val="04A0" w:firstRow="1" w:lastRow="0" w:firstColumn="1" w:lastColumn="0" w:noHBand="0" w:noVBand="1"/>
      </w:tblPr>
      <w:tblGrid>
        <w:gridCol w:w="9070"/>
      </w:tblGrid>
      <w:tr w:rsidR="00A93D2D" w14:paraId="05580C7B" w14:textId="77777777" w:rsidTr="00437345">
        <w:trPr>
          <w:trHeight w:val="3118"/>
        </w:trPr>
        <w:tc>
          <w:tcPr>
            <w:tcW w:w="9070" w:type="dxa"/>
            <w:tcBorders>
              <w:top w:val="single" w:sz="4" w:space="0" w:color="314364" w:themeColor="text2"/>
              <w:left w:val="nil"/>
              <w:bottom w:val="single" w:sz="4" w:space="0" w:color="314364" w:themeColor="text2"/>
              <w:right w:val="nil"/>
            </w:tcBorders>
          </w:tcPr>
          <w:p w14:paraId="0034D18F" w14:textId="77777777" w:rsidR="00A93D2D" w:rsidRDefault="00A93D2D" w:rsidP="001813E9">
            <w:pPr>
              <w:spacing w:after="0"/>
              <w:rPr>
                <w:rFonts w:cs="Segoe UI"/>
                <w:b/>
                <w:bCs/>
                <w:color w:val="304363"/>
                <w:szCs w:val="20"/>
              </w:rPr>
            </w:pPr>
            <w:r>
              <w:rPr>
                <w:noProof/>
                <w:lang w:eastAsia="sk-SK"/>
              </w:rPr>
              <w:drawing>
                <wp:inline distT="0" distB="0" distL="0" distR="0" wp14:anchorId="3BCAA6AC" wp14:editId="38CABE6F">
                  <wp:extent cx="5759450" cy="198120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1DE380A3" w14:textId="77777777" w:rsidR="00A93D2D" w:rsidRPr="005406A8" w:rsidRDefault="00A93D2D" w:rsidP="00A93D2D">
      <w:pPr>
        <w:pStyle w:val="Zdroj"/>
      </w:pPr>
      <w:r w:rsidRPr="005406A8">
        <w:t>Zdroj: MF SR, Návrh RVS na roky 2024 až 2026 * očakávaná skutočnosť ** prognóza</w:t>
      </w:r>
    </w:p>
    <w:p w14:paraId="1EFD296F" w14:textId="7163F529" w:rsidR="000D6E76" w:rsidRPr="00777A29" w:rsidRDefault="000D6E76" w:rsidP="000D6E76">
      <w:pPr>
        <w:rPr>
          <w:rFonts w:cs="Segoe UI"/>
          <w:szCs w:val="20"/>
        </w:rPr>
      </w:pPr>
      <w:r>
        <w:rPr>
          <w:rFonts w:cs="Segoe UI"/>
          <w:szCs w:val="20"/>
        </w:rPr>
        <w:t>Dlh bude nižší</w:t>
      </w:r>
      <w:r w:rsidRPr="00777A29">
        <w:rPr>
          <w:rFonts w:cs="Segoe UI"/>
          <w:szCs w:val="20"/>
        </w:rPr>
        <w:t xml:space="preserve"> najmä </w:t>
      </w:r>
      <w:r>
        <w:rPr>
          <w:rFonts w:cs="Segoe UI"/>
          <w:szCs w:val="20"/>
        </w:rPr>
        <w:t xml:space="preserve">vplyvom vývoja vysokej inflácie </w:t>
      </w:r>
      <w:r w:rsidRPr="00777A29">
        <w:rPr>
          <w:rFonts w:cs="Segoe UI"/>
          <w:szCs w:val="20"/>
        </w:rPr>
        <w:t>a väčš</w:t>
      </w:r>
      <w:r>
        <w:rPr>
          <w:rFonts w:cs="Segoe UI"/>
          <w:szCs w:val="20"/>
        </w:rPr>
        <w:t>ím</w:t>
      </w:r>
      <w:r w:rsidRPr="00777A29">
        <w:rPr>
          <w:rFonts w:cs="Segoe UI"/>
          <w:szCs w:val="20"/>
        </w:rPr>
        <w:t xml:space="preserve"> využit</w:t>
      </w:r>
      <w:r>
        <w:rPr>
          <w:rFonts w:cs="Segoe UI"/>
          <w:szCs w:val="20"/>
        </w:rPr>
        <w:t>ím</w:t>
      </w:r>
      <w:r w:rsidRPr="00777A29">
        <w:rPr>
          <w:rFonts w:cs="Segoe UI"/>
          <w:szCs w:val="20"/>
        </w:rPr>
        <w:t xml:space="preserve"> likvidných zdrojov, naakumulovaných v posledných dvoch rokoch na úkor nových emisií.</w:t>
      </w:r>
      <w:r>
        <w:rPr>
          <w:rFonts w:cs="Segoe UI"/>
          <w:szCs w:val="20"/>
        </w:rPr>
        <w:t xml:space="preserve"> </w:t>
      </w:r>
      <w:r w:rsidRPr="00777A29">
        <w:rPr>
          <w:rFonts w:cs="Segoe UI"/>
          <w:szCs w:val="20"/>
        </w:rPr>
        <w:t>Od roku 2020 sa hrubý dlh VS nachádza v</w:t>
      </w:r>
      <w:r w:rsidR="00F05A52">
        <w:rPr>
          <w:rFonts w:cs="Segoe UI"/>
          <w:szCs w:val="20"/>
        </w:rPr>
        <w:t> </w:t>
      </w:r>
      <w:r w:rsidRPr="00777A29">
        <w:rPr>
          <w:rFonts w:cs="Segoe UI"/>
          <w:szCs w:val="20"/>
        </w:rPr>
        <w:t>najvyššom</w:t>
      </w:r>
      <w:r w:rsidR="00F05A52">
        <w:rPr>
          <w:rFonts w:cs="Segoe UI"/>
          <w:szCs w:val="20"/>
        </w:rPr>
        <w:t>,</w:t>
      </w:r>
      <w:r w:rsidRPr="00777A29">
        <w:rPr>
          <w:rFonts w:cs="Segoe UI"/>
          <w:szCs w:val="20"/>
        </w:rPr>
        <w:t xml:space="preserve"> 5. sankčnom pásme zákona o rozpočtovej zodpovednosti. Schválením </w:t>
      </w:r>
      <w:r>
        <w:rPr>
          <w:rFonts w:cs="Segoe UI"/>
          <w:szCs w:val="20"/>
        </w:rPr>
        <w:t xml:space="preserve">PVV </w:t>
      </w:r>
      <w:r w:rsidRPr="00777A29">
        <w:rPr>
          <w:rFonts w:cs="Segoe UI"/>
          <w:szCs w:val="20"/>
        </w:rPr>
        <w:lastRenderedPageBreak/>
        <w:t xml:space="preserve">v novembri </w:t>
      </w:r>
      <w:r>
        <w:rPr>
          <w:rFonts w:cs="Segoe UI"/>
          <w:szCs w:val="20"/>
        </w:rPr>
        <w:t>2023</w:t>
      </w:r>
      <w:r w:rsidRPr="00777A29">
        <w:rPr>
          <w:rFonts w:cs="Segoe UI"/>
          <w:szCs w:val="20"/>
        </w:rPr>
        <w:t xml:space="preserve"> bola aktivovaná úniková klauzula dlhovej brzdy na nasledujúce </w:t>
      </w:r>
      <w:r>
        <w:rPr>
          <w:rFonts w:cs="Segoe UI"/>
          <w:szCs w:val="20"/>
        </w:rPr>
        <w:t>dva</w:t>
      </w:r>
      <w:r w:rsidRPr="00777A29">
        <w:rPr>
          <w:rFonts w:cs="Segoe UI"/>
          <w:szCs w:val="20"/>
        </w:rPr>
        <w:t xml:space="preserve"> roky</w:t>
      </w:r>
      <w:r>
        <w:rPr>
          <w:rFonts w:cs="Segoe UI"/>
          <w:szCs w:val="20"/>
        </w:rPr>
        <w:t>, čo</w:t>
      </w:r>
      <w:r w:rsidRPr="00777A29">
        <w:rPr>
          <w:rFonts w:cs="Segoe UI"/>
          <w:szCs w:val="20"/>
        </w:rPr>
        <w:t xml:space="preserve"> znamená, že pri prekročení tretieho dlhového lim</w:t>
      </w:r>
      <w:r>
        <w:rPr>
          <w:rFonts w:cs="Segoe UI"/>
          <w:szCs w:val="20"/>
        </w:rPr>
        <w:t>itu nebudú uplatňované sankcie.</w:t>
      </w:r>
    </w:p>
    <w:p w14:paraId="23E1F820" w14:textId="0CAC8FC1" w:rsidR="00905423" w:rsidRDefault="00905423" w:rsidP="00905423">
      <w:pPr>
        <w:spacing w:after="0"/>
        <w:rPr>
          <w:rFonts w:cs="Segoe UI"/>
          <w:szCs w:val="20"/>
        </w:rPr>
      </w:pPr>
      <w:r w:rsidRPr="001C51BE">
        <w:rPr>
          <w:rFonts w:cs="Segoe UI"/>
          <w:b/>
          <w:szCs w:val="20"/>
        </w:rPr>
        <w:t xml:space="preserve">V roku 2024 by mal </w:t>
      </w:r>
      <w:r w:rsidR="00427916">
        <w:rPr>
          <w:rFonts w:cs="Segoe UI"/>
          <w:b/>
          <w:szCs w:val="20"/>
        </w:rPr>
        <w:t xml:space="preserve">dlh VS </w:t>
      </w:r>
      <w:r w:rsidRPr="001C51BE">
        <w:rPr>
          <w:rFonts w:cs="Segoe UI"/>
          <w:b/>
          <w:szCs w:val="20"/>
        </w:rPr>
        <w:t xml:space="preserve">podľa odhadu MF SR dosiahnuť </w:t>
      </w:r>
      <w:r w:rsidRPr="001F7803">
        <w:rPr>
          <w:rFonts w:cs="Segoe UI"/>
          <w:b/>
          <w:szCs w:val="20"/>
        </w:rPr>
        <w:t>58,3 % HDP.</w:t>
      </w:r>
      <w:r w:rsidRPr="00777A29">
        <w:rPr>
          <w:rFonts w:cs="Segoe UI"/>
          <w:szCs w:val="20"/>
        </w:rPr>
        <w:t xml:space="preserve"> Vzhľadom na pretrvávajúcu vysokú úroveň dlhu</w:t>
      </w:r>
      <w:r w:rsidR="00F05A52">
        <w:rPr>
          <w:rFonts w:cs="Segoe UI"/>
          <w:szCs w:val="20"/>
        </w:rPr>
        <w:t>,</w:t>
      </w:r>
      <w:r w:rsidRPr="00777A29">
        <w:rPr>
          <w:rFonts w:cs="Segoe UI"/>
          <w:szCs w:val="20"/>
        </w:rPr>
        <w:t xml:space="preserve"> prijatie dostatočných konsolidačných opatrení a plnenie výdavkových limitov by spomalilo rast hrubého dlhu. </w:t>
      </w:r>
      <w:r w:rsidRPr="00FF6E3F">
        <w:rPr>
          <w:rFonts w:cs="Segoe UI"/>
          <w:szCs w:val="20"/>
        </w:rPr>
        <w:t>Podľa P</w:t>
      </w:r>
      <w:r w:rsidR="00500947">
        <w:rPr>
          <w:rFonts w:cs="Segoe UI"/>
          <w:szCs w:val="20"/>
        </w:rPr>
        <w:t>V</w:t>
      </w:r>
      <w:r w:rsidRPr="00FF6E3F">
        <w:rPr>
          <w:rFonts w:cs="Segoe UI"/>
          <w:szCs w:val="20"/>
        </w:rPr>
        <w:t xml:space="preserve">V plánuje </w:t>
      </w:r>
      <w:r>
        <w:rPr>
          <w:rFonts w:cs="Segoe UI"/>
          <w:szCs w:val="20"/>
        </w:rPr>
        <w:t xml:space="preserve">vláda </w:t>
      </w:r>
      <w:r w:rsidRPr="00FF6E3F">
        <w:rPr>
          <w:rFonts w:cs="Segoe UI"/>
          <w:szCs w:val="20"/>
        </w:rPr>
        <w:t>úpravu ústavného zákona o rozpočtovej zodpovednosti</w:t>
      </w:r>
      <w:r>
        <w:rPr>
          <w:rFonts w:cs="Segoe UI"/>
          <w:szCs w:val="20"/>
        </w:rPr>
        <w:t>,</w:t>
      </w:r>
      <w:r w:rsidRPr="00FF6E3F">
        <w:rPr>
          <w:rFonts w:cs="Segoe UI"/>
          <w:szCs w:val="20"/>
        </w:rPr>
        <w:t xml:space="preserve"> v rámci ktorej zváži aj prechod z hrubého na čistý verejný dlh</w:t>
      </w:r>
      <w:r>
        <w:rPr>
          <w:rFonts w:cs="Segoe UI"/>
          <w:szCs w:val="20"/>
        </w:rPr>
        <w:t xml:space="preserve"> </w:t>
      </w:r>
      <w:r>
        <w:t>s cieľom umožniť efektívnejšie riadenie likvidity sektora VS</w:t>
      </w:r>
      <w:r>
        <w:rPr>
          <w:rFonts w:cs="Segoe UI"/>
          <w:szCs w:val="20"/>
        </w:rPr>
        <w:t>.</w:t>
      </w:r>
    </w:p>
    <w:p w14:paraId="384A2F76" w14:textId="77777777" w:rsidR="00A527E5" w:rsidRDefault="004472CA" w:rsidP="000D631B">
      <w:pPr>
        <w:pStyle w:val="Nadpis2"/>
      </w:pPr>
      <w:bookmarkStart w:id="14" w:name="_Toc153784696"/>
      <w:r>
        <w:t>Limit verejných výdavkov</w:t>
      </w:r>
      <w:bookmarkStart w:id="15" w:name="_Toc86396376"/>
      <w:bookmarkEnd w:id="14"/>
    </w:p>
    <w:p w14:paraId="2C517A3C" w14:textId="71722CA9" w:rsidR="00B2121F" w:rsidRDefault="00B2121F" w:rsidP="00B2121F">
      <w:pPr>
        <w:pStyle w:val="Bezriadkovania"/>
        <w:spacing w:after="120" w:line="276" w:lineRule="auto"/>
        <w:jc w:val="both"/>
        <w:rPr>
          <w:rFonts w:ascii="Segoe UI" w:hAnsi="Segoe UI" w:cs="Segoe UI"/>
          <w:sz w:val="20"/>
          <w:szCs w:val="20"/>
        </w:rPr>
      </w:pPr>
      <w:r>
        <w:rPr>
          <w:rFonts w:ascii="Segoe UI" w:hAnsi="Segoe UI" w:cs="Segoe UI"/>
          <w:b/>
          <w:sz w:val="20"/>
          <w:szCs w:val="20"/>
        </w:rPr>
        <w:t>Limit verejných výdavkov predstavuje nástroj na zabezpečenie dlhodobej udržateľnosti</w:t>
      </w:r>
      <w:r>
        <w:rPr>
          <w:rFonts w:ascii="Segoe UI" w:hAnsi="Segoe UI" w:cs="Segoe UI"/>
          <w:sz w:val="20"/>
          <w:szCs w:val="20"/>
        </w:rPr>
        <w:t xml:space="preserve"> </w:t>
      </w:r>
      <w:r>
        <w:rPr>
          <w:rFonts w:ascii="Segoe UI" w:hAnsi="Segoe UI" w:cs="Segoe UI"/>
          <w:b/>
          <w:sz w:val="20"/>
          <w:szCs w:val="20"/>
        </w:rPr>
        <w:t>verejných financií.</w:t>
      </w:r>
      <w:r>
        <w:rPr>
          <w:rFonts w:ascii="Segoe UI" w:hAnsi="Segoe UI" w:cs="Segoe UI"/>
          <w:sz w:val="20"/>
          <w:szCs w:val="20"/>
        </w:rPr>
        <w:t xml:space="preserve"> Bol zavedený do slovenského právneho poriadku novelou zákona o rozpočtových pravidlách VS v marci 2022 ako jeden z míľnikov v POO. Následne v apríli vypočítala RRZ do Programu stability prvý LVV. Druhý prepočet LVV spracovala RRZ v decembri 2022 a tento bol následne, v súlade s postupom uvedeným v zákone o rozpočtových pravidlách VS, schválený v pléne NR SR 1. 2. 2023. Aktualizáciu LVV už neschvaľuje plénum NR SR, ale dva výbory (pre oblasť financií a rozpočtu a oblasť hospodárskych záležitostí) uznesením, ktoré sa následne zverejňuje v Zbierke zákonov SR. Tretí prepočet, aktualizácia LVV a výpočet pre rok 2026, bol v júni 2023 v zmysle zákona predložený do výborov NR SR pre hospodárske záležitosti a pre financie a rozpočet (tabuľka 2). Výbor NR SR pre hospodárske záležitosti schválil aktualizáciu LVV uznesením 8. 9. 2023. Rokovanie kľúčového výboru vo vzťahu k LVV (výboru NR SR pre financie a rozpočet) sa k aktualizácii LVV neuskutočnilo. </w:t>
      </w:r>
      <w:r w:rsidRPr="00F15428">
        <w:rPr>
          <w:rFonts w:ascii="Segoe UI" w:hAnsi="Segoe UI" w:cs="Segoe UI"/>
          <w:sz w:val="20"/>
          <w:szCs w:val="20"/>
        </w:rPr>
        <w:t xml:space="preserve">NKÚ SR konštatuje, že aktualizovaný LVV </w:t>
      </w:r>
      <w:r w:rsidRPr="002B19A0">
        <w:rPr>
          <w:rFonts w:ascii="Segoe UI" w:hAnsi="Segoe UI" w:cs="Segoe UI"/>
          <w:sz w:val="20"/>
          <w:szCs w:val="20"/>
        </w:rPr>
        <w:t>(obsahujúci sankciu z dlhovej brzdy v podobe vyrovnaného rozpočtu)</w:t>
      </w:r>
      <w:r w:rsidRPr="00F15428">
        <w:rPr>
          <w:rFonts w:ascii="Segoe UI" w:hAnsi="Segoe UI" w:cs="Segoe UI"/>
          <w:sz w:val="20"/>
          <w:szCs w:val="20"/>
        </w:rPr>
        <w:t xml:space="preserve"> nebol schválený vo výboroch NR SR tak, ako predpokladal proces popísaný v zákone o rozpočtových pravidlách VS</w:t>
      </w:r>
      <w:r>
        <w:rPr>
          <w:rFonts w:ascii="Segoe UI" w:hAnsi="Segoe UI" w:cs="Segoe UI"/>
          <w:sz w:val="20"/>
          <w:szCs w:val="20"/>
        </w:rPr>
        <w:t>.</w:t>
      </w:r>
      <w:r>
        <w:rPr>
          <w:rFonts w:ascii="Segoe UI" w:hAnsi="Segoe UI" w:cs="Segoe UI"/>
          <w:b/>
          <w:sz w:val="20"/>
          <w:szCs w:val="20"/>
        </w:rPr>
        <w:t xml:space="preserve"> </w:t>
      </w:r>
    </w:p>
    <w:p w14:paraId="4CCB21EB" w14:textId="77777777" w:rsidR="00B2121F" w:rsidRPr="00F42E63" w:rsidRDefault="00B2121F" w:rsidP="00B2121F">
      <w:pPr>
        <w:keepNext/>
        <w:spacing w:after="0"/>
        <w:rPr>
          <w:rFonts w:eastAsia="Calibri" w:cs="Times New Roman"/>
          <w:b/>
          <w:iCs/>
          <w:color w:val="314364"/>
          <w:szCs w:val="18"/>
        </w:rPr>
      </w:pPr>
      <w:r w:rsidRPr="00F42E63">
        <w:rPr>
          <w:rFonts w:eastAsia="Calibri" w:cs="Times New Roman"/>
          <w:b/>
          <w:iCs/>
          <w:color w:val="314364"/>
          <w:szCs w:val="18"/>
        </w:rPr>
        <w:t xml:space="preserve">Tabuľka </w:t>
      </w:r>
      <w:r>
        <w:rPr>
          <w:rFonts w:eastAsia="Calibri" w:cs="Times New Roman"/>
          <w:b/>
          <w:iCs/>
          <w:color w:val="314364"/>
          <w:szCs w:val="18"/>
        </w:rPr>
        <w:t>2</w:t>
      </w:r>
      <w:r w:rsidRPr="00F42E63">
        <w:rPr>
          <w:rFonts w:eastAsia="Calibri" w:cs="Times New Roman"/>
          <w:b/>
          <w:iCs/>
          <w:color w:val="314364"/>
          <w:szCs w:val="18"/>
        </w:rPr>
        <w:t xml:space="preserve">: </w:t>
      </w:r>
      <w:r>
        <w:rPr>
          <w:rFonts w:eastAsia="Calibri" w:cs="Times New Roman"/>
          <w:b/>
          <w:iCs/>
          <w:color w:val="314364"/>
          <w:szCs w:val="18"/>
        </w:rPr>
        <w:t>Prehľad odhadov l</w:t>
      </w:r>
      <w:r w:rsidRPr="00F42E63">
        <w:rPr>
          <w:rFonts w:eastAsia="Calibri" w:cs="Times New Roman"/>
          <w:b/>
          <w:iCs/>
          <w:color w:val="314364"/>
          <w:szCs w:val="18"/>
        </w:rPr>
        <w:t>imit</w:t>
      </w:r>
      <w:r>
        <w:rPr>
          <w:rFonts w:eastAsia="Calibri" w:cs="Times New Roman"/>
          <w:b/>
          <w:iCs/>
          <w:color w:val="314364"/>
          <w:szCs w:val="18"/>
        </w:rPr>
        <w:t>u</w:t>
      </w:r>
      <w:r w:rsidRPr="00F42E63">
        <w:rPr>
          <w:rFonts w:eastAsia="Calibri" w:cs="Times New Roman"/>
          <w:b/>
          <w:iCs/>
          <w:color w:val="314364"/>
          <w:szCs w:val="18"/>
        </w:rPr>
        <w:t xml:space="preserve"> verejných výdavkov vypracovaný</w:t>
      </w:r>
      <w:r>
        <w:rPr>
          <w:rFonts w:eastAsia="Calibri" w:cs="Times New Roman"/>
          <w:b/>
          <w:iCs/>
          <w:color w:val="314364"/>
          <w:szCs w:val="18"/>
        </w:rPr>
        <w:t>ch</w:t>
      </w:r>
      <w:r w:rsidRPr="00F42E63">
        <w:rPr>
          <w:rFonts w:eastAsia="Calibri" w:cs="Times New Roman"/>
          <w:b/>
          <w:iCs/>
          <w:color w:val="314364"/>
          <w:szCs w:val="18"/>
        </w:rPr>
        <w:t xml:space="preserve"> RRZ </w:t>
      </w:r>
      <w:r w:rsidRPr="002E0D80">
        <w:rPr>
          <w:rFonts w:eastAsia="Calibri" w:cs="Times New Roman"/>
          <w:b/>
          <w:iCs/>
          <w:color w:val="314364"/>
          <w:szCs w:val="18"/>
        </w:rPr>
        <w:t>(v eurách)</w:t>
      </w:r>
    </w:p>
    <w:tbl>
      <w:tblPr>
        <w:tblW w:w="5000" w:type="pct"/>
        <w:jc w:val="center"/>
        <w:tblCellMar>
          <w:top w:w="28" w:type="dxa"/>
        </w:tblCellMar>
        <w:tblLook w:val="04A0" w:firstRow="1" w:lastRow="0" w:firstColumn="1" w:lastColumn="0" w:noHBand="0" w:noVBand="1"/>
      </w:tblPr>
      <w:tblGrid>
        <w:gridCol w:w="857"/>
        <w:gridCol w:w="2054"/>
        <w:gridCol w:w="2053"/>
        <w:gridCol w:w="2053"/>
        <w:gridCol w:w="2053"/>
      </w:tblGrid>
      <w:tr w:rsidR="00B2121F" w:rsidRPr="00D07790" w14:paraId="794E7618" w14:textId="77777777" w:rsidTr="00B505D4">
        <w:trPr>
          <w:trHeight w:val="213"/>
          <w:jc w:val="center"/>
        </w:trPr>
        <w:tc>
          <w:tcPr>
            <w:tcW w:w="472" w:type="pct"/>
            <w:tcBorders>
              <w:bottom w:val="single" w:sz="4" w:space="0" w:color="314364"/>
            </w:tcBorders>
            <w:shd w:val="clear" w:color="auto" w:fill="314364"/>
            <w:vAlign w:val="center"/>
          </w:tcPr>
          <w:p w14:paraId="27E11136" w14:textId="77777777" w:rsidR="00B2121F" w:rsidRPr="00D07790" w:rsidRDefault="00B2121F" w:rsidP="00B505D4">
            <w:pPr>
              <w:spacing w:after="0" w:line="259" w:lineRule="auto"/>
              <w:jc w:val="center"/>
              <w:rPr>
                <w:rFonts w:eastAsia="Calibri" w:cs="Times New Roman"/>
                <w:b/>
              </w:rPr>
            </w:pPr>
            <w:r w:rsidRPr="00D07790">
              <w:rPr>
                <w:rFonts w:eastAsia="Calibri" w:cs="Times New Roman"/>
                <w:b/>
                <w:color w:val="FFFFFF"/>
                <w:sz w:val="18"/>
              </w:rPr>
              <w:t>Rok</w:t>
            </w:r>
          </w:p>
        </w:tc>
        <w:tc>
          <w:tcPr>
            <w:tcW w:w="1132" w:type="pct"/>
            <w:tcBorders>
              <w:bottom w:val="single" w:sz="4" w:space="0" w:color="314364"/>
            </w:tcBorders>
            <w:shd w:val="clear" w:color="auto" w:fill="314364"/>
            <w:vAlign w:val="center"/>
          </w:tcPr>
          <w:p w14:paraId="005DFA1F" w14:textId="77777777" w:rsidR="00B2121F" w:rsidRPr="00D07790" w:rsidRDefault="00B2121F" w:rsidP="00B505D4">
            <w:pPr>
              <w:spacing w:after="0" w:line="259" w:lineRule="auto"/>
              <w:jc w:val="center"/>
              <w:rPr>
                <w:rFonts w:eastAsia="Calibri" w:cs="Times New Roman"/>
                <w:b/>
                <w:color w:val="FFFFFF"/>
                <w:sz w:val="18"/>
              </w:rPr>
            </w:pPr>
            <w:r w:rsidRPr="00D07790">
              <w:rPr>
                <w:rFonts w:eastAsia="Calibri" w:cs="Times New Roman"/>
                <w:b/>
                <w:color w:val="FFFFFF"/>
                <w:sz w:val="18"/>
              </w:rPr>
              <w:t>apríl 2022*</w:t>
            </w:r>
          </w:p>
          <w:p w14:paraId="30511EE6" w14:textId="77777777" w:rsidR="00B2121F" w:rsidRPr="00D07790" w:rsidRDefault="00B2121F" w:rsidP="00B505D4">
            <w:pPr>
              <w:spacing w:after="0" w:line="259" w:lineRule="auto"/>
              <w:jc w:val="center"/>
              <w:rPr>
                <w:rFonts w:eastAsia="Calibri" w:cs="Times New Roman"/>
                <w:color w:val="FFFFFF"/>
                <w:sz w:val="18"/>
              </w:rPr>
            </w:pPr>
            <w:r>
              <w:rPr>
                <w:rFonts w:eastAsia="Calibri" w:cs="Times New Roman"/>
                <w:color w:val="FFFFFF"/>
                <w:sz w:val="18"/>
              </w:rPr>
              <w:t>i</w:t>
            </w:r>
            <w:r w:rsidRPr="00D07790">
              <w:rPr>
                <w:rFonts w:eastAsia="Calibri" w:cs="Times New Roman"/>
                <w:color w:val="FFFFFF"/>
                <w:sz w:val="18"/>
              </w:rPr>
              <w:t>nformatívny do P</w:t>
            </w:r>
            <w:r>
              <w:rPr>
                <w:rFonts w:eastAsia="Calibri" w:cs="Times New Roman"/>
                <w:color w:val="FFFFFF"/>
                <w:sz w:val="18"/>
              </w:rPr>
              <w:t>rogramu stability</w:t>
            </w:r>
          </w:p>
        </w:tc>
        <w:tc>
          <w:tcPr>
            <w:tcW w:w="1132" w:type="pct"/>
            <w:tcBorders>
              <w:bottom w:val="single" w:sz="4" w:space="0" w:color="314364"/>
            </w:tcBorders>
            <w:shd w:val="clear" w:color="auto" w:fill="314364"/>
            <w:vAlign w:val="center"/>
          </w:tcPr>
          <w:p w14:paraId="331B3AC5" w14:textId="77777777" w:rsidR="00B2121F" w:rsidRPr="00D07790" w:rsidRDefault="00B2121F" w:rsidP="00B505D4">
            <w:pPr>
              <w:spacing w:after="0" w:line="259" w:lineRule="auto"/>
              <w:jc w:val="center"/>
              <w:rPr>
                <w:rFonts w:eastAsia="Calibri" w:cs="Times New Roman"/>
                <w:b/>
                <w:color w:val="FFFFFF"/>
                <w:sz w:val="18"/>
              </w:rPr>
            </w:pPr>
            <w:r w:rsidRPr="00D07790">
              <w:rPr>
                <w:rFonts w:eastAsia="Calibri" w:cs="Times New Roman"/>
                <w:b/>
                <w:color w:val="FFFFFF"/>
                <w:sz w:val="18"/>
              </w:rPr>
              <w:t>december 2022</w:t>
            </w:r>
          </w:p>
          <w:p w14:paraId="36AA57EE" w14:textId="77777777" w:rsidR="00B2121F" w:rsidRPr="00D07790" w:rsidRDefault="00B2121F" w:rsidP="00B505D4">
            <w:pPr>
              <w:spacing w:after="0" w:line="259" w:lineRule="auto"/>
              <w:jc w:val="center"/>
              <w:rPr>
                <w:rFonts w:eastAsia="Calibri" w:cs="Times New Roman"/>
                <w:color w:val="FFFFFF"/>
                <w:sz w:val="18"/>
              </w:rPr>
            </w:pPr>
            <w:r w:rsidRPr="00D07790">
              <w:rPr>
                <w:rFonts w:eastAsia="Calibri" w:cs="Times New Roman"/>
                <w:color w:val="FFFFFF"/>
                <w:sz w:val="18"/>
              </w:rPr>
              <w:t>schválený v NR SR</w:t>
            </w:r>
          </w:p>
        </w:tc>
        <w:tc>
          <w:tcPr>
            <w:tcW w:w="1132" w:type="pct"/>
            <w:tcBorders>
              <w:bottom w:val="single" w:sz="4" w:space="0" w:color="314364"/>
            </w:tcBorders>
            <w:shd w:val="clear" w:color="auto" w:fill="314364"/>
            <w:vAlign w:val="center"/>
          </w:tcPr>
          <w:p w14:paraId="3FFC206D" w14:textId="77777777" w:rsidR="00B2121F" w:rsidRPr="00D07790" w:rsidRDefault="00B2121F" w:rsidP="00B505D4">
            <w:pPr>
              <w:spacing w:after="0" w:line="259" w:lineRule="auto"/>
              <w:jc w:val="center"/>
              <w:rPr>
                <w:rFonts w:eastAsia="Calibri" w:cs="Times New Roman"/>
                <w:b/>
                <w:color w:val="FFFFFF"/>
                <w:sz w:val="18"/>
              </w:rPr>
            </w:pPr>
            <w:r w:rsidRPr="00D07790">
              <w:rPr>
                <w:rFonts w:eastAsia="Calibri" w:cs="Times New Roman"/>
                <w:b/>
                <w:color w:val="FFFFFF"/>
                <w:sz w:val="18"/>
              </w:rPr>
              <w:t>jún 2023</w:t>
            </w:r>
          </w:p>
          <w:p w14:paraId="4674BCB4" w14:textId="77777777" w:rsidR="00B2121F" w:rsidRPr="00D07790" w:rsidRDefault="00B2121F" w:rsidP="00B505D4">
            <w:pPr>
              <w:spacing w:after="0" w:line="259" w:lineRule="auto"/>
              <w:jc w:val="center"/>
              <w:rPr>
                <w:rFonts w:eastAsia="Calibri" w:cs="Times New Roman"/>
                <w:color w:val="FFFFFF"/>
                <w:sz w:val="18"/>
              </w:rPr>
            </w:pPr>
            <w:r w:rsidRPr="00D07790">
              <w:rPr>
                <w:rFonts w:eastAsia="Calibri" w:cs="Times New Roman"/>
                <w:color w:val="FFFFFF"/>
                <w:sz w:val="18"/>
              </w:rPr>
              <w:t>neschválená aktualizácia</w:t>
            </w:r>
          </w:p>
        </w:tc>
        <w:tc>
          <w:tcPr>
            <w:tcW w:w="1132" w:type="pct"/>
            <w:tcBorders>
              <w:bottom w:val="single" w:sz="4" w:space="0" w:color="314364"/>
            </w:tcBorders>
            <w:shd w:val="clear" w:color="auto" w:fill="314364"/>
            <w:vAlign w:val="center"/>
          </w:tcPr>
          <w:p w14:paraId="07782DB2" w14:textId="77777777" w:rsidR="00B2121F" w:rsidRDefault="00B2121F" w:rsidP="00B505D4">
            <w:pPr>
              <w:spacing w:after="0" w:line="259" w:lineRule="auto"/>
              <w:jc w:val="center"/>
              <w:rPr>
                <w:rFonts w:eastAsia="Calibri" w:cs="Times New Roman"/>
                <w:b/>
                <w:color w:val="FFFFFF"/>
                <w:sz w:val="18"/>
              </w:rPr>
            </w:pPr>
            <w:r>
              <w:rPr>
                <w:rFonts w:eastAsia="Calibri" w:cs="Times New Roman"/>
                <w:b/>
                <w:color w:val="FFFFFF"/>
                <w:sz w:val="18"/>
              </w:rPr>
              <w:t>november 2023</w:t>
            </w:r>
          </w:p>
          <w:p w14:paraId="287DB326" w14:textId="77777777" w:rsidR="00B2121F" w:rsidRPr="00D07790" w:rsidRDefault="00B2121F" w:rsidP="00B505D4">
            <w:pPr>
              <w:spacing w:after="0" w:line="259" w:lineRule="auto"/>
              <w:jc w:val="center"/>
              <w:rPr>
                <w:rFonts w:eastAsia="Calibri" w:cs="Times New Roman"/>
                <w:color w:val="FFFFFF"/>
                <w:sz w:val="18"/>
              </w:rPr>
            </w:pPr>
            <w:r w:rsidRPr="00D07790">
              <w:rPr>
                <w:rFonts w:eastAsia="Calibri" w:cs="Times New Roman"/>
                <w:color w:val="FFFFFF"/>
                <w:sz w:val="18"/>
              </w:rPr>
              <w:t>indikatívny prepočet</w:t>
            </w:r>
          </w:p>
        </w:tc>
      </w:tr>
      <w:tr w:rsidR="00B2121F" w:rsidRPr="00F42E63" w14:paraId="601D4707" w14:textId="77777777" w:rsidTr="00B505D4">
        <w:trPr>
          <w:trHeight w:val="213"/>
          <w:jc w:val="center"/>
        </w:trPr>
        <w:tc>
          <w:tcPr>
            <w:tcW w:w="472" w:type="pct"/>
            <w:tcBorders>
              <w:top w:val="single" w:sz="4" w:space="0" w:color="314364"/>
            </w:tcBorders>
            <w:vAlign w:val="center"/>
          </w:tcPr>
          <w:p w14:paraId="521566E3" w14:textId="77777777" w:rsidR="00B2121F" w:rsidRPr="00F42E63" w:rsidRDefault="00B2121F" w:rsidP="00B505D4">
            <w:pPr>
              <w:spacing w:after="0" w:line="259" w:lineRule="auto"/>
              <w:jc w:val="center"/>
              <w:rPr>
                <w:rFonts w:eastAsia="Calibri" w:cs="Segoe UI"/>
                <w:sz w:val="18"/>
                <w:szCs w:val="18"/>
              </w:rPr>
            </w:pPr>
            <w:r w:rsidRPr="00F42E63">
              <w:rPr>
                <w:rFonts w:eastAsia="Calibri" w:cs="Segoe UI"/>
                <w:sz w:val="18"/>
                <w:szCs w:val="18"/>
              </w:rPr>
              <w:t>2023</w:t>
            </w:r>
          </w:p>
        </w:tc>
        <w:tc>
          <w:tcPr>
            <w:tcW w:w="1132" w:type="pct"/>
            <w:tcBorders>
              <w:top w:val="single" w:sz="4" w:space="0" w:color="314364"/>
            </w:tcBorders>
            <w:vAlign w:val="center"/>
          </w:tcPr>
          <w:p w14:paraId="1A18E929" w14:textId="77777777" w:rsidR="00B2121F" w:rsidRPr="00F42E63" w:rsidRDefault="00B2121F" w:rsidP="00B505D4">
            <w:pPr>
              <w:spacing w:after="0" w:line="259" w:lineRule="auto"/>
              <w:jc w:val="center"/>
              <w:rPr>
                <w:rFonts w:eastAsia="Calibri" w:cs="Segoe UI"/>
                <w:sz w:val="18"/>
                <w:szCs w:val="18"/>
              </w:rPr>
            </w:pPr>
            <w:r w:rsidRPr="00F42E63">
              <w:rPr>
                <w:rFonts w:eastAsia="Calibri" w:cs="Segoe UI"/>
                <w:sz w:val="18"/>
                <w:szCs w:val="18"/>
              </w:rPr>
              <w:t>37 852 836 489</w:t>
            </w:r>
          </w:p>
        </w:tc>
        <w:tc>
          <w:tcPr>
            <w:tcW w:w="1132" w:type="pct"/>
            <w:tcBorders>
              <w:top w:val="single" w:sz="4" w:space="0" w:color="314364"/>
            </w:tcBorders>
            <w:shd w:val="clear" w:color="auto" w:fill="CED7E7" w:themeFill="text2" w:themeFillTint="33"/>
            <w:vAlign w:val="center"/>
          </w:tcPr>
          <w:p w14:paraId="48B58370" w14:textId="77777777" w:rsidR="00B2121F" w:rsidRPr="002B19A0" w:rsidRDefault="00B2121F" w:rsidP="00B505D4">
            <w:pPr>
              <w:spacing w:after="0" w:line="259" w:lineRule="auto"/>
              <w:jc w:val="center"/>
              <w:rPr>
                <w:rFonts w:eastAsia="Calibri" w:cs="Segoe UI"/>
                <w:sz w:val="18"/>
                <w:szCs w:val="18"/>
              </w:rPr>
            </w:pPr>
            <w:r w:rsidRPr="00F15428">
              <w:rPr>
                <w:rFonts w:eastAsia="Calibri" w:cs="Segoe UI"/>
                <w:sz w:val="18"/>
                <w:szCs w:val="18"/>
              </w:rPr>
              <w:t>41 321 154 940</w:t>
            </w:r>
          </w:p>
        </w:tc>
        <w:tc>
          <w:tcPr>
            <w:tcW w:w="1132" w:type="pct"/>
            <w:tcBorders>
              <w:top w:val="single" w:sz="4" w:space="0" w:color="314364"/>
            </w:tcBorders>
            <w:vAlign w:val="center"/>
          </w:tcPr>
          <w:p w14:paraId="76804CB5" w14:textId="77777777" w:rsidR="00B2121F" w:rsidRPr="00F42E63" w:rsidRDefault="00B2121F" w:rsidP="00B505D4">
            <w:pPr>
              <w:spacing w:after="0" w:line="259" w:lineRule="auto"/>
              <w:jc w:val="center"/>
              <w:rPr>
                <w:rFonts w:eastAsia="Calibri" w:cs="Segoe UI"/>
                <w:sz w:val="18"/>
                <w:szCs w:val="18"/>
              </w:rPr>
            </w:pPr>
            <w:r w:rsidRPr="00F42E63">
              <w:rPr>
                <w:rFonts w:eastAsia="Calibri" w:cs="Segoe UI"/>
                <w:sz w:val="18"/>
                <w:szCs w:val="18"/>
              </w:rPr>
              <w:t>41 683 555 509</w:t>
            </w:r>
          </w:p>
        </w:tc>
        <w:tc>
          <w:tcPr>
            <w:tcW w:w="1132" w:type="pct"/>
            <w:tcBorders>
              <w:top w:val="single" w:sz="4" w:space="0" w:color="314364"/>
            </w:tcBorders>
            <w:vAlign w:val="center"/>
          </w:tcPr>
          <w:p w14:paraId="330BA09C" w14:textId="77777777" w:rsidR="00B2121F" w:rsidRPr="00F42E63" w:rsidRDefault="00B2121F" w:rsidP="00B505D4">
            <w:pPr>
              <w:spacing w:after="0" w:line="259" w:lineRule="auto"/>
              <w:jc w:val="center"/>
              <w:rPr>
                <w:rFonts w:eastAsia="Calibri" w:cs="Segoe UI"/>
                <w:sz w:val="18"/>
                <w:szCs w:val="18"/>
              </w:rPr>
            </w:pPr>
            <w:r>
              <w:rPr>
                <w:rFonts w:eastAsia="Calibri" w:cs="Segoe UI"/>
                <w:sz w:val="18"/>
                <w:szCs w:val="18"/>
              </w:rPr>
              <w:t>-</w:t>
            </w:r>
          </w:p>
        </w:tc>
      </w:tr>
      <w:tr w:rsidR="00B2121F" w:rsidRPr="00F42E63" w14:paraId="513726E1" w14:textId="77777777" w:rsidTr="00B505D4">
        <w:trPr>
          <w:trHeight w:val="213"/>
          <w:jc w:val="center"/>
        </w:trPr>
        <w:tc>
          <w:tcPr>
            <w:tcW w:w="472" w:type="pct"/>
            <w:vAlign w:val="center"/>
          </w:tcPr>
          <w:p w14:paraId="5E3AC6E3" w14:textId="77777777" w:rsidR="00B2121F" w:rsidRPr="00F42E63" w:rsidRDefault="00B2121F" w:rsidP="00B505D4">
            <w:pPr>
              <w:spacing w:after="0" w:line="259" w:lineRule="auto"/>
              <w:jc w:val="center"/>
              <w:rPr>
                <w:rFonts w:eastAsia="Calibri" w:cs="Segoe UI"/>
                <w:sz w:val="18"/>
                <w:szCs w:val="18"/>
              </w:rPr>
            </w:pPr>
            <w:r w:rsidRPr="00F42E63">
              <w:rPr>
                <w:rFonts w:eastAsia="Calibri" w:cs="Segoe UI"/>
                <w:sz w:val="18"/>
                <w:szCs w:val="18"/>
              </w:rPr>
              <w:t>2024</w:t>
            </w:r>
          </w:p>
        </w:tc>
        <w:tc>
          <w:tcPr>
            <w:tcW w:w="1132" w:type="pct"/>
            <w:vAlign w:val="center"/>
          </w:tcPr>
          <w:p w14:paraId="0FECC929" w14:textId="77777777" w:rsidR="00B2121F" w:rsidRPr="00F42E63" w:rsidRDefault="00B2121F" w:rsidP="00B505D4">
            <w:pPr>
              <w:spacing w:after="0" w:line="259" w:lineRule="auto"/>
              <w:jc w:val="center"/>
              <w:rPr>
                <w:rFonts w:eastAsia="Calibri" w:cs="Segoe UI"/>
                <w:sz w:val="18"/>
                <w:szCs w:val="18"/>
              </w:rPr>
            </w:pPr>
            <w:r w:rsidRPr="00F42E63">
              <w:rPr>
                <w:rFonts w:eastAsia="Calibri" w:cs="Segoe UI"/>
                <w:sz w:val="18"/>
                <w:szCs w:val="18"/>
              </w:rPr>
              <w:t>39 402 469 186</w:t>
            </w:r>
          </w:p>
        </w:tc>
        <w:tc>
          <w:tcPr>
            <w:tcW w:w="1132" w:type="pct"/>
            <w:shd w:val="clear" w:color="auto" w:fill="CED7E7" w:themeFill="text2" w:themeFillTint="33"/>
            <w:vAlign w:val="center"/>
          </w:tcPr>
          <w:p w14:paraId="09EDE371" w14:textId="77777777" w:rsidR="00B2121F" w:rsidRPr="002B19A0" w:rsidRDefault="00B2121F" w:rsidP="00B505D4">
            <w:pPr>
              <w:spacing w:after="0" w:line="259" w:lineRule="auto"/>
              <w:jc w:val="center"/>
              <w:rPr>
                <w:rFonts w:eastAsia="Calibri" w:cs="Segoe UI"/>
                <w:sz w:val="18"/>
                <w:szCs w:val="18"/>
              </w:rPr>
            </w:pPr>
            <w:r w:rsidRPr="00F15428">
              <w:rPr>
                <w:rFonts w:eastAsia="Calibri" w:cs="Segoe UI"/>
                <w:sz w:val="18"/>
                <w:szCs w:val="18"/>
              </w:rPr>
              <w:t>44 309 099 762</w:t>
            </w:r>
          </w:p>
        </w:tc>
        <w:tc>
          <w:tcPr>
            <w:tcW w:w="1132" w:type="pct"/>
            <w:vAlign w:val="center"/>
          </w:tcPr>
          <w:p w14:paraId="063B2CB6" w14:textId="77777777" w:rsidR="00B2121F" w:rsidRPr="00F42E63" w:rsidRDefault="00B2121F" w:rsidP="00B505D4">
            <w:pPr>
              <w:spacing w:after="0" w:line="259" w:lineRule="auto"/>
              <w:jc w:val="center"/>
              <w:rPr>
                <w:rFonts w:eastAsia="Calibri" w:cs="Segoe UI"/>
                <w:sz w:val="18"/>
                <w:szCs w:val="18"/>
              </w:rPr>
            </w:pPr>
            <w:r w:rsidRPr="00F42E63">
              <w:rPr>
                <w:rFonts w:eastAsia="Calibri" w:cs="Segoe UI"/>
                <w:sz w:val="18"/>
                <w:szCs w:val="18"/>
              </w:rPr>
              <w:t>38 487 755 332</w:t>
            </w:r>
          </w:p>
        </w:tc>
        <w:tc>
          <w:tcPr>
            <w:tcW w:w="1132" w:type="pct"/>
            <w:vAlign w:val="center"/>
          </w:tcPr>
          <w:p w14:paraId="272F009C" w14:textId="77777777" w:rsidR="00B2121F" w:rsidRPr="00F42E63" w:rsidRDefault="00B2121F" w:rsidP="00B505D4">
            <w:pPr>
              <w:spacing w:after="0" w:line="259" w:lineRule="auto"/>
              <w:jc w:val="center"/>
              <w:rPr>
                <w:rFonts w:eastAsia="Calibri" w:cs="Segoe UI"/>
                <w:sz w:val="18"/>
                <w:szCs w:val="18"/>
              </w:rPr>
            </w:pPr>
            <w:r w:rsidRPr="00FF66C9">
              <w:rPr>
                <w:rFonts w:eastAsia="Calibri" w:cs="Segoe UI"/>
                <w:sz w:val="18"/>
                <w:szCs w:val="18"/>
              </w:rPr>
              <w:t>46 010 064 013</w:t>
            </w:r>
          </w:p>
        </w:tc>
      </w:tr>
      <w:tr w:rsidR="00B2121F" w:rsidRPr="00F42E63" w14:paraId="4C948692" w14:textId="77777777" w:rsidTr="00B505D4">
        <w:trPr>
          <w:trHeight w:val="213"/>
          <w:jc w:val="center"/>
        </w:trPr>
        <w:tc>
          <w:tcPr>
            <w:tcW w:w="472" w:type="pct"/>
            <w:vAlign w:val="center"/>
          </w:tcPr>
          <w:p w14:paraId="4BDB6725" w14:textId="77777777" w:rsidR="00B2121F" w:rsidRPr="00F42E63" w:rsidRDefault="00B2121F" w:rsidP="00B505D4">
            <w:pPr>
              <w:spacing w:after="0" w:line="259" w:lineRule="auto"/>
              <w:jc w:val="center"/>
              <w:rPr>
                <w:rFonts w:eastAsia="Calibri" w:cs="Segoe UI"/>
                <w:sz w:val="18"/>
                <w:szCs w:val="18"/>
              </w:rPr>
            </w:pPr>
            <w:r w:rsidRPr="00F42E63">
              <w:rPr>
                <w:rFonts w:eastAsia="Calibri" w:cs="Segoe UI"/>
                <w:sz w:val="18"/>
                <w:szCs w:val="18"/>
              </w:rPr>
              <w:t>2025</w:t>
            </w:r>
          </w:p>
        </w:tc>
        <w:tc>
          <w:tcPr>
            <w:tcW w:w="1132" w:type="pct"/>
            <w:vAlign w:val="center"/>
          </w:tcPr>
          <w:p w14:paraId="3B10D560" w14:textId="77777777" w:rsidR="00B2121F" w:rsidRPr="00F42E63" w:rsidRDefault="00B2121F" w:rsidP="00B505D4">
            <w:pPr>
              <w:spacing w:after="0" w:line="259" w:lineRule="auto"/>
              <w:jc w:val="center"/>
              <w:rPr>
                <w:rFonts w:eastAsia="Calibri" w:cs="Segoe UI"/>
                <w:sz w:val="18"/>
                <w:szCs w:val="18"/>
              </w:rPr>
            </w:pPr>
            <w:r w:rsidRPr="00F42E63">
              <w:rPr>
                <w:rFonts w:eastAsia="Calibri" w:cs="Segoe UI"/>
                <w:sz w:val="18"/>
                <w:szCs w:val="18"/>
              </w:rPr>
              <w:t>-</w:t>
            </w:r>
          </w:p>
        </w:tc>
        <w:tc>
          <w:tcPr>
            <w:tcW w:w="1132" w:type="pct"/>
            <w:shd w:val="clear" w:color="auto" w:fill="CED7E7" w:themeFill="text2" w:themeFillTint="33"/>
            <w:vAlign w:val="center"/>
          </w:tcPr>
          <w:p w14:paraId="0FD6A30A" w14:textId="77777777" w:rsidR="00B2121F" w:rsidRPr="002B19A0" w:rsidRDefault="00B2121F" w:rsidP="00B505D4">
            <w:pPr>
              <w:spacing w:after="0" w:line="259" w:lineRule="auto"/>
              <w:jc w:val="center"/>
              <w:rPr>
                <w:rFonts w:eastAsia="Calibri" w:cs="Segoe UI"/>
                <w:sz w:val="18"/>
                <w:szCs w:val="18"/>
              </w:rPr>
            </w:pPr>
            <w:r w:rsidRPr="00F15428">
              <w:rPr>
                <w:rFonts w:eastAsia="Calibri" w:cs="Segoe UI"/>
                <w:sz w:val="18"/>
                <w:szCs w:val="18"/>
              </w:rPr>
              <w:t>45 621 482 931</w:t>
            </w:r>
          </w:p>
        </w:tc>
        <w:tc>
          <w:tcPr>
            <w:tcW w:w="1132" w:type="pct"/>
            <w:vAlign w:val="center"/>
          </w:tcPr>
          <w:p w14:paraId="38395DF9" w14:textId="77777777" w:rsidR="00B2121F" w:rsidRPr="00F42E63" w:rsidRDefault="00B2121F" w:rsidP="00B505D4">
            <w:pPr>
              <w:spacing w:after="0" w:line="259" w:lineRule="auto"/>
              <w:jc w:val="center"/>
              <w:rPr>
                <w:rFonts w:eastAsia="Calibri" w:cs="Segoe UI"/>
                <w:sz w:val="18"/>
                <w:szCs w:val="18"/>
              </w:rPr>
            </w:pPr>
            <w:r w:rsidRPr="00F42E63">
              <w:rPr>
                <w:rFonts w:eastAsia="Calibri" w:cs="Segoe UI"/>
                <w:sz w:val="18"/>
                <w:szCs w:val="18"/>
              </w:rPr>
              <w:t>45 354 202 443</w:t>
            </w:r>
          </w:p>
        </w:tc>
        <w:tc>
          <w:tcPr>
            <w:tcW w:w="1132" w:type="pct"/>
            <w:vAlign w:val="center"/>
          </w:tcPr>
          <w:p w14:paraId="0BD6DACC" w14:textId="77777777" w:rsidR="00B2121F" w:rsidRPr="00F42E63" w:rsidRDefault="00B2121F" w:rsidP="00B505D4">
            <w:pPr>
              <w:spacing w:after="0" w:line="259" w:lineRule="auto"/>
              <w:jc w:val="center"/>
              <w:rPr>
                <w:rFonts w:eastAsia="Calibri" w:cs="Segoe UI"/>
                <w:sz w:val="18"/>
                <w:szCs w:val="18"/>
              </w:rPr>
            </w:pPr>
            <w:r w:rsidRPr="00FF66C9">
              <w:rPr>
                <w:rFonts w:eastAsia="Calibri" w:cs="Segoe UI"/>
                <w:sz w:val="18"/>
                <w:szCs w:val="18"/>
              </w:rPr>
              <w:t>47 700 520 354</w:t>
            </w:r>
          </w:p>
        </w:tc>
      </w:tr>
      <w:tr w:rsidR="00B2121F" w:rsidRPr="00F42E63" w14:paraId="1BED04FE" w14:textId="77777777" w:rsidTr="00B505D4">
        <w:trPr>
          <w:trHeight w:val="213"/>
          <w:jc w:val="center"/>
        </w:trPr>
        <w:tc>
          <w:tcPr>
            <w:tcW w:w="472" w:type="pct"/>
            <w:vAlign w:val="center"/>
          </w:tcPr>
          <w:p w14:paraId="78FB6D4C" w14:textId="77777777" w:rsidR="00B2121F" w:rsidRPr="00F42E63" w:rsidRDefault="00B2121F" w:rsidP="00B505D4">
            <w:pPr>
              <w:spacing w:after="0" w:line="259" w:lineRule="auto"/>
              <w:jc w:val="center"/>
              <w:rPr>
                <w:rFonts w:eastAsia="Calibri" w:cs="Segoe UI"/>
                <w:sz w:val="18"/>
                <w:szCs w:val="18"/>
              </w:rPr>
            </w:pPr>
            <w:r w:rsidRPr="00F42E63">
              <w:rPr>
                <w:rFonts w:eastAsia="Calibri" w:cs="Segoe UI"/>
                <w:sz w:val="18"/>
                <w:szCs w:val="18"/>
              </w:rPr>
              <w:t>2026</w:t>
            </w:r>
          </w:p>
        </w:tc>
        <w:tc>
          <w:tcPr>
            <w:tcW w:w="1132" w:type="pct"/>
            <w:vAlign w:val="center"/>
          </w:tcPr>
          <w:p w14:paraId="609CE9C7" w14:textId="77777777" w:rsidR="00B2121F" w:rsidRPr="00F42E63" w:rsidRDefault="00B2121F" w:rsidP="00B505D4">
            <w:pPr>
              <w:spacing w:after="0" w:line="259" w:lineRule="auto"/>
              <w:jc w:val="center"/>
              <w:rPr>
                <w:rFonts w:eastAsia="Calibri" w:cs="Segoe UI"/>
                <w:sz w:val="18"/>
                <w:szCs w:val="18"/>
              </w:rPr>
            </w:pPr>
            <w:r w:rsidRPr="00F42E63">
              <w:rPr>
                <w:rFonts w:eastAsia="Calibri" w:cs="Segoe UI"/>
                <w:sz w:val="18"/>
                <w:szCs w:val="18"/>
              </w:rPr>
              <w:t>-</w:t>
            </w:r>
          </w:p>
        </w:tc>
        <w:tc>
          <w:tcPr>
            <w:tcW w:w="1132" w:type="pct"/>
            <w:shd w:val="clear" w:color="auto" w:fill="CED7E7" w:themeFill="text2" w:themeFillTint="33"/>
            <w:vAlign w:val="center"/>
          </w:tcPr>
          <w:p w14:paraId="7EC16A28" w14:textId="77777777" w:rsidR="00B2121F" w:rsidRPr="00F42E63" w:rsidRDefault="00B2121F" w:rsidP="00B505D4">
            <w:pPr>
              <w:spacing w:after="0" w:line="259" w:lineRule="auto"/>
              <w:jc w:val="center"/>
              <w:rPr>
                <w:rFonts w:eastAsia="Calibri" w:cs="Segoe UI"/>
                <w:sz w:val="18"/>
                <w:szCs w:val="18"/>
              </w:rPr>
            </w:pPr>
            <w:r w:rsidRPr="00F42E63">
              <w:rPr>
                <w:rFonts w:eastAsia="Calibri" w:cs="Segoe UI"/>
                <w:b/>
                <w:sz w:val="18"/>
                <w:szCs w:val="18"/>
              </w:rPr>
              <w:t>-</w:t>
            </w:r>
          </w:p>
        </w:tc>
        <w:tc>
          <w:tcPr>
            <w:tcW w:w="1132" w:type="pct"/>
            <w:vAlign w:val="center"/>
          </w:tcPr>
          <w:p w14:paraId="5D126BD4" w14:textId="77777777" w:rsidR="00B2121F" w:rsidRPr="00F42E63" w:rsidRDefault="00B2121F" w:rsidP="00B505D4">
            <w:pPr>
              <w:spacing w:after="0" w:line="259" w:lineRule="auto"/>
              <w:jc w:val="center"/>
              <w:rPr>
                <w:rFonts w:eastAsia="Calibri" w:cs="Segoe UI"/>
                <w:sz w:val="18"/>
                <w:szCs w:val="18"/>
              </w:rPr>
            </w:pPr>
            <w:r w:rsidRPr="00F42E63">
              <w:rPr>
                <w:rFonts w:eastAsia="Calibri" w:cs="Segoe UI"/>
                <w:sz w:val="18"/>
                <w:szCs w:val="18"/>
              </w:rPr>
              <w:t>48 287 555 184</w:t>
            </w:r>
          </w:p>
        </w:tc>
        <w:tc>
          <w:tcPr>
            <w:tcW w:w="1132" w:type="pct"/>
            <w:vAlign w:val="center"/>
          </w:tcPr>
          <w:p w14:paraId="26BF820D" w14:textId="77777777" w:rsidR="00B2121F" w:rsidRPr="00F42E63" w:rsidRDefault="00B2121F" w:rsidP="00B505D4">
            <w:pPr>
              <w:spacing w:after="0" w:line="259" w:lineRule="auto"/>
              <w:jc w:val="center"/>
              <w:rPr>
                <w:rFonts w:eastAsia="Calibri" w:cs="Segoe UI"/>
                <w:sz w:val="18"/>
                <w:szCs w:val="18"/>
              </w:rPr>
            </w:pPr>
            <w:r w:rsidRPr="00FF66C9">
              <w:rPr>
                <w:rFonts w:eastAsia="Calibri" w:cs="Segoe UI"/>
                <w:sz w:val="18"/>
                <w:szCs w:val="18"/>
              </w:rPr>
              <w:t>49 230 913 462</w:t>
            </w:r>
          </w:p>
        </w:tc>
      </w:tr>
      <w:tr w:rsidR="00B2121F" w:rsidRPr="00F42E63" w14:paraId="0B6FA8CF" w14:textId="77777777" w:rsidTr="00B505D4">
        <w:trPr>
          <w:trHeight w:val="213"/>
          <w:jc w:val="center"/>
        </w:trPr>
        <w:tc>
          <w:tcPr>
            <w:tcW w:w="472" w:type="pct"/>
            <w:tcBorders>
              <w:bottom w:val="single" w:sz="4" w:space="0" w:color="314364"/>
            </w:tcBorders>
            <w:vAlign w:val="center"/>
          </w:tcPr>
          <w:p w14:paraId="6EE536B3" w14:textId="77777777" w:rsidR="00B2121F" w:rsidRPr="00F42E63" w:rsidRDefault="00B2121F" w:rsidP="00B505D4">
            <w:pPr>
              <w:spacing w:after="0" w:line="259" w:lineRule="auto"/>
              <w:jc w:val="center"/>
              <w:rPr>
                <w:rFonts w:eastAsia="Calibri" w:cs="Segoe UI"/>
                <w:sz w:val="18"/>
                <w:szCs w:val="18"/>
              </w:rPr>
            </w:pPr>
            <w:r>
              <w:rPr>
                <w:rFonts w:eastAsia="Calibri" w:cs="Segoe UI"/>
                <w:sz w:val="18"/>
                <w:szCs w:val="18"/>
              </w:rPr>
              <w:t>2027</w:t>
            </w:r>
          </w:p>
        </w:tc>
        <w:tc>
          <w:tcPr>
            <w:tcW w:w="1132" w:type="pct"/>
            <w:tcBorders>
              <w:bottom w:val="single" w:sz="4" w:space="0" w:color="314364"/>
            </w:tcBorders>
            <w:vAlign w:val="center"/>
          </w:tcPr>
          <w:p w14:paraId="6A70543B" w14:textId="77777777" w:rsidR="00B2121F" w:rsidRPr="00F42E63" w:rsidRDefault="00B2121F" w:rsidP="00B505D4">
            <w:pPr>
              <w:spacing w:after="0" w:line="259" w:lineRule="auto"/>
              <w:jc w:val="center"/>
              <w:rPr>
                <w:rFonts w:eastAsia="Calibri" w:cs="Segoe UI"/>
                <w:sz w:val="18"/>
                <w:szCs w:val="18"/>
              </w:rPr>
            </w:pPr>
            <w:r>
              <w:rPr>
                <w:rFonts w:eastAsia="Calibri" w:cs="Segoe UI"/>
                <w:sz w:val="18"/>
                <w:szCs w:val="18"/>
              </w:rPr>
              <w:t>-</w:t>
            </w:r>
          </w:p>
        </w:tc>
        <w:tc>
          <w:tcPr>
            <w:tcW w:w="1132" w:type="pct"/>
            <w:tcBorders>
              <w:bottom w:val="single" w:sz="4" w:space="0" w:color="314364"/>
            </w:tcBorders>
            <w:shd w:val="clear" w:color="auto" w:fill="CED7E7" w:themeFill="text2" w:themeFillTint="33"/>
            <w:vAlign w:val="center"/>
          </w:tcPr>
          <w:p w14:paraId="725C4827" w14:textId="77777777" w:rsidR="00B2121F" w:rsidRPr="00F42E63" w:rsidRDefault="00B2121F" w:rsidP="00B505D4">
            <w:pPr>
              <w:spacing w:after="0" w:line="259" w:lineRule="auto"/>
              <w:jc w:val="center"/>
              <w:rPr>
                <w:rFonts w:eastAsia="Calibri" w:cs="Segoe UI"/>
                <w:b/>
                <w:sz w:val="18"/>
                <w:szCs w:val="18"/>
              </w:rPr>
            </w:pPr>
            <w:r>
              <w:rPr>
                <w:rFonts w:eastAsia="Calibri" w:cs="Segoe UI"/>
                <w:b/>
                <w:sz w:val="18"/>
                <w:szCs w:val="18"/>
              </w:rPr>
              <w:t>-</w:t>
            </w:r>
          </w:p>
        </w:tc>
        <w:tc>
          <w:tcPr>
            <w:tcW w:w="1132" w:type="pct"/>
            <w:tcBorders>
              <w:bottom w:val="single" w:sz="4" w:space="0" w:color="314364"/>
            </w:tcBorders>
            <w:vAlign w:val="center"/>
          </w:tcPr>
          <w:p w14:paraId="5948EF83" w14:textId="77777777" w:rsidR="00B2121F" w:rsidRPr="00F42E63" w:rsidRDefault="00B2121F" w:rsidP="00B505D4">
            <w:pPr>
              <w:spacing w:after="0" w:line="259" w:lineRule="auto"/>
              <w:jc w:val="center"/>
              <w:rPr>
                <w:rFonts w:eastAsia="Calibri" w:cs="Segoe UI"/>
                <w:sz w:val="18"/>
                <w:szCs w:val="18"/>
              </w:rPr>
            </w:pPr>
            <w:r>
              <w:rPr>
                <w:rFonts w:eastAsia="Calibri" w:cs="Segoe UI"/>
                <w:sz w:val="18"/>
                <w:szCs w:val="18"/>
              </w:rPr>
              <w:t>-</w:t>
            </w:r>
          </w:p>
        </w:tc>
        <w:tc>
          <w:tcPr>
            <w:tcW w:w="1132" w:type="pct"/>
            <w:tcBorders>
              <w:bottom w:val="single" w:sz="4" w:space="0" w:color="314364"/>
            </w:tcBorders>
            <w:vAlign w:val="center"/>
          </w:tcPr>
          <w:p w14:paraId="5E194B6E" w14:textId="77777777" w:rsidR="00B2121F" w:rsidRPr="00F42E63" w:rsidRDefault="00B2121F" w:rsidP="00B505D4">
            <w:pPr>
              <w:spacing w:after="0" w:line="259" w:lineRule="auto"/>
              <w:jc w:val="center"/>
              <w:rPr>
                <w:rFonts w:eastAsia="Calibri" w:cs="Segoe UI"/>
                <w:sz w:val="18"/>
                <w:szCs w:val="18"/>
              </w:rPr>
            </w:pPr>
            <w:r w:rsidRPr="00FF66C9">
              <w:rPr>
                <w:rFonts w:eastAsia="Calibri" w:cs="Segoe UI"/>
                <w:sz w:val="18"/>
                <w:szCs w:val="18"/>
              </w:rPr>
              <w:t>50 455 982 382</w:t>
            </w:r>
          </w:p>
        </w:tc>
      </w:tr>
    </w:tbl>
    <w:p w14:paraId="55ABCB9D" w14:textId="77777777" w:rsidR="00B2121F" w:rsidRPr="00F42E63" w:rsidRDefault="00B2121F" w:rsidP="00B2121F">
      <w:pPr>
        <w:jc w:val="left"/>
        <w:rPr>
          <w:rFonts w:eastAsia="Calibri" w:cs="Times New Roman"/>
          <w:i/>
          <w:color w:val="314364"/>
          <w:sz w:val="16"/>
        </w:rPr>
      </w:pPr>
      <w:r w:rsidRPr="00F42E63">
        <w:rPr>
          <w:rFonts w:eastAsia="Calibri" w:cs="Times New Roman"/>
          <w:i/>
          <w:color w:val="314364"/>
          <w:sz w:val="16"/>
        </w:rPr>
        <w:t>Zdroj: NR SR, RRZ, MF SR, spracovanie NKÚ SR</w:t>
      </w:r>
      <w:r>
        <w:rPr>
          <w:rFonts w:eastAsia="Calibri" w:cs="Times New Roman"/>
          <w:i/>
          <w:color w:val="314364"/>
          <w:sz w:val="16"/>
        </w:rPr>
        <w:t xml:space="preserve">, </w:t>
      </w:r>
      <w:r w:rsidRPr="00F42E63">
        <w:rPr>
          <w:rFonts w:eastAsia="Calibri" w:cs="Times New Roman"/>
          <w:i/>
          <w:color w:val="314364"/>
          <w:sz w:val="16"/>
        </w:rPr>
        <w:t>* prepočet podľa inej metodiky</w:t>
      </w:r>
    </w:p>
    <w:p w14:paraId="3AAF2BA3" w14:textId="41D2FD2F" w:rsidR="00B2121F" w:rsidRDefault="00B2121F" w:rsidP="00B2121F">
      <w:pPr>
        <w:pStyle w:val="Bezriadkovania"/>
        <w:spacing w:after="120" w:line="276" w:lineRule="auto"/>
        <w:jc w:val="both"/>
        <w:rPr>
          <w:rFonts w:ascii="Segoe UI" w:hAnsi="Segoe UI" w:cs="Segoe UI"/>
          <w:sz w:val="20"/>
          <w:szCs w:val="20"/>
        </w:rPr>
      </w:pPr>
      <w:r>
        <w:rPr>
          <w:rFonts w:ascii="Segoe UI" w:hAnsi="Segoe UI" w:cs="Segoe UI"/>
          <w:sz w:val="20"/>
          <w:szCs w:val="20"/>
        </w:rPr>
        <w:t xml:space="preserve">Po voľbách do NR SR, ktoré prebehli 30. septembra 2023, vypočítala RRZ indikatívny prepočet LVV. Tento sa počíta v prípade, ak </w:t>
      </w:r>
      <w:r w:rsidRPr="00307242">
        <w:rPr>
          <w:rFonts w:ascii="Segoe UI" w:hAnsi="Segoe UI" w:cs="Segoe UI"/>
          <w:sz w:val="20"/>
          <w:szCs w:val="20"/>
        </w:rPr>
        <w:t xml:space="preserve">v roku konania volieb do </w:t>
      </w:r>
      <w:r>
        <w:rPr>
          <w:rFonts w:ascii="Segoe UI" w:hAnsi="Segoe UI" w:cs="Segoe UI"/>
          <w:sz w:val="20"/>
          <w:szCs w:val="20"/>
        </w:rPr>
        <w:t>NR SR</w:t>
      </w:r>
      <w:r w:rsidRPr="00307242">
        <w:rPr>
          <w:rFonts w:ascii="Segoe UI" w:hAnsi="Segoe UI" w:cs="Segoe UI"/>
          <w:sz w:val="20"/>
          <w:szCs w:val="20"/>
        </w:rPr>
        <w:t xml:space="preserve"> nebolo schválené </w:t>
      </w:r>
      <w:r>
        <w:rPr>
          <w:rFonts w:ascii="Segoe UI" w:hAnsi="Segoe UI" w:cs="Segoe UI"/>
          <w:sz w:val="20"/>
          <w:szCs w:val="20"/>
        </w:rPr>
        <w:t>PVV</w:t>
      </w:r>
      <w:r w:rsidRPr="00307242">
        <w:rPr>
          <w:rFonts w:ascii="Segoe UI" w:hAnsi="Segoe UI" w:cs="Segoe UI"/>
          <w:sz w:val="20"/>
          <w:szCs w:val="20"/>
        </w:rPr>
        <w:t xml:space="preserve"> a</w:t>
      </w:r>
      <w:r>
        <w:rPr>
          <w:rFonts w:ascii="Segoe UI" w:hAnsi="Segoe UI" w:cs="Segoe UI"/>
          <w:sz w:val="20"/>
          <w:szCs w:val="20"/>
        </w:rPr>
        <w:t> </w:t>
      </w:r>
      <w:r w:rsidRPr="00307242">
        <w:rPr>
          <w:rFonts w:ascii="Segoe UI" w:hAnsi="Segoe UI" w:cs="Segoe UI"/>
          <w:sz w:val="20"/>
          <w:szCs w:val="20"/>
        </w:rPr>
        <w:t>vyslovená dôvera vláde do 30. septembra po voľbách do národnej rady</w:t>
      </w:r>
      <w:r>
        <w:rPr>
          <w:rStyle w:val="Odkaznapoznmkupodiarou"/>
          <w:rFonts w:ascii="Segoe UI" w:hAnsi="Segoe UI" w:cs="Segoe UI"/>
          <w:sz w:val="20"/>
          <w:szCs w:val="20"/>
        </w:rPr>
        <w:footnoteReference w:id="8"/>
      </w:r>
      <w:r>
        <w:rPr>
          <w:rFonts w:ascii="Segoe UI" w:hAnsi="Segoe UI" w:cs="Segoe UI"/>
          <w:sz w:val="20"/>
          <w:szCs w:val="20"/>
        </w:rPr>
        <w:t>. RRZ zverejnila indikatívny prepočet na svojom webovom sídle 2. novembra 2023</w:t>
      </w:r>
      <w:r>
        <w:rPr>
          <w:rStyle w:val="Odkaznapoznmkupodiarou"/>
          <w:rFonts w:ascii="Segoe UI" w:hAnsi="Segoe UI" w:cs="Segoe UI"/>
          <w:sz w:val="20"/>
          <w:szCs w:val="20"/>
        </w:rPr>
        <w:footnoteReference w:id="9"/>
      </w:r>
      <w:r>
        <w:rPr>
          <w:rFonts w:ascii="Segoe UI" w:hAnsi="Segoe UI" w:cs="Segoe UI"/>
          <w:sz w:val="20"/>
          <w:szCs w:val="20"/>
        </w:rPr>
        <w:t>. Tento prepočet neschvaľuje NR SR ani jej výbory. Na výpočet záväzného LVV a jeho predloženie na rokovanie NR SR má RRZ 60 dní od schválenia PVV a vyslovenia dôvery vláde</w:t>
      </w:r>
      <w:r>
        <w:rPr>
          <w:rStyle w:val="Odkaznapoznmkupodiarou"/>
          <w:rFonts w:ascii="Segoe UI" w:hAnsi="Segoe UI" w:cs="Segoe UI"/>
          <w:sz w:val="20"/>
          <w:szCs w:val="20"/>
        </w:rPr>
        <w:footnoteReference w:id="10"/>
      </w:r>
      <w:r>
        <w:rPr>
          <w:rFonts w:ascii="Segoe UI" w:hAnsi="Segoe UI" w:cs="Segoe UI"/>
          <w:sz w:val="20"/>
          <w:szCs w:val="20"/>
        </w:rPr>
        <w:t xml:space="preserve">(t. j. do 20. januára 2024). RRZ neuprednostnila včasnosť a do termínu predloženia návrhu ŠR/RVS na rokovanie </w:t>
      </w:r>
      <w:r w:rsidR="00F05A52">
        <w:rPr>
          <w:rFonts w:ascii="Segoe UI" w:hAnsi="Segoe UI" w:cs="Segoe UI"/>
          <w:sz w:val="20"/>
          <w:szCs w:val="20"/>
        </w:rPr>
        <w:t>v</w:t>
      </w:r>
      <w:r>
        <w:rPr>
          <w:rFonts w:ascii="Segoe UI" w:hAnsi="Segoe UI" w:cs="Segoe UI"/>
          <w:sz w:val="20"/>
          <w:szCs w:val="20"/>
        </w:rPr>
        <w:t>lády SR (12. decembra 2023) nespracovala odhad LVV.</w:t>
      </w:r>
    </w:p>
    <w:p w14:paraId="57672391" w14:textId="77777777" w:rsidR="005B214C" w:rsidRDefault="00B2121F" w:rsidP="00B2121F">
      <w:pPr>
        <w:pStyle w:val="Bezriadkovania"/>
        <w:spacing w:after="120" w:line="276" w:lineRule="auto"/>
        <w:jc w:val="both"/>
        <w:rPr>
          <w:rFonts w:ascii="Segoe UI" w:hAnsi="Segoe UI" w:cs="Segoe UI"/>
          <w:sz w:val="20"/>
          <w:szCs w:val="20"/>
        </w:rPr>
      </w:pPr>
      <w:r w:rsidRPr="00F15428">
        <w:rPr>
          <w:rFonts w:ascii="Segoe UI" w:hAnsi="Segoe UI" w:cs="Segoe UI"/>
          <w:b/>
          <w:sz w:val="20"/>
          <w:szCs w:val="20"/>
        </w:rPr>
        <w:t>Návrh RVS v časti o LVV neuvádza číselné hodnoty, prípadne ich rozdelenie na ŠR, OS</w:t>
      </w:r>
      <w:r>
        <w:rPr>
          <w:rFonts w:ascii="Segoe UI" w:hAnsi="Segoe UI" w:cs="Segoe UI"/>
          <w:b/>
          <w:sz w:val="20"/>
          <w:szCs w:val="20"/>
        </w:rPr>
        <w:t xml:space="preserve"> </w:t>
      </w:r>
      <w:r w:rsidRPr="00F15428">
        <w:rPr>
          <w:rFonts w:ascii="Segoe UI" w:hAnsi="Segoe UI" w:cs="Segoe UI"/>
          <w:b/>
          <w:sz w:val="20"/>
          <w:szCs w:val="20"/>
        </w:rPr>
        <w:t>VS alebo podľa iného kľúča.</w:t>
      </w:r>
      <w:r>
        <w:rPr>
          <w:rFonts w:ascii="Segoe UI" w:hAnsi="Segoe UI" w:cs="Segoe UI"/>
          <w:sz w:val="20"/>
          <w:szCs w:val="20"/>
        </w:rPr>
        <w:t xml:space="preserve"> MF SR ako predkladateľ návrhu RVS v príslušnej kapitole na vysvetlenie píše, že </w:t>
      </w:r>
      <w:r w:rsidRPr="00A724EA">
        <w:rPr>
          <w:rFonts w:ascii="Segoe UI" w:hAnsi="Segoe UI" w:cs="Segoe UI"/>
          <w:sz w:val="20"/>
          <w:szCs w:val="20"/>
        </w:rPr>
        <w:lastRenderedPageBreak/>
        <w:t>indikatívny prepočet je</w:t>
      </w:r>
      <w:r w:rsidRPr="00A724EA">
        <w:rPr>
          <w:rFonts w:ascii="Segoe UI" w:hAnsi="Segoe UI" w:cs="Segoe UI"/>
          <w:i/>
          <w:sz w:val="20"/>
          <w:szCs w:val="20"/>
        </w:rPr>
        <w:t xml:space="preserve"> postavený na rozdielnych kľúčových predpokladoch, nie je možné ho považovať za náležitý a porovnateľný pre zostavenie návrhu RVS na roky 2024 až 2026</w:t>
      </w:r>
      <w:r>
        <w:rPr>
          <w:rFonts w:ascii="Segoe UI" w:hAnsi="Segoe UI" w:cs="Segoe UI"/>
          <w:sz w:val="20"/>
          <w:szCs w:val="20"/>
        </w:rPr>
        <w:t>. Aplikovateľnosť LVV schválených NR SR namieta cez prechodné ustanovenie zákona o rozpočtových pravidlách VS</w:t>
      </w:r>
      <w:r>
        <w:rPr>
          <w:rStyle w:val="Odkaznapoznmkupodiarou"/>
          <w:rFonts w:ascii="Segoe UI" w:hAnsi="Segoe UI" w:cs="Segoe UI"/>
          <w:sz w:val="20"/>
          <w:szCs w:val="20"/>
        </w:rPr>
        <w:footnoteReference w:id="11"/>
      </w:r>
      <w:r>
        <w:rPr>
          <w:rFonts w:ascii="Segoe UI" w:hAnsi="Segoe UI" w:cs="Segoe UI"/>
          <w:sz w:val="20"/>
          <w:szCs w:val="20"/>
        </w:rPr>
        <w:t xml:space="preserve"> a uzatvára, že pre neexistenciu platného LVV nie je možné v návrhu RVS na </w:t>
      </w:r>
      <w:proofErr w:type="spellStart"/>
      <w:r>
        <w:rPr>
          <w:rFonts w:ascii="Segoe UI" w:hAnsi="Segoe UI" w:cs="Segoe UI"/>
          <w:sz w:val="20"/>
          <w:szCs w:val="20"/>
        </w:rPr>
        <w:t>ne</w:t>
      </w:r>
      <w:proofErr w:type="spellEnd"/>
      <w:r>
        <w:rPr>
          <w:rFonts w:ascii="Segoe UI" w:hAnsi="Segoe UI" w:cs="Segoe UI"/>
          <w:sz w:val="20"/>
          <w:szCs w:val="20"/>
        </w:rPr>
        <w:t xml:space="preserve"> reflektovať. V návrhu RVS sa v časti o LVV uvádza, že v prípade neskoršieho schválenia LVV by sa rozpočet realizoval v súlade s LVV.</w:t>
      </w:r>
    </w:p>
    <w:p w14:paraId="6D29F1BE" w14:textId="4B4FFA4A" w:rsidR="00B2121F" w:rsidRDefault="005B214C" w:rsidP="00B2121F">
      <w:pPr>
        <w:pStyle w:val="Bezriadkovania"/>
        <w:spacing w:after="120" w:line="276" w:lineRule="auto"/>
        <w:jc w:val="both"/>
        <w:rPr>
          <w:rFonts w:ascii="Segoe UI" w:hAnsi="Segoe UI" w:cs="Segoe UI"/>
          <w:sz w:val="20"/>
          <w:szCs w:val="20"/>
        </w:rPr>
      </w:pPr>
      <w:r w:rsidRPr="005B214C">
        <w:rPr>
          <w:rFonts w:ascii="Segoe UI" w:hAnsi="Segoe UI" w:cs="Segoe UI"/>
          <w:b/>
          <w:sz w:val="20"/>
          <w:szCs w:val="20"/>
        </w:rPr>
        <w:t xml:space="preserve">NKÚ SR </w:t>
      </w:r>
      <w:r w:rsidR="00A934C2">
        <w:rPr>
          <w:rFonts w:ascii="Segoe UI" w:hAnsi="Segoe UI" w:cs="Segoe UI"/>
          <w:b/>
          <w:sz w:val="20"/>
          <w:szCs w:val="20"/>
        </w:rPr>
        <w:t xml:space="preserve">upozornil </w:t>
      </w:r>
      <w:r w:rsidRPr="005B214C">
        <w:rPr>
          <w:rFonts w:ascii="Segoe UI" w:hAnsi="Segoe UI" w:cs="Segoe UI"/>
          <w:b/>
          <w:sz w:val="20"/>
          <w:szCs w:val="20"/>
        </w:rPr>
        <w:t>už v roku 2022 na riziká spojené s nedodržiavaním LVV.</w:t>
      </w:r>
      <w:r w:rsidR="00A934C2" w:rsidRPr="00A934C2">
        <w:rPr>
          <w:rStyle w:val="Odkaznapoznmkupodiarou"/>
          <w:rFonts w:ascii="Segoe UI" w:hAnsi="Segoe UI" w:cs="Segoe UI"/>
          <w:b/>
          <w:sz w:val="20"/>
          <w:szCs w:val="20"/>
        </w:rPr>
        <w:t xml:space="preserve"> </w:t>
      </w:r>
      <w:r w:rsidR="00A934C2" w:rsidRPr="00A934C2">
        <w:rPr>
          <w:rStyle w:val="Odkaznapoznmkupodiarou"/>
          <w:rFonts w:ascii="Segoe UI" w:hAnsi="Segoe UI" w:cs="Segoe UI"/>
          <w:sz w:val="20"/>
          <w:szCs w:val="20"/>
        </w:rPr>
        <w:footnoteReference w:id="12"/>
      </w:r>
      <w:r w:rsidRPr="00A934C2">
        <w:rPr>
          <w:rFonts w:ascii="Segoe UI" w:hAnsi="Segoe UI" w:cs="Segoe UI"/>
          <w:sz w:val="20"/>
          <w:szCs w:val="20"/>
        </w:rPr>
        <w:t xml:space="preserve"> </w:t>
      </w:r>
      <w:r w:rsidRPr="005B214C">
        <w:rPr>
          <w:rFonts w:ascii="Segoe UI" w:hAnsi="Segoe UI" w:cs="Segoe UI"/>
          <w:sz w:val="20"/>
          <w:szCs w:val="20"/>
        </w:rPr>
        <w:t>Na jednej strane sú to vonkajšie riziká, že EK môže siahnuť na prostriedky z POO, kde bola uvedená reforma na posilnenie fiškálnej disciplíny a záväznosti rozpočtu zavedením výdavkových stropov (LVV). Na druhej strane sú to vnútorné riziká, kde nedodržiavaním princípov stredno- a dlhodobej udržateľnosti hospodárenia VS, zhmotnenom v LVV, sa systematicky zhoršuje udržateľnosť vynakladania a celková kondícia verejných financií.</w:t>
      </w:r>
    </w:p>
    <w:tbl>
      <w:tblPr>
        <w:tblStyle w:val="Mriekatabuky1"/>
        <w:tblW w:w="0" w:type="auto"/>
        <w:tblBorders>
          <w:top w:val="single" w:sz="4" w:space="0" w:color="314364"/>
          <w:left w:val="single" w:sz="4" w:space="0" w:color="314364"/>
          <w:bottom w:val="single" w:sz="4" w:space="0" w:color="314364"/>
          <w:right w:val="single" w:sz="4" w:space="0" w:color="314364"/>
          <w:insideH w:val="none" w:sz="0" w:space="0" w:color="auto"/>
          <w:insideV w:val="none" w:sz="0" w:space="0" w:color="auto"/>
        </w:tblBorders>
        <w:shd w:val="clear" w:color="auto" w:fill="EBF0FB"/>
        <w:tblLook w:val="04A0" w:firstRow="1" w:lastRow="0" w:firstColumn="1" w:lastColumn="0" w:noHBand="0" w:noVBand="1"/>
      </w:tblPr>
      <w:tblGrid>
        <w:gridCol w:w="9060"/>
      </w:tblGrid>
      <w:tr w:rsidR="00B2121F" w:rsidRPr="002772DE" w14:paraId="79766AEB" w14:textId="77777777" w:rsidTr="00B505D4">
        <w:tc>
          <w:tcPr>
            <w:tcW w:w="9060" w:type="dxa"/>
            <w:shd w:val="clear" w:color="auto" w:fill="EBF0FB"/>
          </w:tcPr>
          <w:p w14:paraId="17ED0AF6" w14:textId="77777777" w:rsidR="00B2121F" w:rsidRPr="00F42E63" w:rsidRDefault="00B2121F" w:rsidP="00B505D4">
            <w:pPr>
              <w:spacing w:before="120"/>
              <w:ind w:right="163"/>
              <w:rPr>
                <w:rFonts w:cs="Times New Roman"/>
                <w:b/>
              </w:rPr>
            </w:pPr>
            <w:r>
              <w:rPr>
                <w:rFonts w:cs="Times New Roman"/>
                <w:b/>
              </w:rPr>
              <w:t>Box 1</w:t>
            </w:r>
            <w:r w:rsidRPr="00F42E63">
              <w:rPr>
                <w:rFonts w:cs="Times New Roman"/>
                <w:b/>
              </w:rPr>
              <w:t>: Výpočet limitu verejných výdavkov</w:t>
            </w:r>
          </w:p>
          <w:p w14:paraId="7BCA4951" w14:textId="77777777" w:rsidR="00B2121F" w:rsidRDefault="00B2121F" w:rsidP="00B505D4">
            <w:pPr>
              <w:rPr>
                <w:rFonts w:eastAsia="Times New Roman" w:cs="Segoe UI"/>
                <w:sz w:val="18"/>
                <w:szCs w:val="20"/>
              </w:rPr>
            </w:pPr>
            <w:r w:rsidRPr="00D72439">
              <w:rPr>
                <w:rFonts w:eastAsia="Times New Roman" w:cs="Segoe UI"/>
                <w:b/>
                <w:sz w:val="18"/>
                <w:szCs w:val="20"/>
              </w:rPr>
              <w:t>LVV možno zjednodušene chápať ako najvyššiu hranicu vyvažujúcu príjmy a výdavky.</w:t>
            </w:r>
            <w:r>
              <w:rPr>
                <w:rFonts w:eastAsia="Times New Roman" w:cs="Segoe UI"/>
                <w:b/>
                <w:sz w:val="18"/>
                <w:szCs w:val="20"/>
              </w:rPr>
              <w:t xml:space="preserve"> </w:t>
            </w:r>
            <w:r w:rsidRPr="00D72439">
              <w:rPr>
                <w:rFonts w:eastAsia="Times New Roman" w:cs="Segoe UI"/>
                <w:b/>
                <w:sz w:val="18"/>
                <w:szCs w:val="20"/>
              </w:rPr>
              <w:t>LVV</w:t>
            </w:r>
            <w:r>
              <w:rPr>
                <w:rFonts w:eastAsia="Times New Roman" w:cs="Segoe UI"/>
                <w:b/>
                <w:sz w:val="18"/>
                <w:szCs w:val="20"/>
              </w:rPr>
              <w:t xml:space="preserve"> je jedno číslo, suma pre daný rok a </w:t>
            </w:r>
            <w:r w:rsidRPr="00D72439">
              <w:rPr>
                <w:rFonts w:eastAsia="Times New Roman" w:cs="Segoe UI"/>
                <w:b/>
                <w:sz w:val="18"/>
                <w:szCs w:val="20"/>
              </w:rPr>
              <w:t>je vykazovaný na akruálnom základe, pričom ŠR je na hotovostnom základe.</w:t>
            </w:r>
            <w:r>
              <w:rPr>
                <w:rFonts w:eastAsia="Times New Roman" w:cs="Segoe UI"/>
                <w:b/>
                <w:sz w:val="18"/>
                <w:szCs w:val="20"/>
              </w:rPr>
              <w:t xml:space="preserve"> </w:t>
            </w:r>
            <w:r w:rsidRPr="00F42E63">
              <w:rPr>
                <w:rFonts w:eastAsia="Times New Roman" w:cs="Segoe UI"/>
                <w:b/>
                <w:sz w:val="18"/>
                <w:szCs w:val="20"/>
              </w:rPr>
              <w:t>Rámce výpočtu LVV sú uvedené v §30aa zákona o rozpočtových pravidlách VS a ďalej špecifikované v metodike RRZ.</w:t>
            </w:r>
            <w:r w:rsidRPr="00F42E63">
              <w:rPr>
                <w:rFonts w:eastAsia="Times New Roman" w:cs="Segoe UI"/>
                <w:sz w:val="18"/>
                <w:szCs w:val="20"/>
              </w:rPr>
              <w:t xml:space="preserve"> LVV sa počíta zo zápornej hodnoty plánovaného salda VS upraveného o vplyv hospodárskeho cyklu a o jednorazové vplyvy, od ktorého sa odpočítajú výdavky na správu dlhu VS, odvod do rozpočtu EÚ a spolufinancovanie. Pripočíta sa predpokladaný výsledok hospodárenia územnej samosprávy, predpokladané daňové príjmy vrátane príjmov poistných fondov, upravené o vplyv hospodárskeho cyklu a jednorazové vplyvy, predpokladané nedaňové príjmy, granty a transfery upravené o jednorazové vplyvy okrem prostriedkov z rozpočtu EÚ. V rámci LVV sa rozpočtujú v čase rastúce rezervy tak, aby sa zabezpečilo krytie nepredvídaných rozpočtových vplyvov. Numerický výpočet LVV prezentuje tabuľka </w:t>
            </w:r>
            <w:r>
              <w:rPr>
                <w:rFonts w:eastAsia="Times New Roman" w:cs="Segoe UI"/>
                <w:sz w:val="18"/>
                <w:szCs w:val="20"/>
              </w:rPr>
              <w:t>3</w:t>
            </w:r>
            <w:r w:rsidRPr="00F42E63">
              <w:rPr>
                <w:rFonts w:eastAsia="Times New Roman" w:cs="Segoe UI"/>
                <w:sz w:val="18"/>
                <w:szCs w:val="20"/>
              </w:rPr>
              <w:t>.</w:t>
            </w:r>
            <w:r>
              <w:rPr>
                <w:rFonts w:eastAsia="Times New Roman" w:cs="Segoe UI"/>
                <w:sz w:val="18"/>
                <w:szCs w:val="20"/>
              </w:rPr>
              <w:t xml:space="preserve"> </w:t>
            </w:r>
          </w:p>
          <w:p w14:paraId="1A6BB358" w14:textId="77777777" w:rsidR="00B2121F" w:rsidRPr="00F42E63" w:rsidRDefault="00B2121F" w:rsidP="00B505D4">
            <w:pPr>
              <w:keepNext/>
              <w:spacing w:after="0"/>
              <w:rPr>
                <w:rFonts w:cs="Times New Roman"/>
                <w:b/>
                <w:iCs/>
                <w:color w:val="314364"/>
                <w:sz w:val="18"/>
                <w:szCs w:val="18"/>
              </w:rPr>
            </w:pPr>
            <w:r w:rsidRPr="00F42E63">
              <w:rPr>
                <w:rFonts w:cs="Times New Roman"/>
                <w:b/>
                <w:iCs/>
                <w:color w:val="314364"/>
                <w:sz w:val="18"/>
                <w:szCs w:val="18"/>
              </w:rPr>
              <w:t xml:space="preserve">Tabuľka </w:t>
            </w:r>
            <w:r>
              <w:rPr>
                <w:rFonts w:cs="Times New Roman"/>
                <w:b/>
                <w:iCs/>
                <w:color w:val="314364"/>
                <w:sz w:val="18"/>
                <w:szCs w:val="18"/>
              </w:rPr>
              <w:t>3</w:t>
            </w:r>
            <w:r w:rsidRPr="00F42E63">
              <w:rPr>
                <w:rFonts w:cs="Times New Roman"/>
                <w:b/>
                <w:iCs/>
                <w:color w:val="314364"/>
                <w:sz w:val="18"/>
                <w:szCs w:val="18"/>
              </w:rPr>
              <w:t>: Výpočet limitu verejných výdavkov schválen</w:t>
            </w:r>
            <w:r>
              <w:rPr>
                <w:rFonts w:cs="Times New Roman"/>
                <w:b/>
                <w:iCs/>
                <w:color w:val="314364"/>
                <w:sz w:val="18"/>
                <w:szCs w:val="18"/>
              </w:rPr>
              <w:t>ého</w:t>
            </w:r>
            <w:r w:rsidRPr="00F42E63">
              <w:rPr>
                <w:rFonts w:cs="Times New Roman"/>
                <w:b/>
                <w:iCs/>
                <w:color w:val="314364"/>
                <w:sz w:val="18"/>
                <w:szCs w:val="18"/>
              </w:rPr>
              <w:t xml:space="preserve"> NR SR 1. 2. 2023 </w:t>
            </w:r>
          </w:p>
          <w:tbl>
            <w:tblPr>
              <w:tblW w:w="5000" w:type="pct"/>
              <w:jc w:val="center"/>
              <w:tblCellMar>
                <w:top w:w="28" w:type="dxa"/>
              </w:tblCellMar>
              <w:tblLook w:val="04A0" w:firstRow="1" w:lastRow="0" w:firstColumn="1" w:lastColumn="0" w:noHBand="0" w:noVBand="1"/>
            </w:tblPr>
            <w:tblGrid>
              <w:gridCol w:w="3869"/>
              <w:gridCol w:w="1660"/>
              <w:gridCol w:w="1659"/>
              <w:gridCol w:w="1656"/>
            </w:tblGrid>
            <w:tr w:rsidR="00B2121F" w:rsidRPr="00F42E63" w14:paraId="5FAC5C6A" w14:textId="77777777" w:rsidTr="00B505D4">
              <w:trPr>
                <w:trHeight w:val="283"/>
                <w:tblHeader/>
                <w:jc w:val="center"/>
              </w:trPr>
              <w:tc>
                <w:tcPr>
                  <w:tcW w:w="2187" w:type="pct"/>
                  <w:tcBorders>
                    <w:bottom w:val="single" w:sz="4" w:space="0" w:color="314364"/>
                  </w:tcBorders>
                  <w:shd w:val="clear" w:color="auto" w:fill="314364"/>
                  <w:vAlign w:val="center"/>
                </w:tcPr>
                <w:p w14:paraId="30CC07D1" w14:textId="77777777" w:rsidR="00B2121F" w:rsidRPr="00F42E63" w:rsidRDefault="00B2121F" w:rsidP="00B505D4">
                  <w:pPr>
                    <w:spacing w:after="0" w:line="259" w:lineRule="auto"/>
                    <w:rPr>
                      <w:rFonts w:eastAsia="Calibri" w:cs="Segoe UI"/>
                      <w:b/>
                      <w:color w:val="FFFFFF"/>
                      <w:sz w:val="16"/>
                      <w:szCs w:val="16"/>
                    </w:rPr>
                  </w:pPr>
                </w:p>
              </w:tc>
              <w:tc>
                <w:tcPr>
                  <w:tcW w:w="938" w:type="pct"/>
                  <w:tcBorders>
                    <w:bottom w:val="single" w:sz="4" w:space="0" w:color="314364"/>
                  </w:tcBorders>
                  <w:shd w:val="clear" w:color="auto" w:fill="314364"/>
                  <w:vAlign w:val="center"/>
                </w:tcPr>
                <w:p w14:paraId="1E54B664" w14:textId="77777777" w:rsidR="00B2121F" w:rsidRPr="00F42E63" w:rsidRDefault="00B2121F" w:rsidP="00B505D4">
                  <w:pPr>
                    <w:spacing w:after="0" w:line="259" w:lineRule="auto"/>
                    <w:jc w:val="right"/>
                    <w:rPr>
                      <w:rFonts w:eastAsia="Calibri" w:cs="Segoe UI"/>
                      <w:b/>
                      <w:color w:val="FFFFFF"/>
                      <w:sz w:val="16"/>
                      <w:szCs w:val="16"/>
                    </w:rPr>
                  </w:pPr>
                  <w:r w:rsidRPr="00F42E63">
                    <w:rPr>
                      <w:rFonts w:eastAsia="Calibri" w:cs="Segoe UI"/>
                      <w:b/>
                      <w:color w:val="FFFFFF"/>
                      <w:sz w:val="16"/>
                      <w:szCs w:val="16"/>
                    </w:rPr>
                    <w:t>2023</w:t>
                  </w:r>
                </w:p>
              </w:tc>
              <w:tc>
                <w:tcPr>
                  <w:tcW w:w="938" w:type="pct"/>
                  <w:tcBorders>
                    <w:bottom w:val="single" w:sz="4" w:space="0" w:color="314364"/>
                  </w:tcBorders>
                  <w:shd w:val="clear" w:color="auto" w:fill="314364"/>
                  <w:vAlign w:val="center"/>
                </w:tcPr>
                <w:p w14:paraId="32E5EF86" w14:textId="77777777" w:rsidR="00B2121F" w:rsidRPr="00F42E63" w:rsidRDefault="00B2121F" w:rsidP="00B505D4">
                  <w:pPr>
                    <w:spacing w:after="0" w:line="259" w:lineRule="auto"/>
                    <w:jc w:val="right"/>
                    <w:rPr>
                      <w:rFonts w:eastAsia="Calibri" w:cs="Segoe UI"/>
                      <w:b/>
                      <w:color w:val="FFFFFF"/>
                      <w:sz w:val="16"/>
                      <w:szCs w:val="16"/>
                    </w:rPr>
                  </w:pPr>
                  <w:r w:rsidRPr="00F42E63">
                    <w:rPr>
                      <w:rFonts w:eastAsia="Calibri" w:cs="Segoe UI"/>
                      <w:b/>
                      <w:color w:val="FFFFFF"/>
                      <w:sz w:val="16"/>
                      <w:szCs w:val="16"/>
                    </w:rPr>
                    <w:t>2024</w:t>
                  </w:r>
                </w:p>
              </w:tc>
              <w:tc>
                <w:tcPr>
                  <w:tcW w:w="936" w:type="pct"/>
                  <w:tcBorders>
                    <w:bottom w:val="single" w:sz="4" w:space="0" w:color="314364"/>
                  </w:tcBorders>
                  <w:shd w:val="clear" w:color="auto" w:fill="314364"/>
                  <w:vAlign w:val="center"/>
                </w:tcPr>
                <w:p w14:paraId="3A22AF50" w14:textId="77777777" w:rsidR="00B2121F" w:rsidRPr="00F42E63" w:rsidRDefault="00B2121F" w:rsidP="00B505D4">
                  <w:pPr>
                    <w:spacing w:after="0" w:line="259" w:lineRule="auto"/>
                    <w:jc w:val="right"/>
                    <w:rPr>
                      <w:rFonts w:eastAsia="Calibri" w:cs="Segoe UI"/>
                      <w:b/>
                      <w:color w:val="FFFFFF"/>
                      <w:sz w:val="16"/>
                      <w:szCs w:val="16"/>
                    </w:rPr>
                  </w:pPr>
                  <w:r w:rsidRPr="00F42E63">
                    <w:rPr>
                      <w:rFonts w:eastAsia="Calibri" w:cs="Segoe UI"/>
                      <w:b/>
                      <w:color w:val="FFFFFF"/>
                      <w:sz w:val="16"/>
                      <w:szCs w:val="16"/>
                    </w:rPr>
                    <w:t>2025</w:t>
                  </w:r>
                </w:p>
              </w:tc>
            </w:tr>
            <w:tr w:rsidR="00B2121F" w:rsidRPr="00F42E63" w14:paraId="36210298" w14:textId="77777777" w:rsidTr="00B505D4">
              <w:trPr>
                <w:trHeight w:val="283"/>
                <w:jc w:val="center"/>
              </w:trPr>
              <w:tc>
                <w:tcPr>
                  <w:tcW w:w="2187" w:type="pct"/>
                  <w:tcBorders>
                    <w:top w:val="single" w:sz="4" w:space="0" w:color="314364"/>
                  </w:tcBorders>
                  <w:vAlign w:val="center"/>
                </w:tcPr>
                <w:p w14:paraId="72622BDE" w14:textId="77777777" w:rsidR="00B2121F" w:rsidRPr="00F42E63" w:rsidRDefault="00B2121F" w:rsidP="00B505D4">
                  <w:pPr>
                    <w:spacing w:after="0" w:line="259" w:lineRule="auto"/>
                    <w:rPr>
                      <w:rFonts w:eastAsia="Calibri" w:cs="Segoe UI"/>
                      <w:sz w:val="16"/>
                      <w:szCs w:val="16"/>
                    </w:rPr>
                  </w:pPr>
                  <w:r w:rsidRPr="00F42E63">
                    <w:rPr>
                      <w:rFonts w:eastAsia="Calibri" w:cs="Segoe UI"/>
                      <w:sz w:val="16"/>
                      <w:szCs w:val="16"/>
                    </w:rPr>
                    <w:t>(-) Plánované štrukturálne saldo VS</w:t>
                  </w:r>
                </w:p>
              </w:tc>
              <w:tc>
                <w:tcPr>
                  <w:tcW w:w="938" w:type="pct"/>
                  <w:tcBorders>
                    <w:top w:val="single" w:sz="4" w:space="0" w:color="314364"/>
                  </w:tcBorders>
                  <w:vAlign w:val="center"/>
                </w:tcPr>
                <w:p w14:paraId="3B39C9ED"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-4 203 641 795</w:t>
                  </w:r>
                </w:p>
              </w:tc>
              <w:tc>
                <w:tcPr>
                  <w:tcW w:w="938" w:type="pct"/>
                  <w:tcBorders>
                    <w:top w:val="single" w:sz="4" w:space="0" w:color="314364"/>
                  </w:tcBorders>
                  <w:vAlign w:val="center"/>
                </w:tcPr>
                <w:p w14:paraId="330460B1"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-4 728 602 743</w:t>
                  </w:r>
                </w:p>
              </w:tc>
              <w:tc>
                <w:tcPr>
                  <w:tcW w:w="936" w:type="pct"/>
                  <w:tcBorders>
                    <w:top w:val="single" w:sz="4" w:space="0" w:color="314364"/>
                  </w:tcBorders>
                  <w:shd w:val="clear" w:color="auto" w:fill="auto"/>
                  <w:vAlign w:val="center"/>
                </w:tcPr>
                <w:p w14:paraId="49FE26BD"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-4 315 331 350</w:t>
                  </w:r>
                </w:p>
              </w:tc>
            </w:tr>
            <w:tr w:rsidR="00B2121F" w:rsidRPr="00F42E63" w14:paraId="7FFE1766" w14:textId="77777777" w:rsidTr="00B505D4">
              <w:trPr>
                <w:trHeight w:val="283"/>
                <w:jc w:val="center"/>
              </w:trPr>
              <w:tc>
                <w:tcPr>
                  <w:tcW w:w="2187" w:type="pct"/>
                  <w:vAlign w:val="center"/>
                </w:tcPr>
                <w:p w14:paraId="2B6D4435" w14:textId="77777777" w:rsidR="00B2121F" w:rsidRPr="00F42E63" w:rsidRDefault="00B2121F" w:rsidP="00B505D4">
                  <w:pPr>
                    <w:spacing w:after="0" w:line="259" w:lineRule="auto"/>
                    <w:rPr>
                      <w:rFonts w:eastAsia="Calibri" w:cs="Segoe UI"/>
                      <w:sz w:val="16"/>
                      <w:szCs w:val="16"/>
                    </w:rPr>
                  </w:pPr>
                  <w:r w:rsidRPr="00F42E63">
                    <w:rPr>
                      <w:rFonts w:eastAsia="Calibri" w:cs="Segoe UI"/>
                      <w:sz w:val="16"/>
                      <w:szCs w:val="16"/>
                    </w:rPr>
                    <w:t>(-) Konsolidované výdavky na správu dlhu VS</w:t>
                  </w:r>
                </w:p>
              </w:tc>
              <w:tc>
                <w:tcPr>
                  <w:tcW w:w="938" w:type="pct"/>
                  <w:vAlign w:val="center"/>
                </w:tcPr>
                <w:p w14:paraId="19DE6791"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1 304 966 774</w:t>
                  </w:r>
                </w:p>
              </w:tc>
              <w:tc>
                <w:tcPr>
                  <w:tcW w:w="938" w:type="pct"/>
                  <w:vAlign w:val="center"/>
                </w:tcPr>
                <w:p w14:paraId="0437F601"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1 645 060 256</w:t>
                  </w:r>
                </w:p>
              </w:tc>
              <w:tc>
                <w:tcPr>
                  <w:tcW w:w="936" w:type="pct"/>
                  <w:shd w:val="clear" w:color="auto" w:fill="auto"/>
                  <w:vAlign w:val="center"/>
                </w:tcPr>
                <w:p w14:paraId="71E52D0C"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1 906 490 285</w:t>
                  </w:r>
                </w:p>
              </w:tc>
            </w:tr>
            <w:tr w:rsidR="00B2121F" w:rsidRPr="00F42E63" w14:paraId="342914F1" w14:textId="77777777" w:rsidTr="00B505D4">
              <w:trPr>
                <w:trHeight w:val="283"/>
                <w:jc w:val="center"/>
              </w:trPr>
              <w:tc>
                <w:tcPr>
                  <w:tcW w:w="2187" w:type="pct"/>
                  <w:vAlign w:val="center"/>
                </w:tcPr>
                <w:p w14:paraId="51D48F93" w14:textId="77777777" w:rsidR="00B2121F" w:rsidRPr="00F42E63" w:rsidRDefault="00B2121F" w:rsidP="00B505D4">
                  <w:pPr>
                    <w:spacing w:after="0" w:line="259" w:lineRule="auto"/>
                    <w:jc w:val="left"/>
                    <w:rPr>
                      <w:rFonts w:eastAsia="Calibri" w:cs="Segoe UI"/>
                      <w:sz w:val="16"/>
                      <w:szCs w:val="16"/>
                    </w:rPr>
                  </w:pPr>
                  <w:r w:rsidRPr="00F42E63">
                    <w:rPr>
                      <w:rFonts w:eastAsia="Calibri" w:cs="Segoe UI"/>
                      <w:sz w:val="16"/>
                      <w:szCs w:val="16"/>
                    </w:rPr>
                    <w:t>(-) Výdavky zo štátneho rozpočtu na spolufinancovanie</w:t>
                  </w:r>
                </w:p>
              </w:tc>
              <w:tc>
                <w:tcPr>
                  <w:tcW w:w="938" w:type="pct"/>
                  <w:vAlign w:val="center"/>
                </w:tcPr>
                <w:p w14:paraId="6294ED6A"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1 302 592 333</w:t>
                  </w:r>
                </w:p>
              </w:tc>
              <w:tc>
                <w:tcPr>
                  <w:tcW w:w="938" w:type="pct"/>
                  <w:vAlign w:val="center"/>
                </w:tcPr>
                <w:p w14:paraId="0664F4BF"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700 243 922</w:t>
                  </w:r>
                </w:p>
              </w:tc>
              <w:tc>
                <w:tcPr>
                  <w:tcW w:w="936" w:type="pct"/>
                  <w:shd w:val="clear" w:color="auto" w:fill="auto"/>
                  <w:vAlign w:val="center"/>
                </w:tcPr>
                <w:p w14:paraId="6A0DF2D0"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804 072 045</w:t>
                  </w:r>
                </w:p>
              </w:tc>
            </w:tr>
            <w:tr w:rsidR="00B2121F" w:rsidRPr="00F42E63" w14:paraId="46370B6F" w14:textId="77777777" w:rsidTr="00B505D4">
              <w:trPr>
                <w:trHeight w:val="283"/>
                <w:jc w:val="center"/>
              </w:trPr>
              <w:tc>
                <w:tcPr>
                  <w:tcW w:w="2187" w:type="pct"/>
                  <w:vAlign w:val="center"/>
                </w:tcPr>
                <w:p w14:paraId="2715334D" w14:textId="77777777" w:rsidR="00B2121F" w:rsidRPr="00F42E63" w:rsidRDefault="00B2121F" w:rsidP="00B505D4">
                  <w:pPr>
                    <w:spacing w:after="0" w:line="259" w:lineRule="auto"/>
                    <w:rPr>
                      <w:rFonts w:eastAsia="Calibri" w:cs="Segoe UI"/>
                      <w:sz w:val="16"/>
                      <w:szCs w:val="16"/>
                    </w:rPr>
                  </w:pPr>
                  <w:r w:rsidRPr="00F42E63">
                    <w:rPr>
                      <w:rFonts w:eastAsia="Calibri" w:cs="Segoe UI"/>
                      <w:sz w:val="16"/>
                      <w:szCs w:val="16"/>
                    </w:rPr>
                    <w:t>(-) Odvody Európskej únii</w:t>
                  </w:r>
                </w:p>
              </w:tc>
              <w:tc>
                <w:tcPr>
                  <w:tcW w:w="938" w:type="pct"/>
                  <w:vAlign w:val="center"/>
                </w:tcPr>
                <w:p w14:paraId="735DCAF7"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1 027 581 000</w:t>
                  </w:r>
                </w:p>
              </w:tc>
              <w:tc>
                <w:tcPr>
                  <w:tcW w:w="938" w:type="pct"/>
                  <w:vAlign w:val="center"/>
                </w:tcPr>
                <w:p w14:paraId="70405632"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1 049 205 000</w:t>
                  </w:r>
                </w:p>
              </w:tc>
              <w:tc>
                <w:tcPr>
                  <w:tcW w:w="936" w:type="pct"/>
                  <w:shd w:val="clear" w:color="auto" w:fill="auto"/>
                  <w:vAlign w:val="center"/>
                </w:tcPr>
                <w:p w14:paraId="6F37AEBA"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1 098 920 000</w:t>
                  </w:r>
                </w:p>
              </w:tc>
            </w:tr>
            <w:tr w:rsidR="00B2121F" w:rsidRPr="00F42E63" w14:paraId="646D4B96" w14:textId="77777777" w:rsidTr="00B505D4">
              <w:trPr>
                <w:trHeight w:val="283"/>
                <w:jc w:val="center"/>
              </w:trPr>
              <w:tc>
                <w:tcPr>
                  <w:tcW w:w="2187" w:type="pct"/>
                  <w:vAlign w:val="center"/>
                </w:tcPr>
                <w:p w14:paraId="48BE7086" w14:textId="77777777" w:rsidR="00B2121F" w:rsidRPr="00F42E63" w:rsidRDefault="00B2121F" w:rsidP="00B505D4">
                  <w:pPr>
                    <w:spacing w:after="0" w:line="259" w:lineRule="auto"/>
                    <w:jc w:val="left"/>
                    <w:rPr>
                      <w:rFonts w:eastAsia="Calibri" w:cs="Segoe UI"/>
                      <w:sz w:val="16"/>
                      <w:szCs w:val="16"/>
                    </w:rPr>
                  </w:pPr>
                  <w:r w:rsidRPr="00F42E63">
                    <w:rPr>
                      <w:rFonts w:eastAsia="Calibri" w:cs="Segoe UI"/>
                      <w:sz w:val="16"/>
                      <w:szCs w:val="16"/>
                    </w:rPr>
                    <w:t>(+) Predpokladaný výsledok hospodárenia územnej samosprávy</w:t>
                  </w:r>
                </w:p>
              </w:tc>
              <w:tc>
                <w:tcPr>
                  <w:tcW w:w="938" w:type="pct"/>
                  <w:vAlign w:val="center"/>
                </w:tcPr>
                <w:p w14:paraId="4CEF9E4B"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-113 378 927</w:t>
                  </w:r>
                </w:p>
              </w:tc>
              <w:tc>
                <w:tcPr>
                  <w:tcW w:w="938" w:type="pct"/>
                  <w:vAlign w:val="center"/>
                </w:tcPr>
                <w:p w14:paraId="1F988661"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-266 092 226</w:t>
                  </w:r>
                </w:p>
              </w:tc>
              <w:tc>
                <w:tcPr>
                  <w:tcW w:w="936" w:type="pct"/>
                  <w:shd w:val="clear" w:color="auto" w:fill="auto"/>
                  <w:vAlign w:val="center"/>
                </w:tcPr>
                <w:p w14:paraId="3967F6A1"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-44 024 680</w:t>
                  </w:r>
                </w:p>
              </w:tc>
            </w:tr>
            <w:tr w:rsidR="00B2121F" w:rsidRPr="00F42E63" w14:paraId="6CA3FCAC" w14:textId="77777777" w:rsidTr="00B505D4">
              <w:trPr>
                <w:trHeight w:val="283"/>
                <w:jc w:val="center"/>
              </w:trPr>
              <w:tc>
                <w:tcPr>
                  <w:tcW w:w="2187" w:type="pct"/>
                  <w:vAlign w:val="center"/>
                </w:tcPr>
                <w:p w14:paraId="4FF9B62C" w14:textId="77777777" w:rsidR="00B2121F" w:rsidRPr="00F42E63" w:rsidRDefault="00B2121F" w:rsidP="00B505D4">
                  <w:pPr>
                    <w:spacing w:after="0" w:line="259" w:lineRule="auto"/>
                    <w:jc w:val="left"/>
                    <w:rPr>
                      <w:rFonts w:eastAsia="Calibri" w:cs="Segoe UI"/>
                      <w:sz w:val="16"/>
                      <w:szCs w:val="16"/>
                    </w:rPr>
                  </w:pPr>
                  <w:r w:rsidRPr="00F42E63">
                    <w:rPr>
                      <w:rFonts w:eastAsia="Calibri" w:cs="Segoe UI"/>
                      <w:sz w:val="16"/>
                      <w:szCs w:val="16"/>
                    </w:rPr>
                    <w:t>(+) Predpokladané konsolidované daňové príjmy bez jednorazových, cyklu a samospráv</w:t>
                  </w:r>
                </w:p>
              </w:tc>
              <w:tc>
                <w:tcPr>
                  <w:tcW w:w="938" w:type="pct"/>
                  <w:vAlign w:val="center"/>
                </w:tcPr>
                <w:p w14:paraId="39CE996A"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37 758 057 838</w:t>
                  </w:r>
                </w:p>
              </w:tc>
              <w:tc>
                <w:tcPr>
                  <w:tcW w:w="938" w:type="pct"/>
                  <w:vAlign w:val="center"/>
                </w:tcPr>
                <w:p w14:paraId="45E052C5"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40 241 810 335</w:t>
                  </w:r>
                </w:p>
              </w:tc>
              <w:tc>
                <w:tcPr>
                  <w:tcW w:w="936" w:type="pct"/>
                  <w:shd w:val="clear" w:color="auto" w:fill="auto"/>
                  <w:vAlign w:val="center"/>
                </w:tcPr>
                <w:p w14:paraId="49D4328C"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42 113 745 137</w:t>
                  </w:r>
                </w:p>
              </w:tc>
            </w:tr>
            <w:tr w:rsidR="00B2121F" w:rsidRPr="00F42E63" w14:paraId="51677673" w14:textId="77777777" w:rsidTr="00B505D4">
              <w:trPr>
                <w:trHeight w:val="283"/>
                <w:jc w:val="center"/>
              </w:trPr>
              <w:tc>
                <w:tcPr>
                  <w:tcW w:w="2187" w:type="pct"/>
                  <w:vAlign w:val="center"/>
                </w:tcPr>
                <w:p w14:paraId="6A214E30" w14:textId="77777777" w:rsidR="00B2121F" w:rsidRPr="00F42E63" w:rsidRDefault="00B2121F" w:rsidP="00B505D4">
                  <w:pPr>
                    <w:spacing w:after="0" w:line="259" w:lineRule="auto"/>
                    <w:jc w:val="left"/>
                    <w:rPr>
                      <w:rFonts w:eastAsia="Calibri" w:cs="Segoe UI"/>
                      <w:sz w:val="16"/>
                      <w:szCs w:val="16"/>
                    </w:rPr>
                  </w:pPr>
                  <w:r w:rsidRPr="00F42E63">
                    <w:rPr>
                      <w:rFonts w:eastAsia="Calibri" w:cs="Segoe UI"/>
                      <w:sz w:val="16"/>
                      <w:szCs w:val="16"/>
                    </w:rPr>
                    <w:t>(+) Predpokladané konsolidované nedaňové príjmy bez jednorazových, EU fondov, POO a samospráv</w:t>
                  </w:r>
                </w:p>
              </w:tc>
              <w:tc>
                <w:tcPr>
                  <w:tcW w:w="938" w:type="pct"/>
                  <w:vAlign w:val="center"/>
                </w:tcPr>
                <w:p w14:paraId="1AC18372"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3 107 974 342</w:t>
                  </w:r>
                </w:p>
              </w:tc>
              <w:tc>
                <w:tcPr>
                  <w:tcW w:w="938" w:type="pct"/>
                  <w:vAlign w:val="center"/>
                </w:tcPr>
                <w:p w14:paraId="0CDC777F"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2 999 288 088</w:t>
                  </w:r>
                </w:p>
              </w:tc>
              <w:tc>
                <w:tcPr>
                  <w:tcW w:w="936" w:type="pct"/>
                  <w:shd w:val="clear" w:color="auto" w:fill="auto"/>
                  <w:vAlign w:val="center"/>
                </w:tcPr>
                <w:p w14:paraId="00E0F6C4"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3 045 913 454</w:t>
                  </w:r>
                </w:p>
              </w:tc>
            </w:tr>
            <w:tr w:rsidR="00B2121F" w:rsidRPr="00F42E63" w14:paraId="34811CE9" w14:textId="77777777" w:rsidTr="00B505D4">
              <w:trPr>
                <w:trHeight w:val="283"/>
                <w:jc w:val="center"/>
              </w:trPr>
              <w:tc>
                <w:tcPr>
                  <w:tcW w:w="2187" w:type="pct"/>
                  <w:vAlign w:val="center"/>
                </w:tcPr>
                <w:p w14:paraId="0937EAEE" w14:textId="77777777" w:rsidR="00B2121F" w:rsidRPr="00F42E63" w:rsidRDefault="00B2121F" w:rsidP="00B505D4">
                  <w:pPr>
                    <w:spacing w:after="0" w:line="259" w:lineRule="auto"/>
                    <w:rPr>
                      <w:rFonts w:eastAsia="Calibri" w:cs="Segoe UI"/>
                      <w:b/>
                      <w:sz w:val="16"/>
                      <w:szCs w:val="16"/>
                    </w:rPr>
                  </w:pPr>
                  <w:r w:rsidRPr="00F42E63">
                    <w:rPr>
                      <w:rFonts w:eastAsia="Calibri" w:cs="Segoe UI"/>
                      <w:b/>
                      <w:sz w:val="16"/>
                      <w:szCs w:val="16"/>
                    </w:rPr>
                    <w:t>Limit verejných výdavkov (podľa ods. 3)</w:t>
                  </w:r>
                </w:p>
              </w:tc>
              <w:tc>
                <w:tcPr>
                  <w:tcW w:w="938" w:type="pct"/>
                  <w:vAlign w:val="center"/>
                </w:tcPr>
                <w:p w14:paraId="413C6089" w14:textId="77777777" w:rsidR="00B2121F" w:rsidRPr="00F42E63" w:rsidRDefault="00B2121F" w:rsidP="00B505D4">
                  <w:pPr>
                    <w:spacing w:after="0" w:line="259" w:lineRule="auto"/>
                    <w:jc w:val="right"/>
                    <w:rPr>
                      <w:rFonts w:eastAsia="Calibri" w:cs="Segoe UI"/>
                      <w:b/>
                      <w:sz w:val="16"/>
                      <w:szCs w:val="16"/>
                    </w:rPr>
                  </w:pPr>
                  <w:r w:rsidRPr="00F42E63">
                    <w:rPr>
                      <w:rFonts w:eastAsia="Calibri" w:cs="Segoe UI"/>
                      <w:b/>
                      <w:sz w:val="16"/>
                      <w:szCs w:val="16"/>
                    </w:rPr>
                    <w:t>41 321 154 940</w:t>
                  </w:r>
                </w:p>
              </w:tc>
              <w:tc>
                <w:tcPr>
                  <w:tcW w:w="938" w:type="pct"/>
                  <w:vAlign w:val="center"/>
                </w:tcPr>
                <w:p w14:paraId="44504AD3" w14:textId="77777777" w:rsidR="00B2121F" w:rsidRPr="00F42E63" w:rsidRDefault="00B2121F" w:rsidP="00B505D4">
                  <w:pPr>
                    <w:spacing w:after="0" w:line="259" w:lineRule="auto"/>
                    <w:jc w:val="right"/>
                    <w:rPr>
                      <w:rFonts w:eastAsia="Calibri" w:cs="Segoe UI"/>
                      <w:b/>
                      <w:sz w:val="16"/>
                      <w:szCs w:val="16"/>
                    </w:rPr>
                  </w:pPr>
                  <w:r w:rsidRPr="00F42E63">
                    <w:rPr>
                      <w:rFonts w:eastAsia="Calibri" w:cs="Segoe UI"/>
                      <w:b/>
                      <w:sz w:val="16"/>
                      <w:szCs w:val="16"/>
                    </w:rPr>
                    <w:t>44 309 099 762</w:t>
                  </w:r>
                </w:p>
              </w:tc>
              <w:tc>
                <w:tcPr>
                  <w:tcW w:w="936" w:type="pct"/>
                  <w:shd w:val="clear" w:color="auto" w:fill="auto"/>
                  <w:vAlign w:val="center"/>
                </w:tcPr>
                <w:p w14:paraId="57535F6F" w14:textId="77777777" w:rsidR="00B2121F" w:rsidRPr="00F42E63" w:rsidRDefault="00B2121F" w:rsidP="00B505D4">
                  <w:pPr>
                    <w:spacing w:after="0" w:line="259" w:lineRule="auto"/>
                    <w:jc w:val="right"/>
                    <w:rPr>
                      <w:rFonts w:eastAsia="Calibri" w:cs="Segoe UI"/>
                      <w:b/>
                      <w:sz w:val="16"/>
                      <w:szCs w:val="16"/>
                    </w:rPr>
                  </w:pPr>
                  <w:r w:rsidRPr="00F42E63">
                    <w:rPr>
                      <w:rFonts w:eastAsia="Calibri" w:cs="Segoe UI"/>
                      <w:b/>
                      <w:sz w:val="16"/>
                      <w:szCs w:val="16"/>
                    </w:rPr>
                    <w:t>45 621 482 931</w:t>
                  </w:r>
                </w:p>
              </w:tc>
            </w:tr>
            <w:tr w:rsidR="00B2121F" w:rsidRPr="00F42E63" w14:paraId="134CD440" w14:textId="77777777" w:rsidTr="00B505D4">
              <w:trPr>
                <w:trHeight w:val="283"/>
                <w:jc w:val="center"/>
              </w:trPr>
              <w:tc>
                <w:tcPr>
                  <w:tcW w:w="2187" w:type="pct"/>
                  <w:vAlign w:val="center"/>
                </w:tcPr>
                <w:p w14:paraId="583EEC96" w14:textId="77777777" w:rsidR="00B2121F" w:rsidRPr="00F42E63" w:rsidRDefault="00B2121F" w:rsidP="00B505D4">
                  <w:pPr>
                    <w:spacing w:after="0" w:line="259" w:lineRule="auto"/>
                    <w:rPr>
                      <w:rFonts w:eastAsia="Calibri" w:cs="Segoe UI"/>
                      <w:i/>
                      <w:sz w:val="16"/>
                      <w:szCs w:val="16"/>
                    </w:rPr>
                  </w:pPr>
                  <w:r w:rsidRPr="00F42E63">
                    <w:rPr>
                      <w:rFonts w:eastAsia="Calibri" w:cs="Segoe UI"/>
                      <w:i/>
                      <w:sz w:val="16"/>
                      <w:szCs w:val="16"/>
                    </w:rPr>
                    <w:t>Jednorazové výdavky mimo limitu zahrnuté v podkladových údajoch</w:t>
                  </w:r>
                </w:p>
              </w:tc>
              <w:tc>
                <w:tcPr>
                  <w:tcW w:w="938" w:type="pct"/>
                  <w:vAlign w:val="center"/>
                </w:tcPr>
                <w:p w14:paraId="01071D73"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3 762 232 059</w:t>
                  </w:r>
                </w:p>
              </w:tc>
              <w:tc>
                <w:tcPr>
                  <w:tcW w:w="938" w:type="pct"/>
                  <w:vAlign w:val="center"/>
                </w:tcPr>
                <w:p w14:paraId="090167EC"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12 232 059</w:t>
                  </w:r>
                </w:p>
              </w:tc>
              <w:tc>
                <w:tcPr>
                  <w:tcW w:w="936" w:type="pct"/>
                  <w:shd w:val="clear" w:color="auto" w:fill="auto"/>
                  <w:vAlign w:val="center"/>
                </w:tcPr>
                <w:p w14:paraId="15FC837B"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12 232 059</w:t>
                  </w:r>
                </w:p>
              </w:tc>
            </w:tr>
            <w:tr w:rsidR="00B2121F" w:rsidRPr="00F42E63" w14:paraId="12A186B5" w14:textId="77777777" w:rsidTr="00B505D4">
              <w:trPr>
                <w:trHeight w:val="283"/>
                <w:jc w:val="center"/>
              </w:trPr>
              <w:tc>
                <w:tcPr>
                  <w:tcW w:w="2187" w:type="pct"/>
                  <w:vAlign w:val="center"/>
                </w:tcPr>
                <w:p w14:paraId="05774CD2" w14:textId="77777777" w:rsidR="00B2121F" w:rsidRPr="00F42E63" w:rsidRDefault="00B2121F" w:rsidP="00B505D4">
                  <w:pPr>
                    <w:spacing w:after="0" w:line="259" w:lineRule="auto"/>
                    <w:rPr>
                      <w:rFonts w:eastAsia="Calibri" w:cs="Segoe UI"/>
                      <w:i/>
                      <w:sz w:val="16"/>
                      <w:szCs w:val="16"/>
                    </w:rPr>
                  </w:pPr>
                  <w:r w:rsidRPr="00F42E63">
                    <w:rPr>
                      <w:rFonts w:eastAsia="Calibri" w:cs="Segoe UI"/>
                      <w:i/>
                      <w:sz w:val="16"/>
                      <w:szCs w:val="16"/>
                    </w:rPr>
                    <w:t xml:space="preserve"> - výdavky súvisiace s pandémiou</w:t>
                  </w:r>
                </w:p>
              </w:tc>
              <w:tc>
                <w:tcPr>
                  <w:tcW w:w="938" w:type="pct"/>
                  <w:vAlign w:val="center"/>
                </w:tcPr>
                <w:p w14:paraId="4CCABA8A"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250 000 000</w:t>
                  </w:r>
                </w:p>
              </w:tc>
              <w:tc>
                <w:tcPr>
                  <w:tcW w:w="938" w:type="pct"/>
                  <w:vAlign w:val="center"/>
                </w:tcPr>
                <w:p w14:paraId="186322B4"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0</w:t>
                  </w:r>
                </w:p>
              </w:tc>
              <w:tc>
                <w:tcPr>
                  <w:tcW w:w="936" w:type="pct"/>
                  <w:shd w:val="clear" w:color="auto" w:fill="auto"/>
                  <w:vAlign w:val="center"/>
                </w:tcPr>
                <w:p w14:paraId="2E371807"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0</w:t>
                  </w:r>
                </w:p>
              </w:tc>
            </w:tr>
            <w:tr w:rsidR="00B2121F" w:rsidRPr="00F42E63" w14:paraId="77ACF74B" w14:textId="77777777" w:rsidTr="00B505D4">
              <w:trPr>
                <w:trHeight w:val="283"/>
                <w:jc w:val="center"/>
              </w:trPr>
              <w:tc>
                <w:tcPr>
                  <w:tcW w:w="2187" w:type="pct"/>
                  <w:vAlign w:val="center"/>
                </w:tcPr>
                <w:p w14:paraId="59B99024" w14:textId="77777777" w:rsidR="00B2121F" w:rsidRPr="00F42E63" w:rsidRDefault="00B2121F" w:rsidP="00B505D4">
                  <w:pPr>
                    <w:spacing w:after="0" w:line="259" w:lineRule="auto"/>
                    <w:rPr>
                      <w:rFonts w:eastAsia="Calibri" w:cs="Segoe UI"/>
                      <w:i/>
                      <w:sz w:val="16"/>
                      <w:szCs w:val="16"/>
                    </w:rPr>
                  </w:pPr>
                  <w:r w:rsidRPr="00F42E63">
                    <w:rPr>
                      <w:rFonts w:eastAsia="Calibri" w:cs="Segoe UI"/>
                      <w:i/>
                      <w:sz w:val="16"/>
                      <w:szCs w:val="16"/>
                    </w:rPr>
                    <w:t xml:space="preserve"> - výdavky súvisiace s pomocou Ukrajine</w:t>
                  </w:r>
                </w:p>
              </w:tc>
              <w:tc>
                <w:tcPr>
                  <w:tcW w:w="938" w:type="pct"/>
                  <w:vAlign w:val="center"/>
                </w:tcPr>
                <w:p w14:paraId="3EDB8C5F"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100 000 000</w:t>
                  </w:r>
                </w:p>
              </w:tc>
              <w:tc>
                <w:tcPr>
                  <w:tcW w:w="938" w:type="pct"/>
                  <w:vAlign w:val="center"/>
                </w:tcPr>
                <w:p w14:paraId="07A4E372"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0</w:t>
                  </w:r>
                </w:p>
              </w:tc>
              <w:tc>
                <w:tcPr>
                  <w:tcW w:w="936" w:type="pct"/>
                  <w:shd w:val="clear" w:color="auto" w:fill="auto"/>
                  <w:vAlign w:val="center"/>
                </w:tcPr>
                <w:p w14:paraId="5BB6321A"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0</w:t>
                  </w:r>
                </w:p>
              </w:tc>
            </w:tr>
            <w:tr w:rsidR="00B2121F" w:rsidRPr="00F42E63" w14:paraId="225EB94C" w14:textId="77777777" w:rsidTr="00B505D4">
              <w:trPr>
                <w:trHeight w:val="283"/>
                <w:jc w:val="center"/>
              </w:trPr>
              <w:tc>
                <w:tcPr>
                  <w:tcW w:w="2187" w:type="pct"/>
                  <w:tcBorders>
                    <w:bottom w:val="single" w:sz="4" w:space="0" w:color="314364"/>
                  </w:tcBorders>
                  <w:vAlign w:val="center"/>
                </w:tcPr>
                <w:p w14:paraId="4197EF02" w14:textId="77777777" w:rsidR="00B2121F" w:rsidRPr="00F42E63" w:rsidRDefault="00B2121F" w:rsidP="00B505D4">
                  <w:pPr>
                    <w:spacing w:after="0" w:line="259" w:lineRule="auto"/>
                    <w:rPr>
                      <w:rFonts w:eastAsia="Calibri" w:cs="Segoe UI"/>
                      <w:i/>
                      <w:sz w:val="16"/>
                      <w:szCs w:val="16"/>
                    </w:rPr>
                  </w:pPr>
                  <w:r w:rsidRPr="00F42E63">
                    <w:rPr>
                      <w:rFonts w:eastAsia="Calibri" w:cs="Segoe UI"/>
                      <w:i/>
                      <w:sz w:val="16"/>
                      <w:szCs w:val="16"/>
                    </w:rPr>
                    <w:t xml:space="preserve"> - výdavky súvisiace s energetickou krízou</w:t>
                  </w:r>
                </w:p>
              </w:tc>
              <w:tc>
                <w:tcPr>
                  <w:tcW w:w="938" w:type="pct"/>
                  <w:tcBorders>
                    <w:bottom w:val="single" w:sz="4" w:space="0" w:color="314364"/>
                  </w:tcBorders>
                  <w:vAlign w:val="center"/>
                </w:tcPr>
                <w:p w14:paraId="7CB8F5D1"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3 400 000 000</w:t>
                  </w:r>
                </w:p>
              </w:tc>
              <w:tc>
                <w:tcPr>
                  <w:tcW w:w="938" w:type="pct"/>
                  <w:tcBorders>
                    <w:bottom w:val="single" w:sz="4" w:space="0" w:color="314364"/>
                  </w:tcBorders>
                  <w:vAlign w:val="center"/>
                </w:tcPr>
                <w:p w14:paraId="5EBB47D0"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0</w:t>
                  </w:r>
                </w:p>
              </w:tc>
              <w:tc>
                <w:tcPr>
                  <w:tcW w:w="936" w:type="pct"/>
                  <w:tcBorders>
                    <w:bottom w:val="single" w:sz="4" w:space="0" w:color="314364"/>
                  </w:tcBorders>
                  <w:shd w:val="clear" w:color="auto" w:fill="auto"/>
                  <w:vAlign w:val="center"/>
                </w:tcPr>
                <w:p w14:paraId="51BEDE30" w14:textId="77777777" w:rsidR="00B2121F" w:rsidRPr="00F42E63" w:rsidRDefault="00B2121F" w:rsidP="00B505D4">
                  <w:pPr>
                    <w:spacing w:after="0" w:line="259" w:lineRule="auto"/>
                    <w:jc w:val="right"/>
                    <w:rPr>
                      <w:rFonts w:eastAsia="Calibri" w:cs="Segoe UI"/>
                      <w:sz w:val="16"/>
                      <w:szCs w:val="16"/>
                    </w:rPr>
                  </w:pPr>
                  <w:r w:rsidRPr="00F42E63">
                    <w:rPr>
                      <w:rFonts w:eastAsia="Calibri" w:cs="Segoe UI"/>
                      <w:sz w:val="16"/>
                      <w:szCs w:val="16"/>
                    </w:rPr>
                    <w:t>0</w:t>
                  </w:r>
                </w:p>
              </w:tc>
            </w:tr>
          </w:tbl>
          <w:p w14:paraId="26F754A1" w14:textId="77777777" w:rsidR="00B2121F" w:rsidRPr="00B16D30" w:rsidRDefault="00B2121F" w:rsidP="00B505D4">
            <w:pPr>
              <w:rPr>
                <w:rFonts w:cs="Times New Roman"/>
                <w:i/>
                <w:color w:val="314364"/>
                <w:sz w:val="16"/>
              </w:rPr>
            </w:pPr>
            <w:r w:rsidRPr="00F42E63">
              <w:rPr>
                <w:rFonts w:cs="Times New Roman"/>
                <w:i/>
                <w:color w:val="314364"/>
                <w:sz w:val="16"/>
              </w:rPr>
              <w:t>Zdroj: RRZ</w:t>
            </w:r>
          </w:p>
        </w:tc>
      </w:tr>
    </w:tbl>
    <w:p w14:paraId="754B57D8" w14:textId="4F81F6A9" w:rsidR="00C30CC5" w:rsidRDefault="00C30CC5" w:rsidP="00C30CC5">
      <w:pPr>
        <w:pStyle w:val="Nadpis1"/>
      </w:pPr>
      <w:bookmarkStart w:id="16" w:name="_Toc153784697"/>
      <w:r>
        <w:lastRenderedPageBreak/>
        <w:t>Rozpočtové vzťahy SR a</w:t>
      </w:r>
      <w:r w:rsidR="00865D0E">
        <w:t> </w:t>
      </w:r>
      <w:r>
        <w:t>EÚ</w:t>
      </w:r>
      <w:bookmarkEnd w:id="15"/>
      <w:bookmarkEnd w:id="16"/>
    </w:p>
    <w:p w14:paraId="2CB82916" w14:textId="66FCB77C" w:rsidR="00204DCA" w:rsidRDefault="003C5000" w:rsidP="00204DCA">
      <w:pPr>
        <w:pStyle w:val="Textpoznmkypodiarou"/>
        <w:spacing w:after="120" w:line="276" w:lineRule="auto"/>
        <w:rPr>
          <w:rFonts w:cs="Segoe UI"/>
          <w:b/>
          <w:color w:val="000000" w:themeColor="text1"/>
          <w:sz w:val="20"/>
        </w:rPr>
      </w:pPr>
      <w:bookmarkStart w:id="17" w:name="_Toc153363158"/>
      <w:bookmarkStart w:id="18" w:name="_Toc86396377"/>
      <w:bookmarkEnd w:id="17"/>
      <w:r w:rsidRPr="006A1463">
        <w:rPr>
          <w:b/>
          <w:sz w:val="20"/>
        </w:rPr>
        <w:t>Nová vláda plánuje</w:t>
      </w:r>
      <w:r>
        <w:rPr>
          <w:b/>
          <w:sz w:val="20"/>
        </w:rPr>
        <w:t xml:space="preserve"> v roku 2024</w:t>
      </w:r>
      <w:r w:rsidRPr="006A1463">
        <w:rPr>
          <w:b/>
          <w:sz w:val="20"/>
        </w:rPr>
        <w:t xml:space="preserve"> využiť aj v</w:t>
      </w:r>
      <w:r w:rsidR="00BE3E7F">
        <w:rPr>
          <w:b/>
          <w:sz w:val="20"/>
        </w:rPr>
        <w:t>ýznamný</w:t>
      </w:r>
      <w:r w:rsidRPr="006A1463">
        <w:rPr>
          <w:b/>
          <w:sz w:val="20"/>
        </w:rPr>
        <w:t xml:space="preserve"> objem prostriedkov z európskych štrukturálnych a investičných fondov</w:t>
      </w:r>
      <w:r>
        <w:rPr>
          <w:b/>
          <w:sz w:val="20"/>
        </w:rPr>
        <w:t xml:space="preserve"> – </w:t>
      </w:r>
      <w:r w:rsidRPr="006A1463">
        <w:rPr>
          <w:rFonts w:cs="Segoe UI"/>
          <w:b/>
          <w:color w:val="000000" w:themeColor="text1"/>
          <w:sz w:val="20"/>
        </w:rPr>
        <w:t>1,237 mld. eur</w:t>
      </w:r>
      <w:r>
        <w:rPr>
          <w:rFonts w:cs="Segoe UI"/>
          <w:b/>
          <w:color w:val="000000" w:themeColor="text1"/>
          <w:sz w:val="20"/>
        </w:rPr>
        <w:t>, ako aj prostriedky z plánu obnovy a odolnosti, čo spolu</w:t>
      </w:r>
      <w:r w:rsidRPr="006A1463">
        <w:rPr>
          <w:rFonts w:cs="Segoe UI"/>
          <w:b/>
          <w:color w:val="000000" w:themeColor="text1"/>
          <w:sz w:val="20"/>
        </w:rPr>
        <w:t xml:space="preserve"> predstavuje 2,452 mld. eur </w:t>
      </w:r>
      <w:r w:rsidRPr="006A1463">
        <w:rPr>
          <w:rFonts w:cs="Segoe UI"/>
          <w:color w:val="000000" w:themeColor="text1"/>
          <w:sz w:val="20"/>
        </w:rPr>
        <w:t>(tabuľka 4)</w:t>
      </w:r>
      <w:r w:rsidRPr="006A1463">
        <w:rPr>
          <w:rFonts w:cs="Segoe UI"/>
          <w:b/>
          <w:color w:val="000000" w:themeColor="text1"/>
          <w:sz w:val="20"/>
        </w:rPr>
        <w:t>.</w:t>
      </w:r>
      <w:r w:rsidR="00204DCA">
        <w:rPr>
          <w:rFonts w:cs="Segoe UI"/>
          <w:b/>
          <w:color w:val="000000" w:themeColor="text1"/>
          <w:sz w:val="20"/>
        </w:rPr>
        <w:t xml:space="preserve"> </w:t>
      </w:r>
      <w:r w:rsidR="00204DCA" w:rsidRPr="001207E3">
        <w:rPr>
          <w:rFonts w:cs="Segoe UI"/>
          <w:b/>
          <w:color w:val="000000" w:themeColor="text1"/>
          <w:sz w:val="20"/>
        </w:rPr>
        <w:t>Celková výška odvodov a príspevkov Slovenska do všeobecného rozpočtu EÚ na rok 2024 je 1,205 mld. eur. Z toho vyplýva, že Slovensko bude aj v budúcom roku čistým prijímateľom finančných prostriedkov z rozpočtu EÚ.</w:t>
      </w:r>
    </w:p>
    <w:p w14:paraId="40A2B5D5" w14:textId="77777777" w:rsidR="003C5000" w:rsidRDefault="003C5000" w:rsidP="003C5000">
      <w:pPr>
        <w:pStyle w:val="Popis"/>
        <w:keepNext/>
      </w:pPr>
      <w:r>
        <w:t xml:space="preserve">Tabuľka </w:t>
      </w:r>
      <w:r>
        <w:rPr>
          <w:noProof/>
        </w:rPr>
        <w:t>4:</w:t>
      </w:r>
      <w:r>
        <w:t xml:space="preserve"> </w:t>
      </w:r>
      <w:r w:rsidRPr="003176E2">
        <w:t>Rozpočtové vzťahy medzi S</w:t>
      </w:r>
      <w:r>
        <w:t>R</w:t>
      </w:r>
      <w:r w:rsidRPr="003176E2">
        <w:t xml:space="preserve"> a EÚ v návrhu rozpočtu na rok 2024</w:t>
      </w:r>
      <w:r>
        <w:t xml:space="preserve"> (v mil. eur)</w:t>
      </w:r>
    </w:p>
    <w:tbl>
      <w:tblPr>
        <w:tblW w:w="9072" w:type="dxa"/>
        <w:tblCellMar>
          <w:left w:w="70" w:type="dxa"/>
          <w:right w:w="70" w:type="dxa"/>
        </w:tblCellMar>
        <w:tblLook w:val="04A0" w:firstRow="1" w:lastRow="0" w:firstColumn="1" w:lastColumn="0" w:noHBand="0" w:noVBand="1"/>
      </w:tblPr>
      <w:tblGrid>
        <w:gridCol w:w="4111"/>
        <w:gridCol w:w="1276"/>
        <w:gridCol w:w="1393"/>
        <w:gridCol w:w="2292"/>
      </w:tblGrid>
      <w:tr w:rsidR="003C5000" w:rsidRPr="00165BE0" w14:paraId="5697AAD7" w14:textId="77777777" w:rsidTr="00B505D4">
        <w:trPr>
          <w:trHeight w:val="283"/>
        </w:trPr>
        <w:tc>
          <w:tcPr>
            <w:tcW w:w="4111" w:type="dxa"/>
            <w:shd w:val="clear" w:color="000000" w:fill="314364"/>
            <w:vAlign w:val="center"/>
            <w:hideMark/>
          </w:tcPr>
          <w:p w14:paraId="3D267489" w14:textId="77777777" w:rsidR="003C5000" w:rsidRPr="00C47238" w:rsidRDefault="003C5000" w:rsidP="00B505D4">
            <w:pPr>
              <w:spacing w:after="0" w:line="240" w:lineRule="auto"/>
              <w:jc w:val="center"/>
              <w:rPr>
                <w:rFonts w:eastAsia="Times New Roman" w:cs="Segoe UI"/>
                <w:b/>
                <w:bCs/>
                <w:color w:val="FFFFFF"/>
                <w:sz w:val="18"/>
                <w:szCs w:val="18"/>
                <w:lang w:eastAsia="sk-SK"/>
              </w:rPr>
            </w:pPr>
            <w:r w:rsidRPr="00C47238">
              <w:rPr>
                <w:rFonts w:eastAsia="Times New Roman" w:cs="Segoe UI"/>
                <w:b/>
                <w:bCs/>
                <w:color w:val="FFFFFF"/>
                <w:sz w:val="18"/>
                <w:szCs w:val="18"/>
                <w:lang w:eastAsia="sk-SK"/>
              </w:rPr>
              <w:t> </w:t>
            </w:r>
          </w:p>
        </w:tc>
        <w:tc>
          <w:tcPr>
            <w:tcW w:w="2669" w:type="dxa"/>
            <w:gridSpan w:val="2"/>
            <w:shd w:val="clear" w:color="000000" w:fill="314364"/>
            <w:vAlign w:val="center"/>
            <w:hideMark/>
          </w:tcPr>
          <w:p w14:paraId="0751828A" w14:textId="77777777" w:rsidR="003C5000" w:rsidRPr="00C47238" w:rsidRDefault="003C5000" w:rsidP="00B505D4">
            <w:pPr>
              <w:spacing w:after="0" w:line="240" w:lineRule="auto"/>
              <w:ind w:left="219"/>
              <w:jc w:val="center"/>
              <w:rPr>
                <w:rFonts w:eastAsia="Times New Roman" w:cs="Segoe UI"/>
                <w:b/>
                <w:bCs/>
                <w:color w:val="FFFFFF"/>
                <w:sz w:val="18"/>
                <w:szCs w:val="18"/>
                <w:lang w:eastAsia="sk-SK"/>
              </w:rPr>
            </w:pPr>
            <w:r w:rsidRPr="00C47238">
              <w:rPr>
                <w:rFonts w:eastAsia="Times New Roman" w:cs="Segoe UI"/>
                <w:b/>
                <w:bCs/>
                <w:color w:val="FFFFFF"/>
                <w:sz w:val="18"/>
                <w:szCs w:val="18"/>
                <w:lang w:eastAsia="sk-SK"/>
              </w:rPr>
              <w:t>Prostriedky z rozpočtu EÚ</w:t>
            </w:r>
          </w:p>
        </w:tc>
        <w:tc>
          <w:tcPr>
            <w:tcW w:w="2292" w:type="dxa"/>
            <w:shd w:val="clear" w:color="000000" w:fill="314364"/>
            <w:vAlign w:val="center"/>
            <w:hideMark/>
          </w:tcPr>
          <w:p w14:paraId="5D09A8A5" w14:textId="77777777" w:rsidR="003C5000" w:rsidRPr="00C47238" w:rsidRDefault="003C5000" w:rsidP="00B505D4">
            <w:pPr>
              <w:spacing w:after="0" w:line="240" w:lineRule="auto"/>
              <w:jc w:val="center"/>
              <w:rPr>
                <w:rFonts w:eastAsia="Times New Roman" w:cs="Segoe UI"/>
                <w:b/>
                <w:bCs/>
                <w:color w:val="FFFFFF"/>
                <w:sz w:val="18"/>
                <w:szCs w:val="18"/>
                <w:lang w:eastAsia="sk-SK"/>
              </w:rPr>
            </w:pPr>
            <w:r w:rsidRPr="00C47238">
              <w:rPr>
                <w:rFonts w:eastAsia="Times New Roman" w:cs="Segoe UI"/>
                <w:b/>
                <w:bCs/>
                <w:color w:val="FFFFFF"/>
                <w:sz w:val="18"/>
                <w:szCs w:val="18"/>
                <w:lang w:eastAsia="sk-SK"/>
              </w:rPr>
              <w:t>Prostriedky z POO</w:t>
            </w:r>
          </w:p>
        </w:tc>
      </w:tr>
      <w:tr w:rsidR="003C5000" w:rsidRPr="00165BE0" w14:paraId="605B7539" w14:textId="77777777" w:rsidTr="00B505D4">
        <w:trPr>
          <w:trHeight w:val="283"/>
        </w:trPr>
        <w:tc>
          <w:tcPr>
            <w:tcW w:w="4111" w:type="dxa"/>
            <w:shd w:val="clear" w:color="000000" w:fill="314364"/>
            <w:vAlign w:val="center"/>
            <w:hideMark/>
          </w:tcPr>
          <w:p w14:paraId="1381DF56" w14:textId="77777777" w:rsidR="003C5000" w:rsidRPr="00C47238" w:rsidRDefault="003C5000" w:rsidP="00B505D4">
            <w:pPr>
              <w:spacing w:after="0" w:line="240" w:lineRule="auto"/>
              <w:jc w:val="center"/>
              <w:rPr>
                <w:rFonts w:eastAsia="Times New Roman" w:cs="Segoe UI"/>
                <w:b/>
                <w:bCs/>
                <w:color w:val="FFFFFF"/>
                <w:sz w:val="18"/>
                <w:szCs w:val="18"/>
                <w:lang w:eastAsia="sk-SK"/>
              </w:rPr>
            </w:pPr>
            <w:r w:rsidRPr="00C47238">
              <w:rPr>
                <w:rFonts w:eastAsia="Times New Roman" w:cs="Segoe UI"/>
                <w:b/>
                <w:bCs/>
                <w:color w:val="FFFFFF"/>
                <w:sz w:val="18"/>
                <w:szCs w:val="18"/>
                <w:lang w:eastAsia="sk-SK"/>
              </w:rPr>
              <w:t> </w:t>
            </w:r>
          </w:p>
        </w:tc>
        <w:tc>
          <w:tcPr>
            <w:tcW w:w="1276" w:type="dxa"/>
            <w:shd w:val="clear" w:color="000000" w:fill="314364"/>
            <w:vAlign w:val="center"/>
            <w:hideMark/>
          </w:tcPr>
          <w:p w14:paraId="7861A8ED" w14:textId="77777777" w:rsidR="003C5000" w:rsidRPr="00C47238" w:rsidRDefault="003C5000" w:rsidP="00B505D4">
            <w:pPr>
              <w:spacing w:after="0" w:line="240" w:lineRule="auto"/>
              <w:ind w:left="320"/>
              <w:jc w:val="center"/>
              <w:rPr>
                <w:rFonts w:eastAsia="Times New Roman" w:cs="Segoe UI"/>
                <w:b/>
                <w:bCs/>
                <w:color w:val="FFFFFF"/>
                <w:sz w:val="18"/>
                <w:szCs w:val="18"/>
                <w:lang w:eastAsia="sk-SK"/>
              </w:rPr>
            </w:pPr>
            <w:r w:rsidRPr="00C47238">
              <w:rPr>
                <w:rFonts w:eastAsia="Times New Roman" w:cs="Segoe UI"/>
                <w:b/>
                <w:bCs/>
                <w:color w:val="FFFFFF"/>
                <w:sz w:val="18"/>
                <w:szCs w:val="18"/>
                <w:lang w:eastAsia="sk-SK"/>
              </w:rPr>
              <w:t>3 PO</w:t>
            </w:r>
          </w:p>
        </w:tc>
        <w:tc>
          <w:tcPr>
            <w:tcW w:w="1393" w:type="dxa"/>
            <w:shd w:val="clear" w:color="000000" w:fill="314364"/>
            <w:vAlign w:val="center"/>
            <w:hideMark/>
          </w:tcPr>
          <w:p w14:paraId="559A7F43" w14:textId="77777777" w:rsidR="003C5000" w:rsidRPr="00C47238" w:rsidRDefault="003C5000" w:rsidP="00B505D4">
            <w:pPr>
              <w:spacing w:after="0" w:line="240" w:lineRule="auto"/>
              <w:ind w:left="320"/>
              <w:jc w:val="center"/>
              <w:rPr>
                <w:rFonts w:eastAsia="Times New Roman" w:cs="Segoe UI"/>
                <w:b/>
                <w:bCs/>
                <w:color w:val="FFFFFF"/>
                <w:sz w:val="18"/>
                <w:szCs w:val="18"/>
                <w:lang w:eastAsia="sk-SK"/>
              </w:rPr>
            </w:pPr>
            <w:r w:rsidRPr="00C47238">
              <w:rPr>
                <w:rFonts w:eastAsia="Times New Roman" w:cs="Segoe UI"/>
                <w:b/>
                <w:bCs/>
                <w:color w:val="FFFFFF"/>
                <w:sz w:val="18"/>
                <w:szCs w:val="18"/>
                <w:lang w:eastAsia="sk-SK"/>
              </w:rPr>
              <w:t>4 PO</w:t>
            </w:r>
          </w:p>
        </w:tc>
        <w:tc>
          <w:tcPr>
            <w:tcW w:w="2292" w:type="dxa"/>
            <w:shd w:val="clear" w:color="000000" w:fill="314364"/>
            <w:vAlign w:val="center"/>
            <w:hideMark/>
          </w:tcPr>
          <w:p w14:paraId="23110E39" w14:textId="77777777" w:rsidR="003C5000" w:rsidRPr="00C47238" w:rsidRDefault="003C5000" w:rsidP="00B505D4">
            <w:pPr>
              <w:spacing w:after="0" w:line="240" w:lineRule="auto"/>
              <w:jc w:val="center"/>
              <w:rPr>
                <w:rFonts w:eastAsia="Times New Roman" w:cs="Segoe UI"/>
                <w:b/>
                <w:bCs/>
                <w:color w:val="FFFFFF"/>
                <w:sz w:val="18"/>
                <w:szCs w:val="18"/>
                <w:lang w:eastAsia="sk-SK"/>
              </w:rPr>
            </w:pPr>
          </w:p>
        </w:tc>
      </w:tr>
      <w:tr w:rsidR="003C5000" w:rsidRPr="00165BE0" w14:paraId="02D6AA43" w14:textId="77777777" w:rsidTr="00B505D4">
        <w:trPr>
          <w:trHeight w:val="283"/>
        </w:trPr>
        <w:tc>
          <w:tcPr>
            <w:tcW w:w="4111" w:type="dxa"/>
            <w:tcBorders>
              <w:left w:val="nil"/>
              <w:bottom w:val="nil"/>
              <w:right w:val="nil"/>
            </w:tcBorders>
            <w:shd w:val="clear" w:color="auto" w:fill="auto"/>
            <w:noWrap/>
            <w:vAlign w:val="center"/>
            <w:hideMark/>
          </w:tcPr>
          <w:p w14:paraId="2FAD07B7" w14:textId="77777777" w:rsidR="003C5000" w:rsidRPr="004139F4" w:rsidRDefault="003C5000" w:rsidP="00B505D4">
            <w:pPr>
              <w:spacing w:after="0" w:line="240" w:lineRule="auto"/>
              <w:jc w:val="left"/>
              <w:rPr>
                <w:rFonts w:eastAsia="Times New Roman" w:cs="Segoe UI"/>
                <w:color w:val="000000"/>
                <w:sz w:val="18"/>
                <w:szCs w:val="18"/>
                <w:lang w:eastAsia="sk-SK"/>
              </w:rPr>
            </w:pPr>
            <w:r w:rsidRPr="004139F4">
              <w:rPr>
                <w:rFonts w:eastAsia="Times New Roman" w:cs="Segoe UI"/>
                <w:color w:val="000000"/>
                <w:sz w:val="18"/>
                <w:szCs w:val="18"/>
                <w:lang w:eastAsia="sk-SK"/>
              </w:rPr>
              <w:t>Poľnohospodárske fondy</w:t>
            </w:r>
          </w:p>
        </w:tc>
        <w:tc>
          <w:tcPr>
            <w:tcW w:w="1276" w:type="dxa"/>
            <w:tcBorders>
              <w:left w:val="nil"/>
              <w:bottom w:val="nil"/>
              <w:right w:val="nil"/>
            </w:tcBorders>
            <w:shd w:val="clear" w:color="auto" w:fill="auto"/>
            <w:noWrap/>
            <w:vAlign w:val="center"/>
            <w:hideMark/>
          </w:tcPr>
          <w:p w14:paraId="1C0DC290" w14:textId="77777777" w:rsidR="003C5000" w:rsidRPr="004139F4" w:rsidRDefault="003C5000" w:rsidP="00B505D4">
            <w:pPr>
              <w:spacing w:after="0" w:line="240" w:lineRule="auto"/>
              <w:ind w:right="71"/>
              <w:jc w:val="right"/>
              <w:rPr>
                <w:rFonts w:eastAsia="Times New Roman" w:cs="Segoe UI"/>
                <w:color w:val="000000"/>
                <w:sz w:val="18"/>
                <w:szCs w:val="18"/>
                <w:lang w:eastAsia="sk-SK"/>
              </w:rPr>
            </w:pPr>
            <w:r w:rsidRPr="004139F4">
              <w:rPr>
                <w:rFonts w:eastAsia="Times New Roman" w:cs="Segoe UI"/>
                <w:color w:val="000000"/>
                <w:sz w:val="18"/>
                <w:szCs w:val="18"/>
                <w:lang w:eastAsia="sk-SK"/>
              </w:rPr>
              <w:t>115 166</w:t>
            </w:r>
          </w:p>
        </w:tc>
        <w:tc>
          <w:tcPr>
            <w:tcW w:w="1393" w:type="dxa"/>
            <w:tcBorders>
              <w:left w:val="nil"/>
              <w:bottom w:val="nil"/>
              <w:right w:val="nil"/>
            </w:tcBorders>
            <w:shd w:val="clear" w:color="auto" w:fill="auto"/>
            <w:noWrap/>
            <w:vAlign w:val="center"/>
            <w:hideMark/>
          </w:tcPr>
          <w:p w14:paraId="56EDC1F0" w14:textId="77777777" w:rsidR="003C5000" w:rsidRPr="004139F4" w:rsidRDefault="003C5000" w:rsidP="00B505D4">
            <w:pPr>
              <w:spacing w:after="0" w:line="240" w:lineRule="auto"/>
              <w:ind w:right="71"/>
              <w:jc w:val="right"/>
              <w:rPr>
                <w:rFonts w:eastAsia="Times New Roman" w:cs="Segoe UI"/>
                <w:color w:val="000000"/>
                <w:sz w:val="18"/>
                <w:szCs w:val="18"/>
                <w:lang w:eastAsia="sk-SK"/>
              </w:rPr>
            </w:pPr>
            <w:r w:rsidRPr="004139F4">
              <w:rPr>
                <w:rFonts w:eastAsia="Times New Roman" w:cs="Segoe UI"/>
                <w:color w:val="000000"/>
                <w:sz w:val="18"/>
                <w:szCs w:val="18"/>
                <w:lang w:eastAsia="sk-SK"/>
              </w:rPr>
              <w:t>641 727</w:t>
            </w:r>
          </w:p>
        </w:tc>
        <w:tc>
          <w:tcPr>
            <w:tcW w:w="2292" w:type="dxa"/>
            <w:tcBorders>
              <w:left w:val="nil"/>
              <w:bottom w:val="nil"/>
              <w:right w:val="nil"/>
            </w:tcBorders>
            <w:shd w:val="clear" w:color="auto" w:fill="auto"/>
            <w:noWrap/>
            <w:vAlign w:val="center"/>
            <w:hideMark/>
          </w:tcPr>
          <w:p w14:paraId="7A35F3CB" w14:textId="77777777" w:rsidR="003C5000" w:rsidRPr="004139F4" w:rsidRDefault="003C5000" w:rsidP="00B505D4">
            <w:pPr>
              <w:spacing w:after="0" w:line="240" w:lineRule="auto"/>
              <w:jc w:val="center"/>
              <w:rPr>
                <w:rFonts w:eastAsia="Times New Roman" w:cs="Segoe UI"/>
                <w:color w:val="000000"/>
                <w:sz w:val="18"/>
                <w:szCs w:val="18"/>
                <w:lang w:eastAsia="sk-SK"/>
              </w:rPr>
            </w:pPr>
            <w:r>
              <w:rPr>
                <w:rFonts w:eastAsia="Times New Roman" w:cs="Segoe UI"/>
                <w:color w:val="000000"/>
                <w:sz w:val="18"/>
                <w:szCs w:val="18"/>
                <w:lang w:eastAsia="sk-SK"/>
              </w:rPr>
              <w:t>-</w:t>
            </w:r>
          </w:p>
        </w:tc>
      </w:tr>
      <w:tr w:rsidR="003C5000" w:rsidRPr="00165BE0" w14:paraId="6C40150D" w14:textId="77777777" w:rsidTr="00B505D4">
        <w:trPr>
          <w:trHeight w:val="283"/>
        </w:trPr>
        <w:tc>
          <w:tcPr>
            <w:tcW w:w="4111" w:type="dxa"/>
            <w:tcBorders>
              <w:top w:val="nil"/>
              <w:left w:val="nil"/>
              <w:bottom w:val="nil"/>
              <w:right w:val="nil"/>
            </w:tcBorders>
            <w:shd w:val="clear" w:color="auto" w:fill="auto"/>
            <w:noWrap/>
            <w:vAlign w:val="center"/>
            <w:hideMark/>
          </w:tcPr>
          <w:p w14:paraId="004E7508" w14:textId="77777777" w:rsidR="003C5000" w:rsidRPr="004139F4" w:rsidRDefault="003C5000" w:rsidP="00B505D4">
            <w:pPr>
              <w:spacing w:after="0" w:line="240" w:lineRule="auto"/>
              <w:jc w:val="left"/>
              <w:rPr>
                <w:rFonts w:eastAsia="Times New Roman" w:cs="Segoe UI"/>
                <w:color w:val="000000"/>
                <w:sz w:val="18"/>
                <w:szCs w:val="18"/>
                <w:lang w:eastAsia="sk-SK"/>
              </w:rPr>
            </w:pPr>
            <w:r w:rsidRPr="004139F4">
              <w:rPr>
                <w:rFonts w:eastAsia="Times New Roman" w:cs="Segoe UI"/>
                <w:color w:val="000000"/>
                <w:sz w:val="18"/>
                <w:szCs w:val="18"/>
                <w:lang w:eastAsia="sk-SK"/>
              </w:rPr>
              <w:t>EŠIF</w:t>
            </w:r>
          </w:p>
        </w:tc>
        <w:tc>
          <w:tcPr>
            <w:tcW w:w="1276" w:type="dxa"/>
            <w:tcBorders>
              <w:top w:val="nil"/>
              <w:left w:val="nil"/>
              <w:bottom w:val="nil"/>
              <w:right w:val="nil"/>
            </w:tcBorders>
            <w:shd w:val="clear" w:color="auto" w:fill="auto"/>
            <w:noWrap/>
            <w:vAlign w:val="center"/>
            <w:hideMark/>
          </w:tcPr>
          <w:p w14:paraId="5CEC5939" w14:textId="77777777" w:rsidR="003C5000" w:rsidRPr="004139F4" w:rsidRDefault="003C5000" w:rsidP="00B505D4">
            <w:pPr>
              <w:spacing w:after="0" w:line="240" w:lineRule="auto"/>
              <w:ind w:right="71"/>
              <w:jc w:val="right"/>
              <w:rPr>
                <w:rFonts w:eastAsia="Times New Roman" w:cs="Segoe UI"/>
                <w:color w:val="000000"/>
                <w:sz w:val="18"/>
                <w:szCs w:val="18"/>
                <w:lang w:eastAsia="sk-SK"/>
              </w:rPr>
            </w:pPr>
            <w:r w:rsidRPr="004139F4">
              <w:rPr>
                <w:rFonts w:eastAsia="Times New Roman" w:cs="Segoe UI"/>
                <w:color w:val="000000"/>
                <w:sz w:val="18"/>
                <w:szCs w:val="18"/>
                <w:lang w:eastAsia="sk-SK"/>
              </w:rPr>
              <w:t>0</w:t>
            </w:r>
          </w:p>
        </w:tc>
        <w:tc>
          <w:tcPr>
            <w:tcW w:w="1393" w:type="dxa"/>
            <w:tcBorders>
              <w:top w:val="nil"/>
              <w:left w:val="nil"/>
              <w:bottom w:val="nil"/>
              <w:right w:val="nil"/>
            </w:tcBorders>
            <w:shd w:val="clear" w:color="auto" w:fill="auto"/>
            <w:noWrap/>
            <w:vAlign w:val="center"/>
            <w:hideMark/>
          </w:tcPr>
          <w:p w14:paraId="7227BBB6" w14:textId="77777777" w:rsidR="003C5000" w:rsidRPr="004139F4" w:rsidRDefault="003C5000" w:rsidP="00B505D4">
            <w:pPr>
              <w:spacing w:after="0" w:line="240" w:lineRule="auto"/>
              <w:ind w:right="71"/>
              <w:jc w:val="right"/>
              <w:rPr>
                <w:rFonts w:eastAsia="Times New Roman" w:cs="Segoe UI"/>
                <w:color w:val="000000"/>
                <w:sz w:val="18"/>
                <w:szCs w:val="18"/>
                <w:lang w:eastAsia="sk-SK"/>
              </w:rPr>
            </w:pPr>
            <w:r w:rsidRPr="004139F4">
              <w:rPr>
                <w:rFonts w:eastAsia="Times New Roman" w:cs="Segoe UI"/>
                <w:color w:val="000000"/>
                <w:sz w:val="18"/>
                <w:szCs w:val="18"/>
                <w:lang w:eastAsia="sk-SK"/>
              </w:rPr>
              <w:t>459 913</w:t>
            </w:r>
          </w:p>
        </w:tc>
        <w:tc>
          <w:tcPr>
            <w:tcW w:w="2292" w:type="dxa"/>
            <w:tcBorders>
              <w:top w:val="nil"/>
              <w:left w:val="nil"/>
              <w:bottom w:val="nil"/>
              <w:right w:val="nil"/>
            </w:tcBorders>
            <w:shd w:val="clear" w:color="auto" w:fill="auto"/>
            <w:noWrap/>
            <w:vAlign w:val="center"/>
            <w:hideMark/>
          </w:tcPr>
          <w:p w14:paraId="79592728" w14:textId="77777777" w:rsidR="003C5000" w:rsidRPr="004139F4" w:rsidRDefault="003C5000" w:rsidP="00B505D4">
            <w:pPr>
              <w:spacing w:after="0" w:line="240" w:lineRule="auto"/>
              <w:jc w:val="center"/>
              <w:rPr>
                <w:rFonts w:eastAsia="Times New Roman" w:cs="Segoe UI"/>
                <w:color w:val="000000"/>
                <w:sz w:val="18"/>
                <w:szCs w:val="18"/>
                <w:lang w:eastAsia="sk-SK"/>
              </w:rPr>
            </w:pPr>
            <w:r>
              <w:rPr>
                <w:rFonts w:eastAsia="Times New Roman" w:cs="Segoe UI"/>
                <w:color w:val="000000"/>
                <w:sz w:val="18"/>
                <w:szCs w:val="18"/>
                <w:lang w:eastAsia="sk-SK"/>
              </w:rPr>
              <w:t>-</w:t>
            </w:r>
          </w:p>
        </w:tc>
      </w:tr>
      <w:tr w:rsidR="003C5000" w:rsidRPr="00165BE0" w14:paraId="37241756" w14:textId="77777777" w:rsidTr="00B505D4">
        <w:trPr>
          <w:trHeight w:val="283"/>
        </w:trPr>
        <w:tc>
          <w:tcPr>
            <w:tcW w:w="4111" w:type="dxa"/>
            <w:tcBorders>
              <w:top w:val="nil"/>
              <w:left w:val="nil"/>
              <w:bottom w:val="nil"/>
              <w:right w:val="nil"/>
            </w:tcBorders>
            <w:shd w:val="clear" w:color="auto" w:fill="auto"/>
            <w:noWrap/>
            <w:vAlign w:val="center"/>
            <w:hideMark/>
          </w:tcPr>
          <w:p w14:paraId="717486BC" w14:textId="77777777" w:rsidR="003C5000" w:rsidRPr="004139F4" w:rsidRDefault="003C5000" w:rsidP="00B505D4">
            <w:pPr>
              <w:spacing w:after="0" w:line="240" w:lineRule="auto"/>
              <w:jc w:val="left"/>
              <w:rPr>
                <w:rFonts w:eastAsia="Times New Roman" w:cs="Segoe UI"/>
                <w:color w:val="000000"/>
                <w:sz w:val="18"/>
                <w:szCs w:val="18"/>
                <w:lang w:eastAsia="sk-SK"/>
              </w:rPr>
            </w:pPr>
            <w:r w:rsidRPr="004139F4">
              <w:rPr>
                <w:rFonts w:eastAsia="Times New Roman" w:cs="Segoe UI"/>
                <w:color w:val="000000"/>
                <w:sz w:val="18"/>
                <w:szCs w:val="18"/>
                <w:lang w:eastAsia="sk-SK"/>
              </w:rPr>
              <w:t>Programy EÚS</w:t>
            </w:r>
          </w:p>
        </w:tc>
        <w:tc>
          <w:tcPr>
            <w:tcW w:w="1276" w:type="dxa"/>
            <w:tcBorders>
              <w:top w:val="nil"/>
              <w:left w:val="nil"/>
              <w:right w:val="nil"/>
            </w:tcBorders>
            <w:shd w:val="clear" w:color="auto" w:fill="auto"/>
            <w:noWrap/>
            <w:vAlign w:val="center"/>
            <w:hideMark/>
          </w:tcPr>
          <w:p w14:paraId="1E61D39C" w14:textId="77777777" w:rsidR="003C5000" w:rsidRPr="004139F4" w:rsidRDefault="003C5000" w:rsidP="00B505D4">
            <w:pPr>
              <w:spacing w:after="0" w:line="240" w:lineRule="auto"/>
              <w:ind w:right="71"/>
              <w:jc w:val="right"/>
              <w:rPr>
                <w:rFonts w:eastAsia="Times New Roman" w:cs="Segoe UI"/>
                <w:color w:val="000000"/>
                <w:sz w:val="18"/>
                <w:szCs w:val="18"/>
                <w:lang w:eastAsia="sk-SK"/>
              </w:rPr>
            </w:pPr>
            <w:r w:rsidRPr="004139F4">
              <w:rPr>
                <w:rFonts w:eastAsia="Times New Roman" w:cs="Segoe UI"/>
                <w:color w:val="000000"/>
                <w:sz w:val="18"/>
                <w:szCs w:val="18"/>
                <w:lang w:eastAsia="sk-SK"/>
              </w:rPr>
              <w:t>0</w:t>
            </w:r>
          </w:p>
        </w:tc>
        <w:tc>
          <w:tcPr>
            <w:tcW w:w="1393" w:type="dxa"/>
            <w:tcBorders>
              <w:top w:val="nil"/>
              <w:left w:val="nil"/>
              <w:right w:val="nil"/>
            </w:tcBorders>
            <w:shd w:val="clear" w:color="auto" w:fill="auto"/>
            <w:noWrap/>
            <w:vAlign w:val="center"/>
            <w:hideMark/>
          </w:tcPr>
          <w:p w14:paraId="29FFBE25" w14:textId="77777777" w:rsidR="003C5000" w:rsidRPr="004139F4" w:rsidRDefault="003C5000" w:rsidP="00B505D4">
            <w:pPr>
              <w:spacing w:after="0" w:line="240" w:lineRule="auto"/>
              <w:ind w:right="71"/>
              <w:jc w:val="right"/>
              <w:rPr>
                <w:rFonts w:eastAsia="Times New Roman" w:cs="Segoe UI"/>
                <w:color w:val="000000"/>
                <w:sz w:val="18"/>
                <w:szCs w:val="18"/>
                <w:lang w:eastAsia="sk-SK"/>
              </w:rPr>
            </w:pPr>
            <w:r w:rsidRPr="004139F4">
              <w:rPr>
                <w:rFonts w:eastAsia="Times New Roman" w:cs="Segoe UI"/>
                <w:color w:val="000000"/>
                <w:sz w:val="18"/>
                <w:szCs w:val="18"/>
                <w:lang w:eastAsia="sk-SK"/>
              </w:rPr>
              <w:t>11 100</w:t>
            </w:r>
          </w:p>
        </w:tc>
        <w:tc>
          <w:tcPr>
            <w:tcW w:w="2292" w:type="dxa"/>
            <w:tcBorders>
              <w:top w:val="nil"/>
              <w:left w:val="nil"/>
              <w:bottom w:val="nil"/>
              <w:right w:val="nil"/>
            </w:tcBorders>
            <w:shd w:val="clear" w:color="auto" w:fill="auto"/>
            <w:noWrap/>
            <w:vAlign w:val="center"/>
            <w:hideMark/>
          </w:tcPr>
          <w:p w14:paraId="532E6D4D" w14:textId="77777777" w:rsidR="003C5000" w:rsidRPr="004139F4" w:rsidRDefault="003C5000" w:rsidP="00B505D4">
            <w:pPr>
              <w:spacing w:after="0" w:line="240" w:lineRule="auto"/>
              <w:jc w:val="center"/>
              <w:rPr>
                <w:rFonts w:eastAsia="Times New Roman" w:cs="Segoe UI"/>
                <w:color w:val="000000"/>
                <w:sz w:val="18"/>
                <w:szCs w:val="18"/>
                <w:lang w:eastAsia="sk-SK"/>
              </w:rPr>
            </w:pPr>
            <w:r>
              <w:rPr>
                <w:rFonts w:eastAsia="Times New Roman" w:cs="Segoe UI"/>
                <w:color w:val="000000"/>
                <w:sz w:val="18"/>
                <w:szCs w:val="18"/>
                <w:lang w:eastAsia="sk-SK"/>
              </w:rPr>
              <w:t>-</w:t>
            </w:r>
          </w:p>
        </w:tc>
      </w:tr>
      <w:tr w:rsidR="003C5000" w:rsidRPr="00165BE0" w14:paraId="0864B057" w14:textId="77777777" w:rsidTr="00B505D4">
        <w:trPr>
          <w:trHeight w:val="283"/>
        </w:trPr>
        <w:tc>
          <w:tcPr>
            <w:tcW w:w="4111" w:type="dxa"/>
            <w:tcBorders>
              <w:top w:val="nil"/>
              <w:left w:val="nil"/>
              <w:bottom w:val="nil"/>
              <w:right w:val="nil"/>
            </w:tcBorders>
            <w:shd w:val="clear" w:color="auto" w:fill="auto"/>
            <w:noWrap/>
            <w:vAlign w:val="center"/>
            <w:hideMark/>
          </w:tcPr>
          <w:p w14:paraId="7EA01B73" w14:textId="77777777" w:rsidR="003C5000" w:rsidRPr="004139F4" w:rsidRDefault="003C5000" w:rsidP="00B505D4">
            <w:pPr>
              <w:spacing w:after="0" w:line="240" w:lineRule="auto"/>
              <w:jc w:val="left"/>
              <w:rPr>
                <w:rFonts w:eastAsia="Times New Roman" w:cs="Segoe UI"/>
                <w:color w:val="000000"/>
                <w:sz w:val="18"/>
                <w:szCs w:val="18"/>
                <w:lang w:eastAsia="sk-SK"/>
              </w:rPr>
            </w:pPr>
            <w:r w:rsidRPr="004139F4">
              <w:rPr>
                <w:rFonts w:eastAsia="Times New Roman" w:cs="Segoe UI"/>
                <w:color w:val="000000"/>
                <w:sz w:val="18"/>
                <w:szCs w:val="18"/>
                <w:lang w:eastAsia="sk-SK"/>
              </w:rPr>
              <w:t>Fondy pre oblasť vnútorných záležitostí</w:t>
            </w:r>
          </w:p>
        </w:tc>
        <w:tc>
          <w:tcPr>
            <w:tcW w:w="1276" w:type="dxa"/>
            <w:tcBorders>
              <w:top w:val="nil"/>
              <w:left w:val="nil"/>
              <w:bottom w:val="single" w:sz="4" w:space="0" w:color="314364" w:themeColor="text2"/>
              <w:right w:val="nil"/>
            </w:tcBorders>
            <w:shd w:val="clear" w:color="auto" w:fill="auto"/>
            <w:noWrap/>
            <w:vAlign w:val="center"/>
            <w:hideMark/>
          </w:tcPr>
          <w:p w14:paraId="5F4A097B" w14:textId="77777777" w:rsidR="003C5000" w:rsidRPr="004139F4" w:rsidRDefault="003C5000" w:rsidP="00B505D4">
            <w:pPr>
              <w:spacing w:after="0" w:line="240" w:lineRule="auto"/>
              <w:ind w:right="71"/>
              <w:jc w:val="right"/>
              <w:rPr>
                <w:rFonts w:eastAsia="Times New Roman" w:cs="Segoe UI"/>
                <w:color w:val="000000"/>
                <w:sz w:val="18"/>
                <w:szCs w:val="18"/>
                <w:lang w:eastAsia="sk-SK"/>
              </w:rPr>
            </w:pPr>
            <w:r w:rsidRPr="004139F4">
              <w:rPr>
                <w:rFonts w:eastAsia="Times New Roman" w:cs="Segoe UI"/>
                <w:color w:val="000000"/>
                <w:sz w:val="18"/>
                <w:szCs w:val="18"/>
                <w:lang w:eastAsia="sk-SK"/>
              </w:rPr>
              <w:t>0</w:t>
            </w:r>
          </w:p>
        </w:tc>
        <w:tc>
          <w:tcPr>
            <w:tcW w:w="1393" w:type="dxa"/>
            <w:tcBorders>
              <w:top w:val="nil"/>
              <w:left w:val="nil"/>
              <w:bottom w:val="single" w:sz="4" w:space="0" w:color="314364" w:themeColor="text2"/>
              <w:right w:val="nil"/>
            </w:tcBorders>
            <w:shd w:val="clear" w:color="auto" w:fill="auto"/>
            <w:noWrap/>
            <w:vAlign w:val="center"/>
            <w:hideMark/>
          </w:tcPr>
          <w:p w14:paraId="365A9385" w14:textId="77777777" w:rsidR="003C5000" w:rsidRPr="004139F4" w:rsidRDefault="003C5000" w:rsidP="00B505D4">
            <w:pPr>
              <w:spacing w:after="0" w:line="240" w:lineRule="auto"/>
              <w:ind w:right="71"/>
              <w:jc w:val="right"/>
              <w:rPr>
                <w:rFonts w:eastAsia="Times New Roman" w:cs="Segoe UI"/>
                <w:color w:val="000000"/>
                <w:sz w:val="18"/>
                <w:szCs w:val="18"/>
                <w:lang w:eastAsia="sk-SK"/>
              </w:rPr>
            </w:pPr>
            <w:r w:rsidRPr="004139F4">
              <w:rPr>
                <w:rFonts w:eastAsia="Times New Roman" w:cs="Segoe UI"/>
                <w:color w:val="000000"/>
                <w:sz w:val="18"/>
                <w:szCs w:val="18"/>
                <w:lang w:eastAsia="sk-SK"/>
              </w:rPr>
              <w:t>9 333</w:t>
            </w:r>
          </w:p>
        </w:tc>
        <w:tc>
          <w:tcPr>
            <w:tcW w:w="2292" w:type="dxa"/>
            <w:tcBorders>
              <w:top w:val="nil"/>
              <w:left w:val="nil"/>
              <w:bottom w:val="nil"/>
              <w:right w:val="nil"/>
            </w:tcBorders>
            <w:shd w:val="clear" w:color="auto" w:fill="auto"/>
            <w:noWrap/>
            <w:vAlign w:val="center"/>
            <w:hideMark/>
          </w:tcPr>
          <w:p w14:paraId="4BDA1501" w14:textId="77777777" w:rsidR="003C5000" w:rsidRPr="004139F4" w:rsidRDefault="003C5000" w:rsidP="00B505D4">
            <w:pPr>
              <w:spacing w:after="0" w:line="240" w:lineRule="auto"/>
              <w:jc w:val="center"/>
              <w:rPr>
                <w:rFonts w:eastAsia="Times New Roman" w:cs="Segoe UI"/>
                <w:color w:val="000000"/>
                <w:sz w:val="18"/>
                <w:szCs w:val="18"/>
                <w:lang w:eastAsia="sk-SK"/>
              </w:rPr>
            </w:pPr>
            <w:r>
              <w:rPr>
                <w:rFonts w:eastAsia="Times New Roman" w:cs="Segoe UI"/>
                <w:color w:val="000000"/>
                <w:sz w:val="18"/>
                <w:szCs w:val="18"/>
                <w:lang w:eastAsia="sk-SK"/>
              </w:rPr>
              <w:t>-</w:t>
            </w:r>
          </w:p>
        </w:tc>
      </w:tr>
      <w:tr w:rsidR="003C5000" w:rsidRPr="00165BE0" w14:paraId="52C1C6B0" w14:textId="77777777" w:rsidTr="00B505D4">
        <w:trPr>
          <w:trHeight w:val="283"/>
        </w:trPr>
        <w:tc>
          <w:tcPr>
            <w:tcW w:w="4111" w:type="dxa"/>
            <w:tcBorders>
              <w:top w:val="nil"/>
              <w:left w:val="nil"/>
              <w:right w:val="nil"/>
            </w:tcBorders>
            <w:shd w:val="clear" w:color="auto" w:fill="auto"/>
            <w:noWrap/>
            <w:vAlign w:val="center"/>
            <w:hideMark/>
          </w:tcPr>
          <w:p w14:paraId="19CDBF71" w14:textId="77777777" w:rsidR="003C5000" w:rsidRPr="004139F4" w:rsidRDefault="003C5000" w:rsidP="00B505D4">
            <w:pPr>
              <w:spacing w:after="0" w:line="240" w:lineRule="auto"/>
              <w:jc w:val="left"/>
              <w:rPr>
                <w:rFonts w:eastAsia="Times New Roman" w:cs="Segoe UI"/>
                <w:color w:val="000000"/>
                <w:sz w:val="18"/>
                <w:szCs w:val="18"/>
                <w:lang w:eastAsia="sk-SK"/>
              </w:rPr>
            </w:pPr>
            <w:r w:rsidRPr="004139F4">
              <w:rPr>
                <w:rFonts w:eastAsia="Times New Roman" w:cs="Segoe UI"/>
                <w:color w:val="000000"/>
                <w:sz w:val="18"/>
                <w:szCs w:val="18"/>
                <w:lang w:eastAsia="sk-SK"/>
              </w:rPr>
              <w:t>Prostriedky z rozpočtu EÚ spolu za 3</w:t>
            </w:r>
            <w:r>
              <w:rPr>
                <w:rFonts w:eastAsia="Times New Roman" w:cs="Segoe UI"/>
                <w:color w:val="000000"/>
                <w:sz w:val="18"/>
                <w:szCs w:val="18"/>
                <w:lang w:eastAsia="sk-SK"/>
              </w:rPr>
              <w:t>.</w:t>
            </w:r>
            <w:r w:rsidRPr="004139F4">
              <w:rPr>
                <w:rFonts w:eastAsia="Times New Roman" w:cs="Segoe UI"/>
                <w:color w:val="000000"/>
                <w:sz w:val="18"/>
                <w:szCs w:val="18"/>
                <w:lang w:eastAsia="sk-SK"/>
              </w:rPr>
              <w:t xml:space="preserve"> PO a</w:t>
            </w:r>
            <w:r>
              <w:rPr>
                <w:rFonts w:eastAsia="Times New Roman" w:cs="Segoe UI"/>
                <w:color w:val="000000"/>
                <w:sz w:val="18"/>
                <w:szCs w:val="18"/>
                <w:lang w:eastAsia="sk-SK"/>
              </w:rPr>
              <w:t> </w:t>
            </w:r>
            <w:r w:rsidRPr="004139F4">
              <w:rPr>
                <w:rFonts w:eastAsia="Times New Roman" w:cs="Segoe UI"/>
                <w:color w:val="000000"/>
                <w:sz w:val="18"/>
                <w:szCs w:val="18"/>
                <w:lang w:eastAsia="sk-SK"/>
              </w:rPr>
              <w:t>4</w:t>
            </w:r>
            <w:r>
              <w:rPr>
                <w:rFonts w:eastAsia="Times New Roman" w:cs="Segoe UI"/>
                <w:color w:val="000000"/>
                <w:sz w:val="18"/>
                <w:szCs w:val="18"/>
                <w:lang w:eastAsia="sk-SK"/>
              </w:rPr>
              <w:t>.</w:t>
            </w:r>
            <w:r w:rsidRPr="004139F4">
              <w:rPr>
                <w:rFonts w:eastAsia="Times New Roman" w:cs="Segoe UI"/>
                <w:color w:val="000000"/>
                <w:sz w:val="18"/>
                <w:szCs w:val="18"/>
                <w:lang w:eastAsia="sk-SK"/>
              </w:rPr>
              <w:t xml:space="preserve"> PO</w:t>
            </w:r>
          </w:p>
        </w:tc>
        <w:tc>
          <w:tcPr>
            <w:tcW w:w="2669" w:type="dxa"/>
            <w:gridSpan w:val="2"/>
            <w:tcBorders>
              <w:top w:val="single" w:sz="4" w:space="0" w:color="314364" w:themeColor="text2"/>
              <w:left w:val="nil"/>
              <w:right w:val="nil"/>
            </w:tcBorders>
            <w:shd w:val="clear" w:color="auto" w:fill="auto"/>
            <w:noWrap/>
            <w:vAlign w:val="center"/>
            <w:hideMark/>
          </w:tcPr>
          <w:p w14:paraId="0536109F" w14:textId="77777777" w:rsidR="003C5000" w:rsidRPr="00644022" w:rsidRDefault="003C5000" w:rsidP="00B505D4">
            <w:pPr>
              <w:spacing w:after="0" w:line="240" w:lineRule="auto"/>
              <w:ind w:left="219"/>
              <w:jc w:val="center"/>
              <w:rPr>
                <w:rFonts w:eastAsia="Times New Roman" w:cs="Segoe UI"/>
                <w:b/>
                <w:bCs/>
                <w:sz w:val="18"/>
                <w:szCs w:val="18"/>
                <w:lang w:eastAsia="sk-SK"/>
              </w:rPr>
            </w:pPr>
            <w:r w:rsidRPr="00644022">
              <w:rPr>
                <w:rFonts w:eastAsia="Times New Roman" w:cs="Segoe UI"/>
                <w:b/>
                <w:bCs/>
                <w:sz w:val="18"/>
                <w:szCs w:val="18"/>
                <w:lang w:eastAsia="sk-SK"/>
              </w:rPr>
              <w:t>1 237 239</w:t>
            </w:r>
          </w:p>
        </w:tc>
        <w:tc>
          <w:tcPr>
            <w:tcW w:w="2292" w:type="dxa"/>
            <w:tcBorders>
              <w:top w:val="nil"/>
              <w:left w:val="nil"/>
              <w:right w:val="nil"/>
            </w:tcBorders>
            <w:shd w:val="clear" w:color="auto" w:fill="auto"/>
            <w:noWrap/>
            <w:vAlign w:val="center"/>
            <w:hideMark/>
          </w:tcPr>
          <w:p w14:paraId="06284A94" w14:textId="77777777" w:rsidR="003C5000" w:rsidRPr="00644022" w:rsidRDefault="003C5000" w:rsidP="00B505D4">
            <w:pPr>
              <w:spacing w:after="0" w:line="240" w:lineRule="auto"/>
              <w:jc w:val="center"/>
              <w:rPr>
                <w:rFonts w:eastAsia="Times New Roman" w:cs="Segoe UI"/>
                <w:bCs/>
                <w:sz w:val="18"/>
                <w:szCs w:val="18"/>
                <w:lang w:eastAsia="sk-SK"/>
              </w:rPr>
            </w:pPr>
            <w:r w:rsidRPr="00644022">
              <w:rPr>
                <w:rFonts w:eastAsia="Times New Roman" w:cs="Segoe UI"/>
                <w:bCs/>
                <w:sz w:val="18"/>
                <w:szCs w:val="18"/>
                <w:lang w:eastAsia="sk-SK"/>
              </w:rPr>
              <w:t>-</w:t>
            </w:r>
          </w:p>
        </w:tc>
      </w:tr>
      <w:tr w:rsidR="003C5000" w:rsidRPr="00165BE0" w14:paraId="2DBC3929" w14:textId="77777777" w:rsidTr="00B505D4">
        <w:trPr>
          <w:trHeight w:val="283"/>
        </w:trPr>
        <w:tc>
          <w:tcPr>
            <w:tcW w:w="4111" w:type="dxa"/>
            <w:tcBorders>
              <w:top w:val="nil"/>
              <w:left w:val="nil"/>
              <w:bottom w:val="single" w:sz="4" w:space="0" w:color="314364" w:themeColor="text2"/>
              <w:right w:val="nil"/>
            </w:tcBorders>
            <w:shd w:val="clear" w:color="auto" w:fill="auto"/>
            <w:noWrap/>
            <w:vAlign w:val="center"/>
            <w:hideMark/>
          </w:tcPr>
          <w:p w14:paraId="6EF02D3E" w14:textId="77777777" w:rsidR="003C5000" w:rsidRPr="004139F4" w:rsidRDefault="003C5000" w:rsidP="00B505D4">
            <w:pPr>
              <w:spacing w:after="0" w:line="240" w:lineRule="auto"/>
              <w:jc w:val="left"/>
              <w:rPr>
                <w:rFonts w:eastAsia="Times New Roman" w:cs="Segoe UI"/>
                <w:color w:val="000000"/>
                <w:sz w:val="18"/>
                <w:szCs w:val="18"/>
                <w:lang w:eastAsia="sk-SK"/>
              </w:rPr>
            </w:pPr>
            <w:r w:rsidRPr="004139F4">
              <w:rPr>
                <w:rFonts w:eastAsia="Times New Roman" w:cs="Segoe UI"/>
                <w:color w:val="000000"/>
                <w:sz w:val="18"/>
                <w:szCs w:val="18"/>
                <w:lang w:eastAsia="sk-SK"/>
              </w:rPr>
              <w:t>Prostriedky z POO</w:t>
            </w:r>
          </w:p>
        </w:tc>
        <w:tc>
          <w:tcPr>
            <w:tcW w:w="2669" w:type="dxa"/>
            <w:gridSpan w:val="2"/>
            <w:tcBorders>
              <w:top w:val="nil"/>
              <w:left w:val="nil"/>
              <w:bottom w:val="single" w:sz="4" w:space="0" w:color="314364" w:themeColor="text2"/>
              <w:right w:val="nil"/>
            </w:tcBorders>
            <w:shd w:val="clear" w:color="auto" w:fill="auto"/>
            <w:noWrap/>
            <w:vAlign w:val="center"/>
            <w:hideMark/>
          </w:tcPr>
          <w:p w14:paraId="0F04A587" w14:textId="77777777" w:rsidR="003C5000" w:rsidRPr="00644022" w:rsidRDefault="003C5000" w:rsidP="00B505D4">
            <w:pPr>
              <w:spacing w:after="0" w:line="240" w:lineRule="auto"/>
              <w:ind w:left="219"/>
              <w:jc w:val="center"/>
              <w:rPr>
                <w:rFonts w:eastAsia="Times New Roman" w:cs="Segoe UI"/>
                <w:sz w:val="18"/>
                <w:szCs w:val="18"/>
                <w:lang w:eastAsia="sk-SK"/>
              </w:rPr>
            </w:pPr>
            <w:r w:rsidRPr="00644022">
              <w:rPr>
                <w:rFonts w:eastAsia="Times New Roman" w:cs="Segoe UI"/>
                <w:sz w:val="18"/>
                <w:szCs w:val="18"/>
                <w:lang w:eastAsia="sk-SK"/>
              </w:rPr>
              <w:t>-</w:t>
            </w:r>
          </w:p>
        </w:tc>
        <w:tc>
          <w:tcPr>
            <w:tcW w:w="2292" w:type="dxa"/>
            <w:tcBorders>
              <w:top w:val="nil"/>
              <w:left w:val="nil"/>
              <w:bottom w:val="single" w:sz="4" w:space="0" w:color="314364" w:themeColor="text2"/>
              <w:right w:val="nil"/>
            </w:tcBorders>
            <w:shd w:val="clear" w:color="auto" w:fill="auto"/>
            <w:noWrap/>
            <w:vAlign w:val="center"/>
            <w:hideMark/>
          </w:tcPr>
          <w:p w14:paraId="404EE537" w14:textId="77777777" w:rsidR="003C5000" w:rsidRPr="00644022" w:rsidRDefault="003C5000" w:rsidP="00B505D4">
            <w:pPr>
              <w:spacing w:after="0" w:line="240" w:lineRule="auto"/>
              <w:jc w:val="center"/>
              <w:rPr>
                <w:rFonts w:eastAsia="Times New Roman" w:cs="Segoe UI"/>
                <w:b/>
                <w:bCs/>
                <w:sz w:val="18"/>
                <w:szCs w:val="18"/>
                <w:lang w:eastAsia="sk-SK"/>
              </w:rPr>
            </w:pPr>
            <w:r w:rsidRPr="00644022">
              <w:rPr>
                <w:rFonts w:eastAsia="Times New Roman" w:cs="Segoe UI"/>
                <w:b/>
                <w:bCs/>
                <w:sz w:val="18"/>
                <w:szCs w:val="18"/>
                <w:lang w:eastAsia="sk-SK"/>
              </w:rPr>
              <w:t>1 215 402</w:t>
            </w:r>
          </w:p>
        </w:tc>
      </w:tr>
      <w:tr w:rsidR="003C5000" w:rsidRPr="00165BE0" w14:paraId="7F873D52" w14:textId="77777777" w:rsidTr="00B505D4">
        <w:trPr>
          <w:trHeight w:val="283"/>
        </w:trPr>
        <w:tc>
          <w:tcPr>
            <w:tcW w:w="4111" w:type="dxa"/>
            <w:tcBorders>
              <w:top w:val="single" w:sz="4" w:space="0" w:color="314364" w:themeColor="text2"/>
              <w:left w:val="nil"/>
              <w:bottom w:val="single" w:sz="8" w:space="0" w:color="314364"/>
              <w:right w:val="nil"/>
            </w:tcBorders>
            <w:shd w:val="clear" w:color="auto" w:fill="auto"/>
            <w:vAlign w:val="center"/>
            <w:hideMark/>
          </w:tcPr>
          <w:p w14:paraId="28E9ACFE" w14:textId="77777777" w:rsidR="003C5000" w:rsidRPr="00C47238" w:rsidRDefault="003C5000" w:rsidP="00B505D4">
            <w:pPr>
              <w:spacing w:after="0" w:line="240" w:lineRule="auto"/>
              <w:jc w:val="left"/>
              <w:rPr>
                <w:rFonts w:eastAsia="Times New Roman" w:cs="Segoe UI"/>
                <w:b/>
                <w:bCs/>
                <w:color w:val="000000"/>
                <w:sz w:val="18"/>
                <w:szCs w:val="18"/>
                <w:lang w:eastAsia="sk-SK"/>
              </w:rPr>
            </w:pPr>
            <w:r w:rsidRPr="00C47238">
              <w:rPr>
                <w:rFonts w:eastAsia="Times New Roman" w:cs="Segoe UI"/>
                <w:b/>
                <w:bCs/>
                <w:color w:val="000000"/>
                <w:sz w:val="18"/>
                <w:szCs w:val="18"/>
                <w:lang w:eastAsia="sk-SK"/>
              </w:rPr>
              <w:t>Prostriedky z EÚ spolu</w:t>
            </w:r>
          </w:p>
        </w:tc>
        <w:tc>
          <w:tcPr>
            <w:tcW w:w="4961" w:type="dxa"/>
            <w:gridSpan w:val="3"/>
            <w:tcBorders>
              <w:top w:val="single" w:sz="4" w:space="0" w:color="314364" w:themeColor="text2"/>
              <w:left w:val="nil"/>
              <w:bottom w:val="single" w:sz="8" w:space="0" w:color="314364"/>
              <w:right w:val="nil"/>
            </w:tcBorders>
            <w:shd w:val="clear" w:color="auto" w:fill="auto"/>
            <w:vAlign w:val="center"/>
            <w:hideMark/>
          </w:tcPr>
          <w:p w14:paraId="279E509C" w14:textId="77777777" w:rsidR="003C5000" w:rsidRPr="00644022" w:rsidRDefault="003C5000" w:rsidP="00B505D4">
            <w:pPr>
              <w:spacing w:after="0" w:line="240" w:lineRule="auto"/>
              <w:jc w:val="center"/>
              <w:rPr>
                <w:rFonts w:eastAsia="Times New Roman" w:cs="Segoe UI"/>
                <w:b/>
                <w:bCs/>
                <w:sz w:val="18"/>
                <w:szCs w:val="18"/>
                <w:lang w:eastAsia="sk-SK"/>
              </w:rPr>
            </w:pPr>
            <w:r w:rsidRPr="00644022">
              <w:rPr>
                <w:rFonts w:eastAsia="Times New Roman" w:cs="Segoe UI"/>
                <w:b/>
                <w:bCs/>
                <w:sz w:val="18"/>
                <w:szCs w:val="18"/>
                <w:lang w:eastAsia="sk-SK"/>
              </w:rPr>
              <w:t>2 452 641</w:t>
            </w:r>
          </w:p>
        </w:tc>
      </w:tr>
    </w:tbl>
    <w:p w14:paraId="02486C07" w14:textId="77777777" w:rsidR="003C5000" w:rsidRDefault="003C5000" w:rsidP="003C5000">
      <w:pPr>
        <w:pStyle w:val="Zdroj"/>
      </w:pPr>
      <w:r w:rsidRPr="00954AE6">
        <w:t>Zdroj: Návrh RVS na roky 2024 – 2026</w:t>
      </w:r>
    </w:p>
    <w:p w14:paraId="2F64F820" w14:textId="77777777" w:rsidR="003C5000" w:rsidRDefault="003C5000" w:rsidP="003C5000">
      <w:pPr>
        <w:pStyle w:val="Textpoznmkypodiarou"/>
        <w:spacing w:after="120" w:line="276" w:lineRule="auto"/>
        <w:rPr>
          <w:rFonts w:cs="Segoe UI"/>
          <w:color w:val="000000" w:themeColor="text1"/>
          <w:sz w:val="20"/>
        </w:rPr>
      </w:pPr>
      <w:r>
        <w:rPr>
          <w:rFonts w:cs="Segoe UI"/>
          <w:color w:val="000000" w:themeColor="text1"/>
          <w:sz w:val="20"/>
        </w:rPr>
        <w:t>Rozpočtovaná suma za všetky prostriedky z EÚ predstavuje v roku 2024 približne jednu tretinu celkovej rozpočtovanej sumy na rok 2023 (graf 4)</w:t>
      </w:r>
      <w:r w:rsidRPr="006A1463">
        <w:rPr>
          <w:rFonts w:cs="Segoe UI"/>
          <w:color w:val="000000" w:themeColor="text1"/>
          <w:sz w:val="20"/>
        </w:rPr>
        <w:t>.</w:t>
      </w:r>
    </w:p>
    <w:p w14:paraId="4F8FA437" w14:textId="77777777" w:rsidR="003C5000" w:rsidRDefault="003C5000" w:rsidP="003C5000">
      <w:pPr>
        <w:pStyle w:val="Popis"/>
        <w:keepNext/>
      </w:pPr>
      <w:r>
        <w:t>Graf 4: Porovnanie rozpočtovaných súm z prostriedkov EÚ za roky 2023 a 2024 (v mld. eur)</w:t>
      </w:r>
    </w:p>
    <w:tbl>
      <w:tblPr>
        <w:tblStyle w:val="Mriekatabuky"/>
        <w:tblW w:w="0" w:type="auto"/>
        <w:tblLook w:val="04A0" w:firstRow="1" w:lastRow="0" w:firstColumn="1" w:lastColumn="0" w:noHBand="0" w:noVBand="1"/>
      </w:tblPr>
      <w:tblGrid>
        <w:gridCol w:w="9070"/>
      </w:tblGrid>
      <w:tr w:rsidR="003C5000" w14:paraId="741B3D73" w14:textId="77777777" w:rsidTr="00B505D4">
        <w:tc>
          <w:tcPr>
            <w:tcW w:w="9060" w:type="dxa"/>
            <w:tcBorders>
              <w:top w:val="single" w:sz="4" w:space="0" w:color="314364" w:themeColor="text2"/>
              <w:left w:val="nil"/>
              <w:bottom w:val="single" w:sz="4" w:space="0" w:color="314364" w:themeColor="text2"/>
              <w:right w:val="nil"/>
            </w:tcBorders>
          </w:tcPr>
          <w:p w14:paraId="549BB27D" w14:textId="77777777" w:rsidR="003C5000" w:rsidRDefault="003C5000" w:rsidP="00B505D4">
            <w:pPr>
              <w:spacing w:after="0"/>
            </w:pPr>
            <w:r>
              <w:rPr>
                <w:noProof/>
                <w:lang w:eastAsia="sk-SK"/>
              </w:rPr>
              <w:drawing>
                <wp:inline distT="0" distB="0" distL="0" distR="0" wp14:anchorId="1AED5381" wp14:editId="0CE19814">
                  <wp:extent cx="5715000" cy="1866900"/>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54114F06" w14:textId="77777777" w:rsidR="003C5000" w:rsidRPr="006467E5" w:rsidRDefault="003C5000" w:rsidP="003C5000">
      <w:pPr>
        <w:rPr>
          <w:rFonts w:eastAsia="Calibri" w:cs="Times New Roman"/>
          <w:i/>
          <w:color w:val="314364"/>
          <w:sz w:val="16"/>
        </w:rPr>
      </w:pPr>
      <w:r w:rsidRPr="00954AE6">
        <w:rPr>
          <w:rFonts w:eastAsia="Calibri" w:cs="Times New Roman"/>
          <w:i/>
          <w:color w:val="314364"/>
          <w:sz w:val="16"/>
        </w:rPr>
        <w:t>Zdroj: Návrh RVS na roky 2024 – 2026</w:t>
      </w:r>
    </w:p>
    <w:p w14:paraId="371188E6" w14:textId="77777777" w:rsidR="003C5000" w:rsidRPr="006A1463" w:rsidRDefault="003C5000" w:rsidP="003C5000">
      <w:pPr>
        <w:pStyle w:val="Textpoznmkypodiarou"/>
        <w:spacing w:after="120" w:line="276" w:lineRule="auto"/>
        <w:rPr>
          <w:sz w:val="20"/>
        </w:rPr>
      </w:pPr>
      <w:r w:rsidRPr="00D30133">
        <w:rPr>
          <w:rFonts w:cs="Segoe UI"/>
          <w:b/>
          <w:color w:val="000000" w:themeColor="text1"/>
          <w:sz w:val="20"/>
        </w:rPr>
        <w:t>Prostriedky z PO 2014 – 2020 sa na rok 2024 rozpočtujú už len pre poľnohospodárske fondy</w:t>
      </w:r>
      <w:r w:rsidRPr="00D30133">
        <w:rPr>
          <w:rFonts w:cs="Segoe UI"/>
          <w:color w:val="000000" w:themeColor="text1"/>
          <w:sz w:val="20"/>
          <w:vertAlign w:val="superscript"/>
        </w:rPr>
        <w:footnoteReference w:id="13"/>
      </w:r>
      <w:r w:rsidRPr="00D30133">
        <w:rPr>
          <w:rFonts w:cs="Segoe UI"/>
          <w:b/>
          <w:color w:val="000000" w:themeColor="text1"/>
          <w:sz w:val="20"/>
        </w:rPr>
        <w:t xml:space="preserve">  z dôvodu predĺženia PO do roku 2025 v objeme 115 mil. eur</w:t>
      </w:r>
      <w:r w:rsidRPr="00D30133">
        <w:rPr>
          <w:rFonts w:cs="Segoe UI"/>
          <w:color w:val="000000" w:themeColor="text1"/>
          <w:sz w:val="20"/>
          <w:vertAlign w:val="superscript"/>
        </w:rPr>
        <w:footnoteReference w:id="14"/>
      </w:r>
      <w:r w:rsidRPr="00D30133">
        <w:rPr>
          <w:rFonts w:cs="Segoe UI"/>
          <w:color w:val="000000" w:themeColor="text1"/>
          <w:sz w:val="20"/>
        </w:rPr>
        <w:t>. Prostriedky zo štrukturálnych fondov 3. PO boli rozpočtované do 100 % alokácie už v návrhu rozpočtu na rok 2023</w:t>
      </w:r>
      <w:r w:rsidRPr="00D30133">
        <w:rPr>
          <w:rFonts w:cs="Segoe UI"/>
          <w:color w:val="000000" w:themeColor="text1"/>
          <w:sz w:val="20"/>
          <w:vertAlign w:val="superscript"/>
        </w:rPr>
        <w:footnoteReference w:id="15"/>
      </w:r>
      <w:r w:rsidRPr="00D30133">
        <w:rPr>
          <w:rFonts w:cs="Segoe UI"/>
          <w:color w:val="000000" w:themeColor="text1"/>
          <w:sz w:val="20"/>
        </w:rPr>
        <w:t>.</w:t>
      </w:r>
      <w:r>
        <w:rPr>
          <w:rFonts w:cs="Segoe UI"/>
          <w:color w:val="000000" w:themeColor="text1"/>
          <w:sz w:val="20"/>
        </w:rPr>
        <w:t xml:space="preserve"> </w:t>
      </w:r>
    </w:p>
    <w:p w14:paraId="36BDB2BA" w14:textId="7D6D0195" w:rsidR="003C5000" w:rsidRPr="00204DCA" w:rsidRDefault="003C5000" w:rsidP="003C5000">
      <w:pPr>
        <w:rPr>
          <w:rFonts w:cs="Segoe UI"/>
          <w:b/>
          <w:color w:val="000000" w:themeColor="text1"/>
          <w:szCs w:val="20"/>
        </w:rPr>
      </w:pPr>
      <w:r>
        <w:rPr>
          <w:rFonts w:cs="Segoe UI"/>
          <w:color w:val="000000" w:themeColor="text1"/>
          <w:szCs w:val="20"/>
        </w:rPr>
        <w:t xml:space="preserve">Do konca </w:t>
      </w:r>
      <w:r w:rsidR="00AC6179">
        <w:rPr>
          <w:rFonts w:cs="Segoe UI"/>
          <w:color w:val="000000" w:themeColor="text1"/>
          <w:szCs w:val="20"/>
        </w:rPr>
        <w:t xml:space="preserve">3. </w:t>
      </w:r>
      <w:r>
        <w:rPr>
          <w:rFonts w:cs="Segoe UI"/>
          <w:color w:val="000000" w:themeColor="text1"/>
          <w:szCs w:val="20"/>
        </w:rPr>
        <w:t xml:space="preserve">PO zostáva deklarovať na EK 2,68 mld. eur. Zvyšovanie čerpania finančných prostriedkov bude prebiehať až do marca 2024 z dôvodu financovania na národnej úrovni a zaslania posledných súhrnných žiadostí o platbu z riadiacich orgánov na certifikačný orgán MF SR. Najvyššia suma zostávajúca na deklarovanie je v rámci OP Integrovaná infraštruktúra (tabuľka 5), a to viac ako 1 mld. eur a OP Kvalita životného prostredia </w:t>
      </w:r>
      <w:r w:rsidR="0079289C">
        <w:rPr>
          <w:rFonts w:cs="Segoe UI"/>
          <w:color w:val="000000" w:themeColor="text1"/>
          <w:szCs w:val="20"/>
        </w:rPr>
        <w:t>(</w:t>
      </w:r>
      <w:r>
        <w:rPr>
          <w:rFonts w:cs="Segoe UI"/>
          <w:color w:val="000000" w:themeColor="text1"/>
          <w:szCs w:val="20"/>
        </w:rPr>
        <w:t>0,85 mld. eur</w:t>
      </w:r>
      <w:r w:rsidR="0079289C">
        <w:rPr>
          <w:rFonts w:cs="Segoe UI"/>
          <w:color w:val="000000" w:themeColor="text1"/>
          <w:szCs w:val="20"/>
        </w:rPr>
        <w:t>)</w:t>
      </w:r>
      <w:r>
        <w:rPr>
          <w:rFonts w:cs="Segoe UI"/>
          <w:color w:val="000000" w:themeColor="text1"/>
          <w:szCs w:val="20"/>
        </w:rPr>
        <w:t>.</w:t>
      </w:r>
      <w:r w:rsidR="00204DCA">
        <w:rPr>
          <w:rFonts w:cs="Segoe UI"/>
          <w:color w:val="000000" w:themeColor="text1"/>
          <w:szCs w:val="20"/>
        </w:rPr>
        <w:t xml:space="preserve"> </w:t>
      </w:r>
      <w:r w:rsidR="00204DCA" w:rsidRPr="00204DCA">
        <w:rPr>
          <w:rFonts w:cs="Segoe UI"/>
          <w:b/>
          <w:color w:val="000000" w:themeColor="text1"/>
          <w:szCs w:val="20"/>
        </w:rPr>
        <w:t xml:space="preserve">NKÚ SR </w:t>
      </w:r>
      <w:r w:rsidR="00D47662">
        <w:rPr>
          <w:rFonts w:cs="Segoe UI"/>
          <w:b/>
          <w:color w:val="000000" w:themeColor="text1"/>
          <w:szCs w:val="20"/>
        </w:rPr>
        <w:t xml:space="preserve">odporúča, aby zodpovedné orgány </w:t>
      </w:r>
      <w:r w:rsidR="00D47662">
        <w:rPr>
          <w:rFonts w:cs="Segoe UI"/>
          <w:b/>
          <w:color w:val="000000" w:themeColor="text1"/>
          <w:szCs w:val="20"/>
        </w:rPr>
        <w:lastRenderedPageBreak/>
        <w:t>venovali zvýšenú pozornosť vykazovaniu</w:t>
      </w:r>
      <w:r w:rsidR="00204DCA" w:rsidRPr="00204DCA">
        <w:rPr>
          <w:rFonts w:cs="Segoe UI"/>
          <w:b/>
          <w:color w:val="000000" w:themeColor="text1"/>
          <w:szCs w:val="20"/>
        </w:rPr>
        <w:t xml:space="preserve"> prostriedkov v</w:t>
      </w:r>
      <w:r w:rsidR="00D47662">
        <w:rPr>
          <w:rFonts w:cs="Segoe UI"/>
          <w:b/>
          <w:color w:val="000000" w:themeColor="text1"/>
          <w:szCs w:val="20"/>
        </w:rPr>
        <w:t> kontexte záväzných ukazovateľov</w:t>
      </w:r>
      <w:r w:rsidR="00FA418D">
        <w:rPr>
          <w:rFonts w:cs="Segoe UI"/>
          <w:b/>
          <w:color w:val="000000" w:themeColor="text1"/>
          <w:szCs w:val="20"/>
        </w:rPr>
        <w:t xml:space="preserve"> a uplatňovaniu</w:t>
      </w:r>
      <w:r w:rsidR="00D47662">
        <w:rPr>
          <w:rFonts w:cs="Segoe UI"/>
          <w:b/>
          <w:color w:val="000000" w:themeColor="text1"/>
          <w:szCs w:val="20"/>
        </w:rPr>
        <w:t xml:space="preserve"> </w:t>
      </w:r>
      <w:r w:rsidR="00204DCA" w:rsidRPr="00204DCA">
        <w:rPr>
          <w:rFonts w:cs="Segoe UI"/>
          <w:b/>
          <w:color w:val="000000" w:themeColor="text1"/>
          <w:szCs w:val="20"/>
        </w:rPr>
        <w:t>metodiky ESA 2010.</w:t>
      </w:r>
    </w:p>
    <w:p w14:paraId="298AE600" w14:textId="5573BE6A" w:rsidR="00E140A7" w:rsidRDefault="00E140A7" w:rsidP="00E140A7">
      <w:pPr>
        <w:rPr>
          <w:rFonts w:cs="Segoe UI"/>
          <w:b/>
          <w:szCs w:val="20"/>
        </w:rPr>
      </w:pPr>
      <w:r w:rsidRPr="00550D43">
        <w:rPr>
          <w:rFonts w:cs="Segoe UI"/>
          <w:b/>
          <w:szCs w:val="20"/>
        </w:rPr>
        <w:t xml:space="preserve">Príjmy z EÚ v PO 2021 – 2027 boli rozpočtované na rok 2023 v objeme 2,076 mld. eur, skutočné čerpanie ku koncu novembra predstavovalo 51 mil. eur, z toho 100 % </w:t>
      </w:r>
      <w:r>
        <w:rPr>
          <w:rFonts w:cs="Segoe UI"/>
          <w:b/>
          <w:szCs w:val="20"/>
        </w:rPr>
        <w:t>tvoria</w:t>
      </w:r>
      <w:r w:rsidRPr="00550D43">
        <w:rPr>
          <w:rFonts w:cs="Segoe UI"/>
          <w:b/>
          <w:szCs w:val="20"/>
        </w:rPr>
        <w:t xml:space="preserve"> bežné výdavky.</w:t>
      </w:r>
      <w:r>
        <w:rPr>
          <w:rFonts w:cs="Segoe UI"/>
          <w:b/>
          <w:szCs w:val="20"/>
        </w:rPr>
        <w:t xml:space="preserve"> </w:t>
      </w:r>
      <w:r w:rsidR="00AC6179" w:rsidRPr="00AC6179">
        <w:rPr>
          <w:rFonts w:cs="Segoe UI"/>
          <w:szCs w:val="20"/>
        </w:rPr>
        <w:t>Zálohové platby</w:t>
      </w:r>
      <w:r w:rsidRPr="004139F4">
        <w:rPr>
          <w:rFonts w:cs="Segoe UI"/>
          <w:szCs w:val="20"/>
        </w:rPr>
        <w:t xml:space="preserve"> E</w:t>
      </w:r>
      <w:r w:rsidR="00AC6179">
        <w:rPr>
          <w:rFonts w:cs="Segoe UI"/>
          <w:szCs w:val="20"/>
        </w:rPr>
        <w:t>K</w:t>
      </w:r>
      <w:r w:rsidRPr="004139F4">
        <w:rPr>
          <w:rFonts w:cs="Segoe UI"/>
          <w:szCs w:val="20"/>
        </w:rPr>
        <w:t xml:space="preserve"> pre S</w:t>
      </w:r>
      <w:r>
        <w:rPr>
          <w:rFonts w:cs="Segoe UI"/>
          <w:szCs w:val="20"/>
        </w:rPr>
        <w:t>R</w:t>
      </w:r>
      <w:r w:rsidRPr="004139F4">
        <w:rPr>
          <w:rFonts w:cs="Segoe UI"/>
          <w:szCs w:val="20"/>
        </w:rPr>
        <w:t xml:space="preserve"> bol</w:t>
      </w:r>
      <w:r w:rsidR="00AC6179">
        <w:rPr>
          <w:rFonts w:cs="Segoe UI"/>
          <w:szCs w:val="20"/>
        </w:rPr>
        <w:t>i</w:t>
      </w:r>
      <w:r w:rsidRPr="004139F4">
        <w:rPr>
          <w:rFonts w:cs="Segoe UI"/>
          <w:szCs w:val="20"/>
        </w:rPr>
        <w:t xml:space="preserve"> začiatk</w:t>
      </w:r>
      <w:r w:rsidR="00AC6179">
        <w:rPr>
          <w:rFonts w:cs="Segoe UI"/>
          <w:szCs w:val="20"/>
        </w:rPr>
        <w:t>om</w:t>
      </w:r>
      <w:r w:rsidRPr="004139F4">
        <w:rPr>
          <w:rFonts w:cs="Segoe UI"/>
          <w:szCs w:val="20"/>
        </w:rPr>
        <w:t xml:space="preserve"> decembra 2023 na úrovni 310,3 mil. eur</w:t>
      </w:r>
      <w:r>
        <w:rPr>
          <w:rFonts w:cs="Segoe UI"/>
          <w:szCs w:val="20"/>
        </w:rPr>
        <w:t>, z toho 182,6 mil. eur v rámci Európskeho fondu regionálneho rozvoja (graf 5)</w:t>
      </w:r>
      <w:r w:rsidRPr="004139F4">
        <w:rPr>
          <w:rFonts w:cs="Segoe UI"/>
          <w:szCs w:val="20"/>
        </w:rPr>
        <w:t>.</w:t>
      </w:r>
      <w:r>
        <w:rPr>
          <w:rFonts w:cs="Segoe UI"/>
          <w:b/>
          <w:szCs w:val="20"/>
        </w:rPr>
        <w:t xml:space="preserve"> </w:t>
      </w:r>
      <w:r w:rsidR="00AC6179">
        <w:rPr>
          <w:rFonts w:cs="Segoe UI"/>
          <w:b/>
          <w:szCs w:val="20"/>
        </w:rPr>
        <w:t>Ide</w:t>
      </w:r>
      <w:r>
        <w:rPr>
          <w:rFonts w:cs="Segoe UI"/>
          <w:b/>
          <w:szCs w:val="20"/>
        </w:rPr>
        <w:t xml:space="preserve"> o 2,46 % z celkovej alokácie PO </w:t>
      </w:r>
      <w:r w:rsidR="00494DDB">
        <w:rPr>
          <w:rFonts w:cs="Segoe UI"/>
          <w:b/>
          <w:szCs w:val="20"/>
        </w:rPr>
        <w:t> </w:t>
      </w:r>
      <w:r>
        <w:rPr>
          <w:rFonts w:cs="Segoe UI"/>
          <w:b/>
          <w:szCs w:val="20"/>
        </w:rPr>
        <w:t xml:space="preserve">2021 </w:t>
      </w:r>
      <w:r w:rsidR="00494DDB">
        <w:rPr>
          <w:rFonts w:cs="Segoe UI"/>
          <w:b/>
          <w:szCs w:val="20"/>
        </w:rPr>
        <w:t> </w:t>
      </w:r>
      <w:r>
        <w:rPr>
          <w:rFonts w:cs="Segoe UI"/>
          <w:b/>
          <w:szCs w:val="20"/>
        </w:rPr>
        <w:t xml:space="preserve">– </w:t>
      </w:r>
      <w:r w:rsidR="00494DDB">
        <w:rPr>
          <w:rFonts w:cs="Segoe UI"/>
          <w:b/>
          <w:szCs w:val="20"/>
        </w:rPr>
        <w:t> </w:t>
      </w:r>
      <w:r>
        <w:rPr>
          <w:rFonts w:cs="Segoe UI"/>
          <w:b/>
          <w:szCs w:val="20"/>
        </w:rPr>
        <w:t xml:space="preserve">2027. </w:t>
      </w:r>
    </w:p>
    <w:p w14:paraId="267E54E0" w14:textId="77777777" w:rsidR="003C5000" w:rsidRDefault="003C5000" w:rsidP="003C5000">
      <w:pPr>
        <w:pStyle w:val="Popis"/>
        <w:keepNext/>
      </w:pPr>
      <w:r>
        <w:t xml:space="preserve">Tabuľka </w:t>
      </w:r>
      <w:r>
        <w:rPr>
          <w:noProof/>
        </w:rPr>
        <w:t>5:</w:t>
      </w:r>
      <w:r>
        <w:t xml:space="preserve"> Miera čerpania a zostatok na deklarovanie na EK v rámci PO 2014 - 2020 podľa OP</w:t>
      </w:r>
    </w:p>
    <w:tbl>
      <w:tblPr>
        <w:tblW w:w="8931" w:type="dxa"/>
        <w:tblCellMar>
          <w:left w:w="70" w:type="dxa"/>
          <w:right w:w="70" w:type="dxa"/>
        </w:tblCellMar>
        <w:tblLook w:val="04A0" w:firstRow="1" w:lastRow="0" w:firstColumn="1" w:lastColumn="0" w:noHBand="0" w:noVBand="1"/>
      </w:tblPr>
      <w:tblGrid>
        <w:gridCol w:w="2740"/>
        <w:gridCol w:w="3072"/>
        <w:gridCol w:w="3119"/>
      </w:tblGrid>
      <w:tr w:rsidR="003C5000" w:rsidRPr="00165BE0" w14:paraId="5B3F80D5" w14:textId="77777777" w:rsidTr="00B505D4">
        <w:trPr>
          <w:trHeight w:val="850"/>
        </w:trPr>
        <w:tc>
          <w:tcPr>
            <w:tcW w:w="2740" w:type="dxa"/>
            <w:tcBorders>
              <w:top w:val="nil"/>
              <w:left w:val="nil"/>
              <w:right w:val="nil"/>
            </w:tcBorders>
            <w:shd w:val="clear" w:color="000000" w:fill="314364"/>
            <w:vAlign w:val="center"/>
            <w:hideMark/>
          </w:tcPr>
          <w:p w14:paraId="578ADDE8" w14:textId="77777777" w:rsidR="003C5000" w:rsidRPr="00165BE0" w:rsidRDefault="003C5000" w:rsidP="00B505D4">
            <w:pPr>
              <w:spacing w:after="0" w:line="240" w:lineRule="auto"/>
              <w:jc w:val="left"/>
              <w:rPr>
                <w:rFonts w:eastAsia="Times New Roman" w:cs="Segoe UI"/>
                <w:b/>
                <w:bCs/>
                <w:color w:val="FFFFFF"/>
                <w:sz w:val="18"/>
                <w:szCs w:val="18"/>
                <w:lang w:eastAsia="sk-SK"/>
              </w:rPr>
            </w:pPr>
            <w:r w:rsidRPr="00165BE0">
              <w:rPr>
                <w:rFonts w:eastAsia="Times New Roman" w:cs="Segoe UI"/>
                <w:b/>
                <w:bCs/>
                <w:color w:val="FFFFFF"/>
                <w:sz w:val="18"/>
                <w:szCs w:val="18"/>
                <w:lang w:eastAsia="sk-SK"/>
              </w:rPr>
              <w:t>Operačný program</w:t>
            </w:r>
          </w:p>
        </w:tc>
        <w:tc>
          <w:tcPr>
            <w:tcW w:w="3072" w:type="dxa"/>
            <w:tcBorders>
              <w:top w:val="nil"/>
              <w:left w:val="nil"/>
              <w:right w:val="nil"/>
            </w:tcBorders>
            <w:shd w:val="clear" w:color="000000" w:fill="314364"/>
            <w:vAlign w:val="center"/>
            <w:hideMark/>
          </w:tcPr>
          <w:p w14:paraId="056FE088" w14:textId="77777777" w:rsidR="003C5000" w:rsidRPr="00165BE0" w:rsidRDefault="003C5000" w:rsidP="00B505D4">
            <w:pPr>
              <w:spacing w:after="0" w:line="240" w:lineRule="auto"/>
              <w:jc w:val="center"/>
              <w:rPr>
                <w:rFonts w:eastAsia="Times New Roman" w:cs="Segoe UI"/>
                <w:b/>
                <w:bCs/>
                <w:color w:val="FFFFFF"/>
                <w:sz w:val="18"/>
                <w:szCs w:val="18"/>
                <w:lang w:eastAsia="sk-SK"/>
              </w:rPr>
            </w:pPr>
            <w:r w:rsidRPr="00165BE0">
              <w:rPr>
                <w:rFonts w:eastAsia="Times New Roman" w:cs="Segoe UI"/>
                <w:b/>
                <w:bCs/>
                <w:color w:val="FFFFFF"/>
                <w:sz w:val="18"/>
                <w:szCs w:val="18"/>
                <w:lang w:eastAsia="sk-SK"/>
              </w:rPr>
              <w:t xml:space="preserve">Podiel čerpania na alokácii </w:t>
            </w:r>
            <w:r>
              <w:rPr>
                <w:rFonts w:eastAsia="Times New Roman" w:cs="Segoe UI"/>
                <w:b/>
                <w:bCs/>
                <w:color w:val="FFFFFF"/>
                <w:sz w:val="18"/>
                <w:szCs w:val="18"/>
                <w:lang w:eastAsia="sk-SK"/>
              </w:rPr>
              <w:br/>
            </w:r>
            <w:r w:rsidRPr="00165BE0">
              <w:rPr>
                <w:rFonts w:eastAsia="Times New Roman" w:cs="Segoe UI"/>
                <w:b/>
                <w:bCs/>
                <w:color w:val="FFFFFF"/>
                <w:sz w:val="18"/>
                <w:szCs w:val="18"/>
                <w:lang w:eastAsia="sk-SK"/>
              </w:rPr>
              <w:t xml:space="preserve">2014-2020 </w:t>
            </w:r>
            <w:r>
              <w:rPr>
                <w:rFonts w:eastAsia="Times New Roman" w:cs="Segoe UI"/>
                <w:b/>
                <w:bCs/>
                <w:color w:val="FFFFFF"/>
                <w:sz w:val="18"/>
                <w:szCs w:val="18"/>
                <w:lang w:eastAsia="sk-SK"/>
              </w:rPr>
              <w:t>(</w:t>
            </w:r>
            <w:r w:rsidRPr="00165BE0">
              <w:rPr>
                <w:rFonts w:eastAsia="Times New Roman" w:cs="Segoe UI"/>
                <w:b/>
                <w:bCs/>
                <w:color w:val="FFFFFF"/>
                <w:sz w:val="18"/>
                <w:szCs w:val="18"/>
                <w:lang w:eastAsia="sk-SK"/>
              </w:rPr>
              <w:t>v %</w:t>
            </w:r>
            <w:r>
              <w:rPr>
                <w:rFonts w:eastAsia="Times New Roman" w:cs="Segoe UI"/>
                <w:b/>
                <w:bCs/>
                <w:color w:val="FFFFFF"/>
                <w:sz w:val="18"/>
                <w:szCs w:val="18"/>
                <w:lang w:eastAsia="sk-SK"/>
              </w:rPr>
              <w:t>)</w:t>
            </w:r>
          </w:p>
        </w:tc>
        <w:tc>
          <w:tcPr>
            <w:tcW w:w="3119" w:type="dxa"/>
            <w:tcBorders>
              <w:top w:val="nil"/>
              <w:left w:val="nil"/>
              <w:right w:val="nil"/>
            </w:tcBorders>
            <w:shd w:val="clear" w:color="000000" w:fill="314364"/>
            <w:vAlign w:val="center"/>
            <w:hideMark/>
          </w:tcPr>
          <w:p w14:paraId="30056D51" w14:textId="77777777" w:rsidR="003C5000" w:rsidRPr="00165BE0" w:rsidRDefault="003C5000" w:rsidP="00B505D4">
            <w:pPr>
              <w:spacing w:after="0" w:line="240" w:lineRule="auto"/>
              <w:jc w:val="center"/>
              <w:rPr>
                <w:rFonts w:eastAsia="Times New Roman" w:cs="Segoe UI"/>
                <w:b/>
                <w:bCs/>
                <w:color w:val="FFFFFF"/>
                <w:sz w:val="18"/>
                <w:szCs w:val="18"/>
                <w:lang w:eastAsia="sk-SK"/>
              </w:rPr>
            </w:pPr>
            <w:r>
              <w:rPr>
                <w:rFonts w:eastAsia="Times New Roman" w:cs="Segoe UI"/>
                <w:b/>
                <w:bCs/>
                <w:color w:val="FFFFFF"/>
                <w:sz w:val="18"/>
                <w:szCs w:val="18"/>
                <w:lang w:eastAsia="sk-SK"/>
              </w:rPr>
              <w:t>Zo</w:t>
            </w:r>
            <w:r w:rsidRPr="00165BE0">
              <w:rPr>
                <w:rFonts w:eastAsia="Times New Roman" w:cs="Segoe UI"/>
                <w:b/>
                <w:bCs/>
                <w:color w:val="FFFFFF"/>
                <w:sz w:val="18"/>
                <w:szCs w:val="18"/>
                <w:lang w:eastAsia="sk-SK"/>
              </w:rPr>
              <w:t xml:space="preserve">stáva deklarovať na EK pre vyčerpanie alokácie v rokoch </w:t>
            </w:r>
            <w:r>
              <w:rPr>
                <w:rFonts w:eastAsia="Times New Roman" w:cs="Segoe UI"/>
                <w:b/>
                <w:bCs/>
                <w:color w:val="FFFFFF"/>
                <w:sz w:val="18"/>
                <w:szCs w:val="18"/>
                <w:lang w:eastAsia="sk-SK"/>
              </w:rPr>
              <w:br/>
            </w:r>
            <w:r w:rsidRPr="00165BE0">
              <w:rPr>
                <w:rFonts w:eastAsia="Times New Roman" w:cs="Segoe UI"/>
                <w:b/>
                <w:bCs/>
                <w:color w:val="FFFFFF"/>
                <w:sz w:val="18"/>
                <w:szCs w:val="18"/>
                <w:lang w:eastAsia="sk-SK"/>
              </w:rPr>
              <w:t xml:space="preserve">2023 a 2024 </w:t>
            </w:r>
            <w:r>
              <w:rPr>
                <w:rFonts w:eastAsia="Times New Roman" w:cs="Segoe UI"/>
                <w:b/>
                <w:bCs/>
                <w:color w:val="FFFFFF"/>
                <w:sz w:val="18"/>
                <w:szCs w:val="18"/>
                <w:lang w:eastAsia="sk-SK"/>
              </w:rPr>
              <w:t>(</w:t>
            </w:r>
            <w:r w:rsidRPr="00165BE0">
              <w:rPr>
                <w:rFonts w:eastAsia="Times New Roman" w:cs="Segoe UI"/>
                <w:b/>
                <w:bCs/>
                <w:color w:val="FFFFFF"/>
                <w:sz w:val="18"/>
                <w:szCs w:val="18"/>
                <w:lang w:eastAsia="sk-SK"/>
              </w:rPr>
              <w:t>v mil. eur</w:t>
            </w:r>
            <w:r>
              <w:rPr>
                <w:rFonts w:eastAsia="Times New Roman" w:cs="Segoe UI"/>
                <w:b/>
                <w:bCs/>
                <w:color w:val="FFFFFF"/>
                <w:sz w:val="18"/>
                <w:szCs w:val="18"/>
                <w:lang w:eastAsia="sk-SK"/>
              </w:rPr>
              <w:t>)</w:t>
            </w:r>
          </w:p>
        </w:tc>
      </w:tr>
      <w:tr w:rsidR="003C5000" w:rsidRPr="00165BE0" w14:paraId="1782BCAF" w14:textId="77777777" w:rsidTr="00B505D4">
        <w:trPr>
          <w:trHeight w:val="276"/>
        </w:trPr>
        <w:tc>
          <w:tcPr>
            <w:tcW w:w="2740" w:type="dxa"/>
            <w:tcBorders>
              <w:left w:val="nil"/>
              <w:bottom w:val="nil"/>
              <w:right w:val="nil"/>
            </w:tcBorders>
            <w:shd w:val="clear" w:color="auto" w:fill="auto"/>
            <w:vAlign w:val="center"/>
            <w:hideMark/>
          </w:tcPr>
          <w:p w14:paraId="2E3E655D" w14:textId="77777777" w:rsidR="003C5000" w:rsidRPr="00165BE0" w:rsidRDefault="003C5000" w:rsidP="00B505D4">
            <w:pPr>
              <w:spacing w:after="0" w:line="240" w:lineRule="auto"/>
              <w:jc w:val="left"/>
              <w:rPr>
                <w:rFonts w:eastAsia="Times New Roman" w:cs="Segoe UI"/>
                <w:color w:val="000000"/>
                <w:sz w:val="18"/>
                <w:szCs w:val="18"/>
                <w:lang w:eastAsia="sk-SK"/>
              </w:rPr>
            </w:pPr>
            <w:r w:rsidRPr="00165BE0">
              <w:rPr>
                <w:rFonts w:eastAsia="Times New Roman" w:cs="Segoe UI"/>
                <w:color w:val="000000"/>
                <w:sz w:val="18"/>
                <w:szCs w:val="18"/>
                <w:lang w:eastAsia="sk-SK"/>
              </w:rPr>
              <w:t>OP Integrovaná infraštruktúra</w:t>
            </w:r>
          </w:p>
        </w:tc>
        <w:tc>
          <w:tcPr>
            <w:tcW w:w="3072" w:type="dxa"/>
            <w:tcBorders>
              <w:left w:val="nil"/>
              <w:bottom w:val="nil"/>
              <w:right w:val="nil"/>
            </w:tcBorders>
            <w:shd w:val="clear" w:color="auto" w:fill="auto"/>
            <w:vAlign w:val="center"/>
            <w:hideMark/>
          </w:tcPr>
          <w:p w14:paraId="2AC36F89" w14:textId="77777777" w:rsidR="003C5000" w:rsidRPr="00165BE0" w:rsidRDefault="003C5000" w:rsidP="00B505D4">
            <w:pPr>
              <w:spacing w:after="0" w:line="240" w:lineRule="auto"/>
              <w:jc w:val="center"/>
              <w:rPr>
                <w:rFonts w:eastAsia="Times New Roman" w:cs="Segoe UI"/>
                <w:color w:val="000000"/>
                <w:sz w:val="18"/>
                <w:szCs w:val="18"/>
                <w:lang w:eastAsia="sk-SK"/>
              </w:rPr>
            </w:pPr>
            <w:r w:rsidRPr="00165BE0">
              <w:rPr>
                <w:rFonts w:eastAsia="Times New Roman" w:cs="Segoe UI"/>
                <w:color w:val="000000"/>
                <w:sz w:val="18"/>
                <w:szCs w:val="18"/>
                <w:lang w:eastAsia="sk-SK"/>
              </w:rPr>
              <w:t>88,84%</w:t>
            </w:r>
          </w:p>
        </w:tc>
        <w:tc>
          <w:tcPr>
            <w:tcW w:w="3119" w:type="dxa"/>
            <w:tcBorders>
              <w:left w:val="nil"/>
              <w:bottom w:val="nil"/>
              <w:right w:val="nil"/>
            </w:tcBorders>
            <w:shd w:val="clear" w:color="auto" w:fill="auto"/>
            <w:vAlign w:val="center"/>
            <w:hideMark/>
          </w:tcPr>
          <w:p w14:paraId="269AB0F0" w14:textId="77777777" w:rsidR="003C5000" w:rsidRPr="00165BE0" w:rsidRDefault="003C5000" w:rsidP="00B505D4">
            <w:pPr>
              <w:spacing w:after="0" w:line="240" w:lineRule="auto"/>
              <w:ind w:right="1059"/>
              <w:jc w:val="right"/>
              <w:rPr>
                <w:rFonts w:eastAsia="Times New Roman" w:cs="Segoe UI"/>
                <w:color w:val="000000"/>
                <w:sz w:val="18"/>
                <w:szCs w:val="18"/>
                <w:lang w:eastAsia="sk-SK"/>
              </w:rPr>
            </w:pPr>
            <w:r w:rsidRPr="00165BE0">
              <w:rPr>
                <w:rFonts w:eastAsia="Times New Roman" w:cs="Segoe UI"/>
                <w:color w:val="000000"/>
                <w:sz w:val="18"/>
                <w:szCs w:val="18"/>
                <w:lang w:eastAsia="sk-SK"/>
              </w:rPr>
              <w:t>1 024,75</w:t>
            </w:r>
          </w:p>
        </w:tc>
      </w:tr>
      <w:tr w:rsidR="003C5000" w:rsidRPr="00165BE0" w14:paraId="39ACEB29" w14:textId="77777777" w:rsidTr="00B505D4">
        <w:trPr>
          <w:trHeight w:val="276"/>
        </w:trPr>
        <w:tc>
          <w:tcPr>
            <w:tcW w:w="2740" w:type="dxa"/>
            <w:tcBorders>
              <w:top w:val="nil"/>
              <w:left w:val="nil"/>
              <w:bottom w:val="nil"/>
              <w:right w:val="nil"/>
            </w:tcBorders>
            <w:shd w:val="clear" w:color="auto" w:fill="auto"/>
            <w:vAlign w:val="center"/>
            <w:hideMark/>
          </w:tcPr>
          <w:p w14:paraId="0D8D42B8" w14:textId="77777777" w:rsidR="003C5000" w:rsidRPr="00165BE0" w:rsidRDefault="003C5000" w:rsidP="00B505D4">
            <w:pPr>
              <w:spacing w:after="0" w:line="240" w:lineRule="auto"/>
              <w:jc w:val="left"/>
              <w:rPr>
                <w:rFonts w:eastAsia="Times New Roman" w:cs="Segoe UI"/>
                <w:color w:val="000000"/>
                <w:sz w:val="18"/>
                <w:szCs w:val="18"/>
                <w:lang w:eastAsia="sk-SK"/>
              </w:rPr>
            </w:pPr>
            <w:r w:rsidRPr="00165BE0">
              <w:rPr>
                <w:rFonts w:eastAsia="Times New Roman" w:cs="Segoe UI"/>
                <w:color w:val="000000"/>
                <w:sz w:val="18"/>
                <w:szCs w:val="18"/>
                <w:lang w:eastAsia="sk-SK"/>
              </w:rPr>
              <w:t>OP Ľudské zdroje</w:t>
            </w:r>
          </w:p>
        </w:tc>
        <w:tc>
          <w:tcPr>
            <w:tcW w:w="3072" w:type="dxa"/>
            <w:tcBorders>
              <w:top w:val="nil"/>
              <w:left w:val="nil"/>
              <w:bottom w:val="nil"/>
              <w:right w:val="nil"/>
            </w:tcBorders>
            <w:shd w:val="clear" w:color="auto" w:fill="auto"/>
            <w:vAlign w:val="center"/>
            <w:hideMark/>
          </w:tcPr>
          <w:p w14:paraId="7F4548B5" w14:textId="77777777" w:rsidR="003C5000" w:rsidRPr="00165BE0" w:rsidRDefault="003C5000" w:rsidP="00B505D4">
            <w:pPr>
              <w:spacing w:after="0" w:line="240" w:lineRule="auto"/>
              <w:jc w:val="center"/>
              <w:rPr>
                <w:rFonts w:eastAsia="Times New Roman" w:cs="Segoe UI"/>
                <w:color w:val="000000"/>
                <w:sz w:val="18"/>
                <w:szCs w:val="18"/>
                <w:lang w:eastAsia="sk-SK"/>
              </w:rPr>
            </w:pPr>
            <w:r w:rsidRPr="00165BE0">
              <w:rPr>
                <w:rFonts w:eastAsia="Times New Roman" w:cs="Segoe UI"/>
                <w:color w:val="000000"/>
                <w:sz w:val="18"/>
                <w:szCs w:val="18"/>
                <w:lang w:eastAsia="sk-SK"/>
              </w:rPr>
              <w:t>93,57%</w:t>
            </w:r>
          </w:p>
        </w:tc>
        <w:tc>
          <w:tcPr>
            <w:tcW w:w="3119" w:type="dxa"/>
            <w:tcBorders>
              <w:top w:val="nil"/>
              <w:left w:val="nil"/>
              <w:bottom w:val="nil"/>
              <w:right w:val="nil"/>
            </w:tcBorders>
            <w:shd w:val="clear" w:color="auto" w:fill="auto"/>
            <w:vAlign w:val="center"/>
            <w:hideMark/>
          </w:tcPr>
          <w:p w14:paraId="20034CFB" w14:textId="77777777" w:rsidR="003C5000" w:rsidRPr="00165BE0" w:rsidRDefault="003C5000" w:rsidP="00B505D4">
            <w:pPr>
              <w:spacing w:after="0" w:line="240" w:lineRule="auto"/>
              <w:ind w:right="1059"/>
              <w:jc w:val="right"/>
              <w:rPr>
                <w:rFonts w:eastAsia="Times New Roman" w:cs="Segoe UI"/>
                <w:color w:val="000000"/>
                <w:sz w:val="18"/>
                <w:szCs w:val="18"/>
                <w:lang w:eastAsia="sk-SK"/>
              </w:rPr>
            </w:pPr>
            <w:r w:rsidRPr="00165BE0">
              <w:rPr>
                <w:rFonts w:eastAsia="Times New Roman" w:cs="Segoe UI"/>
                <w:color w:val="000000"/>
                <w:sz w:val="18"/>
                <w:szCs w:val="18"/>
                <w:lang w:eastAsia="sk-SK"/>
              </w:rPr>
              <w:t>382,92</w:t>
            </w:r>
          </w:p>
        </w:tc>
      </w:tr>
      <w:tr w:rsidR="003C5000" w:rsidRPr="00165BE0" w14:paraId="06C8B04B" w14:textId="77777777" w:rsidTr="00B505D4">
        <w:trPr>
          <w:trHeight w:val="276"/>
        </w:trPr>
        <w:tc>
          <w:tcPr>
            <w:tcW w:w="2740" w:type="dxa"/>
            <w:tcBorders>
              <w:top w:val="nil"/>
              <w:left w:val="nil"/>
              <w:bottom w:val="nil"/>
              <w:right w:val="nil"/>
            </w:tcBorders>
            <w:shd w:val="clear" w:color="auto" w:fill="auto"/>
            <w:vAlign w:val="center"/>
            <w:hideMark/>
          </w:tcPr>
          <w:p w14:paraId="39C663A7" w14:textId="77777777" w:rsidR="003C5000" w:rsidRPr="00165BE0" w:rsidRDefault="003C5000" w:rsidP="00B505D4">
            <w:pPr>
              <w:spacing w:after="0" w:line="240" w:lineRule="auto"/>
              <w:jc w:val="left"/>
              <w:rPr>
                <w:rFonts w:eastAsia="Times New Roman" w:cs="Segoe UI"/>
                <w:color w:val="000000"/>
                <w:sz w:val="18"/>
                <w:szCs w:val="18"/>
                <w:lang w:eastAsia="sk-SK"/>
              </w:rPr>
            </w:pPr>
            <w:r w:rsidRPr="00165BE0">
              <w:rPr>
                <w:rFonts w:eastAsia="Times New Roman" w:cs="Segoe UI"/>
                <w:color w:val="000000"/>
                <w:sz w:val="18"/>
                <w:szCs w:val="18"/>
                <w:lang w:eastAsia="sk-SK"/>
              </w:rPr>
              <w:t>OP Kvalita životného prostredia</w:t>
            </w:r>
          </w:p>
        </w:tc>
        <w:tc>
          <w:tcPr>
            <w:tcW w:w="3072" w:type="dxa"/>
            <w:tcBorders>
              <w:top w:val="nil"/>
              <w:left w:val="nil"/>
              <w:bottom w:val="nil"/>
              <w:right w:val="nil"/>
            </w:tcBorders>
            <w:shd w:val="clear" w:color="auto" w:fill="auto"/>
            <w:vAlign w:val="center"/>
            <w:hideMark/>
          </w:tcPr>
          <w:p w14:paraId="0AE9DCC1" w14:textId="77777777" w:rsidR="003C5000" w:rsidRPr="00165BE0" w:rsidRDefault="003C5000" w:rsidP="00B505D4">
            <w:pPr>
              <w:spacing w:after="0" w:line="240" w:lineRule="auto"/>
              <w:jc w:val="center"/>
              <w:rPr>
                <w:rFonts w:eastAsia="Times New Roman" w:cs="Segoe UI"/>
                <w:color w:val="000000"/>
                <w:sz w:val="18"/>
                <w:szCs w:val="18"/>
                <w:lang w:eastAsia="sk-SK"/>
              </w:rPr>
            </w:pPr>
            <w:r w:rsidRPr="00165BE0">
              <w:rPr>
                <w:rFonts w:eastAsia="Times New Roman" w:cs="Segoe UI"/>
                <w:color w:val="000000"/>
                <w:sz w:val="18"/>
                <w:szCs w:val="18"/>
                <w:lang w:eastAsia="sk-SK"/>
              </w:rPr>
              <w:t>73,02%</w:t>
            </w:r>
          </w:p>
        </w:tc>
        <w:tc>
          <w:tcPr>
            <w:tcW w:w="3119" w:type="dxa"/>
            <w:tcBorders>
              <w:top w:val="nil"/>
              <w:left w:val="nil"/>
              <w:bottom w:val="nil"/>
              <w:right w:val="nil"/>
            </w:tcBorders>
            <w:shd w:val="clear" w:color="auto" w:fill="auto"/>
            <w:vAlign w:val="center"/>
            <w:hideMark/>
          </w:tcPr>
          <w:p w14:paraId="48C69ED8" w14:textId="77777777" w:rsidR="003C5000" w:rsidRPr="00165BE0" w:rsidRDefault="003C5000" w:rsidP="00B505D4">
            <w:pPr>
              <w:spacing w:after="0" w:line="240" w:lineRule="auto"/>
              <w:ind w:right="1059"/>
              <w:jc w:val="right"/>
              <w:rPr>
                <w:rFonts w:eastAsia="Times New Roman" w:cs="Segoe UI"/>
                <w:color w:val="000000"/>
                <w:sz w:val="18"/>
                <w:szCs w:val="18"/>
                <w:lang w:eastAsia="sk-SK"/>
              </w:rPr>
            </w:pPr>
            <w:r w:rsidRPr="00165BE0">
              <w:rPr>
                <w:rFonts w:eastAsia="Times New Roman" w:cs="Segoe UI"/>
                <w:color w:val="000000"/>
                <w:sz w:val="18"/>
                <w:szCs w:val="18"/>
                <w:lang w:eastAsia="sk-SK"/>
              </w:rPr>
              <w:t>850,65</w:t>
            </w:r>
          </w:p>
        </w:tc>
      </w:tr>
      <w:tr w:rsidR="003C5000" w:rsidRPr="00165BE0" w14:paraId="71F93EC0" w14:textId="77777777" w:rsidTr="00B505D4">
        <w:trPr>
          <w:trHeight w:val="276"/>
        </w:trPr>
        <w:tc>
          <w:tcPr>
            <w:tcW w:w="2740" w:type="dxa"/>
            <w:tcBorders>
              <w:top w:val="nil"/>
              <w:left w:val="nil"/>
              <w:bottom w:val="nil"/>
              <w:right w:val="nil"/>
            </w:tcBorders>
            <w:shd w:val="clear" w:color="auto" w:fill="auto"/>
            <w:vAlign w:val="center"/>
            <w:hideMark/>
          </w:tcPr>
          <w:p w14:paraId="5C1FEF55" w14:textId="77777777" w:rsidR="003C5000" w:rsidRPr="00165BE0" w:rsidRDefault="003C5000" w:rsidP="00B505D4">
            <w:pPr>
              <w:spacing w:after="0" w:line="240" w:lineRule="auto"/>
              <w:jc w:val="left"/>
              <w:rPr>
                <w:rFonts w:eastAsia="Times New Roman" w:cs="Segoe UI"/>
                <w:color w:val="000000"/>
                <w:sz w:val="18"/>
                <w:szCs w:val="18"/>
                <w:lang w:eastAsia="sk-SK"/>
              </w:rPr>
            </w:pPr>
            <w:r w:rsidRPr="00165BE0">
              <w:rPr>
                <w:rFonts w:eastAsia="Times New Roman" w:cs="Segoe UI"/>
                <w:color w:val="000000"/>
                <w:sz w:val="18"/>
                <w:szCs w:val="18"/>
                <w:lang w:eastAsia="sk-SK"/>
              </w:rPr>
              <w:t>Integrovaný regionálny OP</w:t>
            </w:r>
          </w:p>
        </w:tc>
        <w:tc>
          <w:tcPr>
            <w:tcW w:w="3072" w:type="dxa"/>
            <w:tcBorders>
              <w:top w:val="nil"/>
              <w:left w:val="nil"/>
              <w:bottom w:val="nil"/>
              <w:right w:val="nil"/>
            </w:tcBorders>
            <w:shd w:val="clear" w:color="auto" w:fill="auto"/>
            <w:vAlign w:val="center"/>
            <w:hideMark/>
          </w:tcPr>
          <w:p w14:paraId="502D71A9" w14:textId="77777777" w:rsidR="003C5000" w:rsidRPr="00165BE0" w:rsidRDefault="003C5000" w:rsidP="00B505D4">
            <w:pPr>
              <w:spacing w:after="0" w:line="240" w:lineRule="auto"/>
              <w:jc w:val="center"/>
              <w:rPr>
                <w:rFonts w:eastAsia="Times New Roman" w:cs="Segoe UI"/>
                <w:color w:val="000000"/>
                <w:sz w:val="18"/>
                <w:szCs w:val="18"/>
                <w:lang w:eastAsia="sk-SK"/>
              </w:rPr>
            </w:pPr>
            <w:r w:rsidRPr="00165BE0">
              <w:rPr>
                <w:rFonts w:eastAsia="Times New Roman" w:cs="Segoe UI"/>
                <w:color w:val="000000"/>
                <w:sz w:val="18"/>
                <w:szCs w:val="18"/>
                <w:lang w:eastAsia="sk-SK"/>
              </w:rPr>
              <w:t>92,55%</w:t>
            </w:r>
          </w:p>
        </w:tc>
        <w:tc>
          <w:tcPr>
            <w:tcW w:w="3119" w:type="dxa"/>
            <w:tcBorders>
              <w:top w:val="nil"/>
              <w:left w:val="nil"/>
              <w:bottom w:val="nil"/>
              <w:right w:val="nil"/>
            </w:tcBorders>
            <w:shd w:val="clear" w:color="auto" w:fill="auto"/>
            <w:vAlign w:val="center"/>
            <w:hideMark/>
          </w:tcPr>
          <w:p w14:paraId="7A6E3BCE" w14:textId="77777777" w:rsidR="003C5000" w:rsidRPr="00165BE0" w:rsidRDefault="003C5000" w:rsidP="00B505D4">
            <w:pPr>
              <w:spacing w:after="0" w:line="240" w:lineRule="auto"/>
              <w:ind w:right="1059"/>
              <w:jc w:val="right"/>
              <w:rPr>
                <w:rFonts w:eastAsia="Times New Roman" w:cs="Segoe UI"/>
                <w:color w:val="000000"/>
                <w:sz w:val="18"/>
                <w:szCs w:val="18"/>
                <w:lang w:eastAsia="sk-SK"/>
              </w:rPr>
            </w:pPr>
            <w:r w:rsidRPr="00165BE0">
              <w:rPr>
                <w:rFonts w:eastAsia="Times New Roman" w:cs="Segoe UI"/>
                <w:color w:val="000000"/>
                <w:sz w:val="18"/>
                <w:szCs w:val="18"/>
                <w:lang w:eastAsia="sk-SK"/>
              </w:rPr>
              <w:t>324,36</w:t>
            </w:r>
          </w:p>
        </w:tc>
      </w:tr>
      <w:tr w:rsidR="003C5000" w:rsidRPr="00165BE0" w14:paraId="5AEA3CC2" w14:textId="77777777" w:rsidTr="00B505D4">
        <w:trPr>
          <w:trHeight w:val="276"/>
        </w:trPr>
        <w:tc>
          <w:tcPr>
            <w:tcW w:w="2740" w:type="dxa"/>
            <w:tcBorders>
              <w:top w:val="nil"/>
              <w:left w:val="nil"/>
              <w:bottom w:val="nil"/>
              <w:right w:val="nil"/>
            </w:tcBorders>
            <w:shd w:val="clear" w:color="auto" w:fill="auto"/>
            <w:vAlign w:val="center"/>
            <w:hideMark/>
          </w:tcPr>
          <w:p w14:paraId="01E941C4" w14:textId="77777777" w:rsidR="003C5000" w:rsidRPr="00165BE0" w:rsidRDefault="003C5000" w:rsidP="00B505D4">
            <w:pPr>
              <w:spacing w:after="0" w:line="240" w:lineRule="auto"/>
              <w:jc w:val="left"/>
              <w:rPr>
                <w:rFonts w:eastAsia="Times New Roman" w:cs="Segoe UI"/>
                <w:color w:val="000000"/>
                <w:sz w:val="18"/>
                <w:szCs w:val="18"/>
                <w:lang w:eastAsia="sk-SK"/>
              </w:rPr>
            </w:pPr>
            <w:r w:rsidRPr="00165BE0">
              <w:rPr>
                <w:rFonts w:eastAsia="Times New Roman" w:cs="Segoe UI"/>
                <w:color w:val="000000"/>
                <w:sz w:val="18"/>
                <w:szCs w:val="18"/>
                <w:lang w:eastAsia="sk-SK"/>
              </w:rPr>
              <w:t>OP Efektívna verejná správa</w:t>
            </w:r>
          </w:p>
        </w:tc>
        <w:tc>
          <w:tcPr>
            <w:tcW w:w="3072" w:type="dxa"/>
            <w:tcBorders>
              <w:top w:val="nil"/>
              <w:left w:val="nil"/>
              <w:bottom w:val="nil"/>
              <w:right w:val="nil"/>
            </w:tcBorders>
            <w:shd w:val="clear" w:color="auto" w:fill="auto"/>
            <w:vAlign w:val="center"/>
            <w:hideMark/>
          </w:tcPr>
          <w:p w14:paraId="6C8CB2F9" w14:textId="77777777" w:rsidR="003C5000" w:rsidRPr="00165BE0" w:rsidRDefault="003C5000" w:rsidP="00B505D4">
            <w:pPr>
              <w:spacing w:after="0" w:line="240" w:lineRule="auto"/>
              <w:jc w:val="center"/>
              <w:rPr>
                <w:rFonts w:eastAsia="Times New Roman" w:cs="Segoe UI"/>
                <w:color w:val="000000"/>
                <w:sz w:val="18"/>
                <w:szCs w:val="18"/>
                <w:lang w:eastAsia="sk-SK"/>
              </w:rPr>
            </w:pPr>
            <w:r w:rsidRPr="00165BE0">
              <w:rPr>
                <w:rFonts w:eastAsia="Times New Roman" w:cs="Segoe UI"/>
                <w:color w:val="000000"/>
                <w:sz w:val="18"/>
                <w:szCs w:val="18"/>
                <w:lang w:eastAsia="sk-SK"/>
              </w:rPr>
              <w:t>92,59%</w:t>
            </w:r>
          </w:p>
        </w:tc>
        <w:tc>
          <w:tcPr>
            <w:tcW w:w="3119" w:type="dxa"/>
            <w:tcBorders>
              <w:top w:val="nil"/>
              <w:left w:val="nil"/>
              <w:bottom w:val="nil"/>
              <w:right w:val="nil"/>
            </w:tcBorders>
            <w:shd w:val="clear" w:color="auto" w:fill="auto"/>
            <w:vAlign w:val="center"/>
            <w:hideMark/>
          </w:tcPr>
          <w:p w14:paraId="6CBAF231" w14:textId="77777777" w:rsidR="003C5000" w:rsidRPr="00165BE0" w:rsidRDefault="003C5000" w:rsidP="00B505D4">
            <w:pPr>
              <w:spacing w:after="0" w:line="240" w:lineRule="auto"/>
              <w:ind w:right="1059"/>
              <w:jc w:val="right"/>
              <w:rPr>
                <w:rFonts w:eastAsia="Times New Roman" w:cs="Segoe UI"/>
                <w:color w:val="000000"/>
                <w:sz w:val="18"/>
                <w:szCs w:val="18"/>
                <w:lang w:eastAsia="sk-SK"/>
              </w:rPr>
            </w:pPr>
            <w:r w:rsidRPr="00165BE0">
              <w:rPr>
                <w:rFonts w:eastAsia="Times New Roman" w:cs="Segoe UI"/>
                <w:color w:val="000000"/>
                <w:sz w:val="18"/>
                <w:szCs w:val="18"/>
                <w:lang w:eastAsia="sk-SK"/>
              </w:rPr>
              <w:t>54,58</w:t>
            </w:r>
          </w:p>
        </w:tc>
      </w:tr>
      <w:tr w:rsidR="003C5000" w:rsidRPr="00165BE0" w14:paraId="261404E4" w14:textId="77777777" w:rsidTr="00B505D4">
        <w:trPr>
          <w:trHeight w:val="276"/>
        </w:trPr>
        <w:tc>
          <w:tcPr>
            <w:tcW w:w="2740" w:type="dxa"/>
            <w:tcBorders>
              <w:top w:val="nil"/>
              <w:left w:val="nil"/>
              <w:bottom w:val="nil"/>
              <w:right w:val="nil"/>
            </w:tcBorders>
            <w:shd w:val="clear" w:color="auto" w:fill="auto"/>
            <w:vAlign w:val="center"/>
            <w:hideMark/>
          </w:tcPr>
          <w:p w14:paraId="6729BB29" w14:textId="77777777" w:rsidR="003C5000" w:rsidRPr="00165BE0" w:rsidRDefault="003C5000" w:rsidP="00B505D4">
            <w:pPr>
              <w:spacing w:after="0" w:line="240" w:lineRule="auto"/>
              <w:jc w:val="left"/>
              <w:rPr>
                <w:rFonts w:eastAsia="Times New Roman" w:cs="Segoe UI"/>
                <w:color w:val="000000"/>
                <w:sz w:val="18"/>
                <w:szCs w:val="18"/>
                <w:lang w:eastAsia="sk-SK"/>
              </w:rPr>
            </w:pPr>
            <w:r w:rsidRPr="00165BE0">
              <w:rPr>
                <w:rFonts w:eastAsia="Times New Roman" w:cs="Segoe UI"/>
                <w:color w:val="000000"/>
                <w:sz w:val="18"/>
                <w:szCs w:val="18"/>
                <w:lang w:eastAsia="sk-SK"/>
              </w:rPr>
              <w:t>OP Technická pomoc</w:t>
            </w:r>
          </w:p>
        </w:tc>
        <w:tc>
          <w:tcPr>
            <w:tcW w:w="3072" w:type="dxa"/>
            <w:tcBorders>
              <w:top w:val="nil"/>
              <w:left w:val="nil"/>
              <w:bottom w:val="nil"/>
              <w:right w:val="nil"/>
            </w:tcBorders>
            <w:shd w:val="clear" w:color="auto" w:fill="auto"/>
            <w:vAlign w:val="center"/>
            <w:hideMark/>
          </w:tcPr>
          <w:p w14:paraId="46FE082F" w14:textId="77777777" w:rsidR="003C5000" w:rsidRPr="00165BE0" w:rsidRDefault="003C5000" w:rsidP="00B505D4">
            <w:pPr>
              <w:spacing w:after="0" w:line="240" w:lineRule="auto"/>
              <w:jc w:val="center"/>
              <w:rPr>
                <w:rFonts w:eastAsia="Times New Roman" w:cs="Segoe UI"/>
                <w:color w:val="000000"/>
                <w:sz w:val="18"/>
                <w:szCs w:val="18"/>
                <w:lang w:eastAsia="sk-SK"/>
              </w:rPr>
            </w:pPr>
            <w:r w:rsidRPr="00165BE0">
              <w:rPr>
                <w:rFonts w:eastAsia="Times New Roman" w:cs="Segoe UI"/>
                <w:color w:val="000000"/>
                <w:sz w:val="18"/>
                <w:szCs w:val="18"/>
                <w:lang w:eastAsia="sk-SK"/>
              </w:rPr>
              <w:t>99,06%</w:t>
            </w:r>
          </w:p>
        </w:tc>
        <w:tc>
          <w:tcPr>
            <w:tcW w:w="3119" w:type="dxa"/>
            <w:tcBorders>
              <w:top w:val="nil"/>
              <w:left w:val="nil"/>
              <w:bottom w:val="nil"/>
              <w:right w:val="nil"/>
            </w:tcBorders>
            <w:shd w:val="clear" w:color="auto" w:fill="auto"/>
            <w:vAlign w:val="center"/>
            <w:hideMark/>
          </w:tcPr>
          <w:p w14:paraId="1A8CC952" w14:textId="77777777" w:rsidR="003C5000" w:rsidRPr="00165BE0" w:rsidRDefault="003C5000" w:rsidP="00B505D4">
            <w:pPr>
              <w:spacing w:after="0" w:line="240" w:lineRule="auto"/>
              <w:ind w:right="1059"/>
              <w:jc w:val="right"/>
              <w:rPr>
                <w:rFonts w:eastAsia="Times New Roman" w:cs="Segoe UI"/>
                <w:color w:val="000000"/>
                <w:sz w:val="18"/>
                <w:szCs w:val="18"/>
                <w:lang w:eastAsia="sk-SK"/>
              </w:rPr>
            </w:pPr>
            <w:r w:rsidRPr="00165BE0">
              <w:rPr>
                <w:rFonts w:eastAsia="Times New Roman" w:cs="Segoe UI"/>
                <w:color w:val="000000"/>
                <w:sz w:val="18"/>
                <w:szCs w:val="18"/>
                <w:lang w:eastAsia="sk-SK"/>
              </w:rPr>
              <w:t>4,62</w:t>
            </w:r>
          </w:p>
        </w:tc>
      </w:tr>
      <w:tr w:rsidR="003C5000" w:rsidRPr="00165BE0" w14:paraId="7610F620" w14:textId="77777777" w:rsidTr="00B505D4">
        <w:trPr>
          <w:trHeight w:val="276"/>
        </w:trPr>
        <w:tc>
          <w:tcPr>
            <w:tcW w:w="2740" w:type="dxa"/>
            <w:tcBorders>
              <w:top w:val="nil"/>
              <w:left w:val="nil"/>
              <w:bottom w:val="nil"/>
              <w:right w:val="nil"/>
            </w:tcBorders>
            <w:shd w:val="clear" w:color="auto" w:fill="auto"/>
            <w:vAlign w:val="center"/>
            <w:hideMark/>
          </w:tcPr>
          <w:p w14:paraId="690C57D9" w14:textId="77777777" w:rsidR="003C5000" w:rsidRPr="00165BE0" w:rsidRDefault="003C5000" w:rsidP="00B505D4">
            <w:pPr>
              <w:spacing w:after="0" w:line="240" w:lineRule="auto"/>
              <w:jc w:val="left"/>
              <w:rPr>
                <w:rFonts w:eastAsia="Times New Roman" w:cs="Segoe UI"/>
                <w:color w:val="000000"/>
                <w:sz w:val="18"/>
                <w:szCs w:val="18"/>
                <w:lang w:eastAsia="sk-SK"/>
              </w:rPr>
            </w:pPr>
            <w:r w:rsidRPr="00165BE0">
              <w:rPr>
                <w:rFonts w:eastAsia="Times New Roman" w:cs="Segoe UI"/>
                <w:color w:val="000000"/>
                <w:sz w:val="18"/>
                <w:szCs w:val="18"/>
                <w:lang w:eastAsia="sk-SK"/>
              </w:rPr>
              <w:t xml:space="preserve">Program </w:t>
            </w:r>
            <w:proofErr w:type="spellStart"/>
            <w:r w:rsidRPr="00165BE0">
              <w:rPr>
                <w:rFonts w:eastAsia="Times New Roman" w:cs="Segoe UI"/>
                <w:color w:val="000000"/>
                <w:sz w:val="18"/>
                <w:szCs w:val="18"/>
                <w:lang w:eastAsia="sk-SK"/>
              </w:rPr>
              <w:t>Interreg</w:t>
            </w:r>
            <w:proofErr w:type="spellEnd"/>
            <w:r w:rsidRPr="00165BE0">
              <w:rPr>
                <w:rFonts w:eastAsia="Times New Roman" w:cs="Segoe UI"/>
                <w:color w:val="000000"/>
                <w:sz w:val="18"/>
                <w:szCs w:val="18"/>
                <w:lang w:eastAsia="sk-SK"/>
              </w:rPr>
              <w:t xml:space="preserve"> V-A SK-CZ</w:t>
            </w:r>
          </w:p>
        </w:tc>
        <w:tc>
          <w:tcPr>
            <w:tcW w:w="3072" w:type="dxa"/>
            <w:tcBorders>
              <w:top w:val="nil"/>
              <w:left w:val="nil"/>
              <w:bottom w:val="nil"/>
              <w:right w:val="nil"/>
            </w:tcBorders>
            <w:shd w:val="clear" w:color="auto" w:fill="auto"/>
            <w:vAlign w:val="center"/>
            <w:hideMark/>
          </w:tcPr>
          <w:p w14:paraId="19930271" w14:textId="77777777" w:rsidR="003C5000" w:rsidRPr="00165BE0" w:rsidRDefault="003C5000" w:rsidP="00B505D4">
            <w:pPr>
              <w:spacing w:after="0" w:line="240" w:lineRule="auto"/>
              <w:jc w:val="center"/>
              <w:rPr>
                <w:rFonts w:eastAsia="Times New Roman" w:cs="Segoe UI"/>
                <w:color w:val="000000"/>
                <w:sz w:val="18"/>
                <w:szCs w:val="18"/>
                <w:lang w:eastAsia="sk-SK"/>
              </w:rPr>
            </w:pPr>
            <w:r w:rsidRPr="00165BE0">
              <w:rPr>
                <w:rFonts w:eastAsia="Times New Roman" w:cs="Segoe UI"/>
                <w:color w:val="000000"/>
                <w:sz w:val="18"/>
                <w:szCs w:val="18"/>
                <w:lang w:eastAsia="sk-SK"/>
              </w:rPr>
              <w:t>86,56%</w:t>
            </w:r>
          </w:p>
        </w:tc>
        <w:tc>
          <w:tcPr>
            <w:tcW w:w="3119" w:type="dxa"/>
            <w:tcBorders>
              <w:top w:val="nil"/>
              <w:left w:val="nil"/>
              <w:bottom w:val="nil"/>
              <w:right w:val="nil"/>
            </w:tcBorders>
            <w:shd w:val="clear" w:color="auto" w:fill="auto"/>
            <w:vAlign w:val="center"/>
            <w:hideMark/>
          </w:tcPr>
          <w:p w14:paraId="37D15E07" w14:textId="77777777" w:rsidR="003C5000" w:rsidRPr="00165BE0" w:rsidRDefault="003C5000" w:rsidP="00B505D4">
            <w:pPr>
              <w:spacing w:after="0" w:line="240" w:lineRule="auto"/>
              <w:ind w:right="1059"/>
              <w:jc w:val="right"/>
              <w:rPr>
                <w:rFonts w:eastAsia="Times New Roman" w:cs="Segoe UI"/>
                <w:color w:val="000000"/>
                <w:sz w:val="18"/>
                <w:szCs w:val="18"/>
                <w:lang w:eastAsia="sk-SK"/>
              </w:rPr>
            </w:pPr>
            <w:r w:rsidRPr="00165BE0">
              <w:rPr>
                <w:rFonts w:eastAsia="Times New Roman" w:cs="Segoe UI"/>
                <w:color w:val="000000"/>
                <w:sz w:val="18"/>
                <w:szCs w:val="18"/>
                <w:lang w:eastAsia="sk-SK"/>
              </w:rPr>
              <w:t>17,90</w:t>
            </w:r>
          </w:p>
        </w:tc>
      </w:tr>
      <w:tr w:rsidR="003C5000" w:rsidRPr="00165BE0" w14:paraId="0B276602" w14:textId="77777777" w:rsidTr="00B505D4">
        <w:trPr>
          <w:trHeight w:val="276"/>
        </w:trPr>
        <w:tc>
          <w:tcPr>
            <w:tcW w:w="2740" w:type="dxa"/>
            <w:tcBorders>
              <w:top w:val="nil"/>
              <w:left w:val="nil"/>
              <w:bottom w:val="nil"/>
              <w:right w:val="nil"/>
            </w:tcBorders>
            <w:shd w:val="clear" w:color="auto" w:fill="auto"/>
            <w:vAlign w:val="center"/>
            <w:hideMark/>
          </w:tcPr>
          <w:p w14:paraId="03BF23B0" w14:textId="77777777" w:rsidR="003C5000" w:rsidRPr="00165BE0" w:rsidRDefault="003C5000" w:rsidP="00B505D4">
            <w:pPr>
              <w:spacing w:after="0" w:line="240" w:lineRule="auto"/>
              <w:jc w:val="left"/>
              <w:rPr>
                <w:rFonts w:eastAsia="Times New Roman" w:cs="Segoe UI"/>
                <w:color w:val="000000"/>
                <w:sz w:val="18"/>
                <w:szCs w:val="18"/>
                <w:lang w:eastAsia="sk-SK"/>
              </w:rPr>
            </w:pPr>
            <w:r w:rsidRPr="00165BE0">
              <w:rPr>
                <w:rFonts w:eastAsia="Times New Roman" w:cs="Segoe UI"/>
                <w:color w:val="000000"/>
                <w:sz w:val="18"/>
                <w:szCs w:val="18"/>
                <w:lang w:eastAsia="sk-SK"/>
              </w:rPr>
              <w:t xml:space="preserve">Program </w:t>
            </w:r>
            <w:proofErr w:type="spellStart"/>
            <w:r w:rsidRPr="00165BE0">
              <w:rPr>
                <w:rFonts w:eastAsia="Times New Roman" w:cs="Segoe UI"/>
                <w:color w:val="000000"/>
                <w:sz w:val="18"/>
                <w:szCs w:val="18"/>
                <w:lang w:eastAsia="sk-SK"/>
              </w:rPr>
              <w:t>Interreg</w:t>
            </w:r>
            <w:proofErr w:type="spellEnd"/>
            <w:r w:rsidRPr="00165BE0">
              <w:rPr>
                <w:rFonts w:eastAsia="Times New Roman" w:cs="Segoe UI"/>
                <w:color w:val="000000"/>
                <w:sz w:val="18"/>
                <w:szCs w:val="18"/>
                <w:lang w:eastAsia="sk-SK"/>
              </w:rPr>
              <w:t xml:space="preserve"> V-A SK-AT</w:t>
            </w:r>
          </w:p>
        </w:tc>
        <w:tc>
          <w:tcPr>
            <w:tcW w:w="3072" w:type="dxa"/>
            <w:tcBorders>
              <w:top w:val="nil"/>
              <w:left w:val="nil"/>
              <w:bottom w:val="nil"/>
              <w:right w:val="nil"/>
            </w:tcBorders>
            <w:shd w:val="clear" w:color="auto" w:fill="auto"/>
            <w:vAlign w:val="center"/>
            <w:hideMark/>
          </w:tcPr>
          <w:p w14:paraId="56C8C65E" w14:textId="77777777" w:rsidR="003C5000" w:rsidRPr="00165BE0" w:rsidRDefault="003C5000" w:rsidP="00B505D4">
            <w:pPr>
              <w:spacing w:after="0" w:line="240" w:lineRule="auto"/>
              <w:jc w:val="center"/>
              <w:rPr>
                <w:rFonts w:eastAsia="Times New Roman" w:cs="Segoe UI"/>
                <w:color w:val="000000"/>
                <w:sz w:val="18"/>
                <w:szCs w:val="18"/>
                <w:lang w:eastAsia="sk-SK"/>
              </w:rPr>
            </w:pPr>
            <w:r w:rsidRPr="00165BE0">
              <w:rPr>
                <w:rFonts w:eastAsia="Times New Roman" w:cs="Segoe UI"/>
                <w:color w:val="000000"/>
                <w:sz w:val="18"/>
                <w:szCs w:val="18"/>
                <w:lang w:eastAsia="sk-SK"/>
              </w:rPr>
              <w:t>82,69%</w:t>
            </w:r>
          </w:p>
        </w:tc>
        <w:tc>
          <w:tcPr>
            <w:tcW w:w="3119" w:type="dxa"/>
            <w:tcBorders>
              <w:top w:val="nil"/>
              <w:left w:val="nil"/>
              <w:bottom w:val="nil"/>
              <w:right w:val="nil"/>
            </w:tcBorders>
            <w:shd w:val="clear" w:color="auto" w:fill="auto"/>
            <w:vAlign w:val="center"/>
            <w:hideMark/>
          </w:tcPr>
          <w:p w14:paraId="6F6EDD29" w14:textId="77777777" w:rsidR="003C5000" w:rsidRPr="00165BE0" w:rsidRDefault="003C5000" w:rsidP="00B505D4">
            <w:pPr>
              <w:spacing w:after="0" w:line="240" w:lineRule="auto"/>
              <w:ind w:right="1059"/>
              <w:jc w:val="right"/>
              <w:rPr>
                <w:rFonts w:eastAsia="Times New Roman" w:cs="Segoe UI"/>
                <w:color w:val="000000"/>
                <w:sz w:val="18"/>
                <w:szCs w:val="18"/>
                <w:lang w:eastAsia="sk-SK"/>
              </w:rPr>
            </w:pPr>
            <w:r w:rsidRPr="00165BE0">
              <w:rPr>
                <w:rFonts w:eastAsia="Times New Roman" w:cs="Segoe UI"/>
                <w:color w:val="000000"/>
                <w:sz w:val="18"/>
                <w:szCs w:val="18"/>
                <w:lang w:eastAsia="sk-SK"/>
              </w:rPr>
              <w:t>17,36</w:t>
            </w:r>
          </w:p>
        </w:tc>
      </w:tr>
      <w:tr w:rsidR="003C5000" w:rsidRPr="00165BE0" w14:paraId="77E2BFEC" w14:textId="77777777" w:rsidTr="00B505D4">
        <w:trPr>
          <w:trHeight w:val="276"/>
        </w:trPr>
        <w:tc>
          <w:tcPr>
            <w:tcW w:w="2740" w:type="dxa"/>
            <w:tcBorders>
              <w:top w:val="nil"/>
              <w:left w:val="nil"/>
              <w:bottom w:val="nil"/>
              <w:right w:val="nil"/>
            </w:tcBorders>
            <w:shd w:val="clear" w:color="auto" w:fill="auto"/>
            <w:vAlign w:val="center"/>
            <w:hideMark/>
          </w:tcPr>
          <w:p w14:paraId="018114CD" w14:textId="77777777" w:rsidR="003C5000" w:rsidRPr="00165BE0" w:rsidRDefault="003C5000" w:rsidP="00B505D4">
            <w:pPr>
              <w:spacing w:after="0" w:line="240" w:lineRule="auto"/>
              <w:jc w:val="left"/>
              <w:rPr>
                <w:rFonts w:eastAsia="Times New Roman" w:cs="Segoe UI"/>
                <w:color w:val="000000"/>
                <w:sz w:val="18"/>
                <w:szCs w:val="18"/>
                <w:lang w:eastAsia="sk-SK"/>
              </w:rPr>
            </w:pPr>
            <w:r w:rsidRPr="00165BE0">
              <w:rPr>
                <w:rFonts w:eastAsia="Times New Roman" w:cs="Segoe UI"/>
                <w:color w:val="000000"/>
                <w:sz w:val="18"/>
                <w:szCs w:val="18"/>
                <w:lang w:eastAsia="sk-SK"/>
              </w:rPr>
              <w:t>PS INTERACT III</w:t>
            </w:r>
          </w:p>
        </w:tc>
        <w:tc>
          <w:tcPr>
            <w:tcW w:w="3072" w:type="dxa"/>
            <w:tcBorders>
              <w:top w:val="nil"/>
              <w:left w:val="nil"/>
              <w:bottom w:val="nil"/>
              <w:right w:val="nil"/>
            </w:tcBorders>
            <w:shd w:val="clear" w:color="auto" w:fill="auto"/>
            <w:vAlign w:val="center"/>
            <w:hideMark/>
          </w:tcPr>
          <w:p w14:paraId="5007A72E" w14:textId="77777777" w:rsidR="003C5000" w:rsidRPr="00165BE0" w:rsidRDefault="003C5000" w:rsidP="00B505D4">
            <w:pPr>
              <w:spacing w:after="0" w:line="240" w:lineRule="auto"/>
              <w:jc w:val="center"/>
              <w:rPr>
                <w:rFonts w:eastAsia="Times New Roman" w:cs="Segoe UI"/>
                <w:color w:val="000000"/>
                <w:sz w:val="18"/>
                <w:szCs w:val="18"/>
                <w:lang w:eastAsia="sk-SK"/>
              </w:rPr>
            </w:pPr>
            <w:r w:rsidRPr="00165BE0">
              <w:rPr>
                <w:rFonts w:eastAsia="Times New Roman" w:cs="Segoe UI"/>
                <w:color w:val="000000"/>
                <w:sz w:val="18"/>
                <w:szCs w:val="18"/>
                <w:lang w:eastAsia="sk-SK"/>
              </w:rPr>
              <w:t>99,30%</w:t>
            </w:r>
          </w:p>
        </w:tc>
        <w:tc>
          <w:tcPr>
            <w:tcW w:w="3119" w:type="dxa"/>
            <w:tcBorders>
              <w:top w:val="nil"/>
              <w:left w:val="nil"/>
              <w:bottom w:val="nil"/>
              <w:right w:val="nil"/>
            </w:tcBorders>
            <w:shd w:val="clear" w:color="auto" w:fill="auto"/>
            <w:vAlign w:val="center"/>
            <w:hideMark/>
          </w:tcPr>
          <w:p w14:paraId="50A57E15" w14:textId="77777777" w:rsidR="003C5000" w:rsidRPr="00165BE0" w:rsidRDefault="003C5000" w:rsidP="00B505D4">
            <w:pPr>
              <w:spacing w:after="0" w:line="240" w:lineRule="auto"/>
              <w:ind w:right="1059"/>
              <w:jc w:val="right"/>
              <w:rPr>
                <w:rFonts w:eastAsia="Times New Roman" w:cs="Segoe UI"/>
                <w:color w:val="000000"/>
                <w:sz w:val="18"/>
                <w:szCs w:val="18"/>
                <w:lang w:eastAsia="sk-SK"/>
              </w:rPr>
            </w:pPr>
            <w:r w:rsidRPr="00165BE0">
              <w:rPr>
                <w:rFonts w:eastAsia="Times New Roman" w:cs="Segoe UI"/>
                <w:color w:val="000000"/>
                <w:sz w:val="18"/>
                <w:szCs w:val="18"/>
                <w:lang w:eastAsia="sk-SK"/>
              </w:rPr>
              <w:t>0,28</w:t>
            </w:r>
          </w:p>
        </w:tc>
      </w:tr>
      <w:tr w:rsidR="003C5000" w:rsidRPr="00165BE0" w14:paraId="7E6C8C5B" w14:textId="77777777" w:rsidTr="00B505D4">
        <w:trPr>
          <w:trHeight w:val="276"/>
        </w:trPr>
        <w:tc>
          <w:tcPr>
            <w:tcW w:w="2740" w:type="dxa"/>
            <w:tcBorders>
              <w:top w:val="nil"/>
              <w:left w:val="nil"/>
              <w:right w:val="nil"/>
            </w:tcBorders>
            <w:shd w:val="clear" w:color="auto" w:fill="auto"/>
            <w:vAlign w:val="center"/>
            <w:hideMark/>
          </w:tcPr>
          <w:p w14:paraId="50E9A7D6" w14:textId="77777777" w:rsidR="003C5000" w:rsidRPr="00165BE0" w:rsidRDefault="003C5000" w:rsidP="00B505D4">
            <w:pPr>
              <w:spacing w:after="0" w:line="240" w:lineRule="auto"/>
              <w:jc w:val="left"/>
              <w:rPr>
                <w:rFonts w:eastAsia="Times New Roman" w:cs="Segoe UI"/>
                <w:color w:val="000000"/>
                <w:sz w:val="18"/>
                <w:szCs w:val="18"/>
                <w:lang w:eastAsia="sk-SK"/>
              </w:rPr>
            </w:pPr>
            <w:r w:rsidRPr="00165BE0">
              <w:rPr>
                <w:rFonts w:eastAsia="Times New Roman" w:cs="Segoe UI"/>
                <w:color w:val="000000"/>
                <w:sz w:val="18"/>
                <w:szCs w:val="18"/>
                <w:lang w:eastAsia="sk-SK"/>
              </w:rPr>
              <w:t>OP Rybné hospodárstvo</w:t>
            </w:r>
          </w:p>
        </w:tc>
        <w:tc>
          <w:tcPr>
            <w:tcW w:w="3072" w:type="dxa"/>
            <w:tcBorders>
              <w:top w:val="nil"/>
              <w:left w:val="nil"/>
              <w:right w:val="nil"/>
            </w:tcBorders>
            <w:shd w:val="clear" w:color="auto" w:fill="auto"/>
            <w:vAlign w:val="center"/>
            <w:hideMark/>
          </w:tcPr>
          <w:p w14:paraId="2ED8942F" w14:textId="77777777" w:rsidR="003C5000" w:rsidRPr="00165BE0" w:rsidRDefault="003C5000" w:rsidP="00B505D4">
            <w:pPr>
              <w:spacing w:after="0" w:line="240" w:lineRule="auto"/>
              <w:jc w:val="center"/>
              <w:rPr>
                <w:rFonts w:eastAsia="Times New Roman" w:cs="Segoe UI"/>
                <w:color w:val="000000"/>
                <w:sz w:val="18"/>
                <w:szCs w:val="18"/>
                <w:lang w:eastAsia="sk-SK"/>
              </w:rPr>
            </w:pPr>
            <w:r w:rsidRPr="00165BE0">
              <w:rPr>
                <w:rFonts w:eastAsia="Times New Roman" w:cs="Segoe UI"/>
                <w:color w:val="000000"/>
                <w:sz w:val="18"/>
                <w:szCs w:val="18"/>
                <w:lang w:eastAsia="sk-SK"/>
              </w:rPr>
              <w:t>33,37%</w:t>
            </w:r>
          </w:p>
        </w:tc>
        <w:tc>
          <w:tcPr>
            <w:tcW w:w="3119" w:type="dxa"/>
            <w:tcBorders>
              <w:top w:val="nil"/>
              <w:left w:val="nil"/>
              <w:right w:val="nil"/>
            </w:tcBorders>
            <w:shd w:val="clear" w:color="auto" w:fill="auto"/>
            <w:vAlign w:val="center"/>
            <w:hideMark/>
          </w:tcPr>
          <w:p w14:paraId="45B9A7F0" w14:textId="77777777" w:rsidR="003C5000" w:rsidRPr="00165BE0" w:rsidRDefault="003C5000" w:rsidP="00B505D4">
            <w:pPr>
              <w:spacing w:after="0" w:line="240" w:lineRule="auto"/>
              <w:ind w:right="1059"/>
              <w:jc w:val="right"/>
              <w:rPr>
                <w:rFonts w:eastAsia="Times New Roman" w:cs="Segoe UI"/>
                <w:color w:val="000000"/>
                <w:sz w:val="18"/>
                <w:szCs w:val="18"/>
                <w:lang w:eastAsia="sk-SK"/>
              </w:rPr>
            </w:pPr>
            <w:r w:rsidRPr="00165BE0">
              <w:rPr>
                <w:rFonts w:eastAsia="Times New Roman" w:cs="Segoe UI"/>
                <w:color w:val="000000"/>
                <w:sz w:val="18"/>
                <w:szCs w:val="18"/>
                <w:lang w:eastAsia="sk-SK"/>
              </w:rPr>
              <w:t>5,25</w:t>
            </w:r>
          </w:p>
        </w:tc>
      </w:tr>
      <w:tr w:rsidR="003C5000" w:rsidRPr="00165BE0" w14:paraId="4E23C7DA" w14:textId="77777777" w:rsidTr="00B505D4">
        <w:trPr>
          <w:trHeight w:val="288"/>
        </w:trPr>
        <w:tc>
          <w:tcPr>
            <w:tcW w:w="2740" w:type="dxa"/>
            <w:tcBorders>
              <w:top w:val="nil"/>
              <w:left w:val="nil"/>
              <w:bottom w:val="single" w:sz="4" w:space="0" w:color="314364" w:themeColor="text2"/>
              <w:right w:val="nil"/>
            </w:tcBorders>
            <w:shd w:val="clear" w:color="auto" w:fill="auto"/>
            <w:vAlign w:val="center"/>
            <w:hideMark/>
          </w:tcPr>
          <w:p w14:paraId="25518E06" w14:textId="77777777" w:rsidR="003C5000" w:rsidRPr="00165BE0" w:rsidRDefault="003C5000" w:rsidP="00B505D4">
            <w:pPr>
              <w:spacing w:after="0" w:line="240" w:lineRule="auto"/>
              <w:jc w:val="left"/>
              <w:rPr>
                <w:rFonts w:eastAsia="Times New Roman" w:cs="Segoe UI"/>
                <w:b/>
                <w:bCs/>
                <w:color w:val="000000"/>
                <w:sz w:val="18"/>
                <w:szCs w:val="18"/>
                <w:lang w:eastAsia="sk-SK"/>
              </w:rPr>
            </w:pPr>
            <w:r w:rsidRPr="00165BE0">
              <w:rPr>
                <w:rFonts w:eastAsia="Times New Roman" w:cs="Segoe UI"/>
                <w:b/>
                <w:bCs/>
                <w:color w:val="000000"/>
                <w:sz w:val="18"/>
                <w:szCs w:val="18"/>
                <w:lang w:eastAsia="sk-SK"/>
              </w:rPr>
              <w:t>Spolu EŠIF</w:t>
            </w:r>
          </w:p>
        </w:tc>
        <w:tc>
          <w:tcPr>
            <w:tcW w:w="3072" w:type="dxa"/>
            <w:tcBorders>
              <w:top w:val="nil"/>
              <w:left w:val="nil"/>
              <w:bottom w:val="single" w:sz="4" w:space="0" w:color="314364" w:themeColor="text2"/>
              <w:right w:val="nil"/>
            </w:tcBorders>
            <w:shd w:val="clear" w:color="auto" w:fill="auto"/>
            <w:vAlign w:val="center"/>
            <w:hideMark/>
          </w:tcPr>
          <w:p w14:paraId="44C24589" w14:textId="77777777" w:rsidR="003C5000" w:rsidRPr="00165BE0" w:rsidRDefault="003C5000" w:rsidP="00B505D4">
            <w:pPr>
              <w:spacing w:after="0" w:line="240" w:lineRule="auto"/>
              <w:jc w:val="center"/>
              <w:rPr>
                <w:rFonts w:eastAsia="Times New Roman" w:cs="Segoe UI"/>
                <w:b/>
                <w:bCs/>
                <w:color w:val="000000"/>
                <w:sz w:val="18"/>
                <w:szCs w:val="18"/>
                <w:lang w:eastAsia="sk-SK"/>
              </w:rPr>
            </w:pPr>
            <w:r w:rsidRPr="00165BE0">
              <w:rPr>
                <w:rFonts w:eastAsia="Times New Roman" w:cs="Segoe UI"/>
                <w:b/>
                <w:bCs/>
                <w:color w:val="000000"/>
                <w:sz w:val="18"/>
                <w:szCs w:val="18"/>
                <w:lang w:eastAsia="sk-SK"/>
              </w:rPr>
              <w:t>87,38%</w:t>
            </w:r>
          </w:p>
        </w:tc>
        <w:tc>
          <w:tcPr>
            <w:tcW w:w="3119" w:type="dxa"/>
            <w:tcBorders>
              <w:top w:val="nil"/>
              <w:left w:val="nil"/>
              <w:bottom w:val="single" w:sz="4" w:space="0" w:color="314364" w:themeColor="text2"/>
              <w:right w:val="nil"/>
            </w:tcBorders>
            <w:shd w:val="clear" w:color="auto" w:fill="auto"/>
            <w:vAlign w:val="center"/>
            <w:hideMark/>
          </w:tcPr>
          <w:p w14:paraId="6BF26BF0" w14:textId="77777777" w:rsidR="003C5000" w:rsidRPr="00165BE0" w:rsidRDefault="003C5000" w:rsidP="00B505D4">
            <w:pPr>
              <w:spacing w:after="0" w:line="240" w:lineRule="auto"/>
              <w:ind w:right="1059"/>
              <w:jc w:val="right"/>
              <w:rPr>
                <w:rFonts w:eastAsia="Times New Roman" w:cs="Segoe UI"/>
                <w:b/>
                <w:bCs/>
                <w:color w:val="000000"/>
                <w:sz w:val="18"/>
                <w:szCs w:val="18"/>
                <w:lang w:eastAsia="sk-SK"/>
              </w:rPr>
            </w:pPr>
            <w:r w:rsidRPr="00165BE0">
              <w:rPr>
                <w:rFonts w:eastAsia="Times New Roman" w:cs="Segoe UI"/>
                <w:b/>
                <w:bCs/>
                <w:color w:val="000000"/>
                <w:sz w:val="18"/>
                <w:szCs w:val="18"/>
                <w:lang w:eastAsia="sk-SK"/>
              </w:rPr>
              <w:t>2 682,67</w:t>
            </w:r>
          </w:p>
        </w:tc>
      </w:tr>
    </w:tbl>
    <w:p w14:paraId="4DB6E52A" w14:textId="77777777" w:rsidR="003C5000" w:rsidRPr="004139F4" w:rsidRDefault="003C5000" w:rsidP="003C5000">
      <w:pPr>
        <w:rPr>
          <w:rFonts w:eastAsia="Calibri" w:cs="Times New Roman"/>
          <w:i/>
          <w:color w:val="314364"/>
          <w:sz w:val="16"/>
        </w:rPr>
      </w:pPr>
      <w:r w:rsidRPr="004139F4">
        <w:rPr>
          <w:rFonts w:eastAsia="Calibri" w:cs="Times New Roman"/>
          <w:i/>
          <w:color w:val="314364"/>
          <w:sz w:val="16"/>
        </w:rPr>
        <w:t>Zdroj: MF SR</w:t>
      </w:r>
    </w:p>
    <w:p w14:paraId="2F3C2E1C" w14:textId="5F868A2C" w:rsidR="003C5000" w:rsidRDefault="003C5000" w:rsidP="003C5000">
      <w:pPr>
        <w:pStyle w:val="Popis"/>
        <w:keepNext/>
      </w:pPr>
      <w:r>
        <w:t xml:space="preserve">Graf 5: </w:t>
      </w:r>
      <w:r w:rsidR="00AC6179">
        <w:t xml:space="preserve">Zálohové platby </w:t>
      </w:r>
      <w:r>
        <w:t>E</w:t>
      </w:r>
      <w:r w:rsidR="00AC6179">
        <w:t>K</w:t>
      </w:r>
      <w:r>
        <w:t xml:space="preserve"> </w:t>
      </w:r>
      <w:r w:rsidR="00AC6179">
        <w:t xml:space="preserve">v 4. PO </w:t>
      </w:r>
      <w:r>
        <w:t>pre Slovensko podľa fondov (v mil. eur)</w:t>
      </w:r>
    </w:p>
    <w:tbl>
      <w:tblPr>
        <w:tblStyle w:val="Mriekatabuky"/>
        <w:tblW w:w="5000" w:type="pct"/>
        <w:tblLook w:val="04A0" w:firstRow="1" w:lastRow="0" w:firstColumn="1" w:lastColumn="0" w:noHBand="0" w:noVBand="1"/>
      </w:tblPr>
      <w:tblGrid>
        <w:gridCol w:w="9070"/>
      </w:tblGrid>
      <w:tr w:rsidR="003C5000" w14:paraId="4B17E2F9" w14:textId="77777777" w:rsidTr="00DB6278">
        <w:trPr>
          <w:trHeight w:val="2287"/>
        </w:trPr>
        <w:tc>
          <w:tcPr>
            <w:tcW w:w="5000" w:type="pct"/>
            <w:tcBorders>
              <w:top w:val="single" w:sz="4" w:space="0" w:color="314364" w:themeColor="text2"/>
              <w:left w:val="nil"/>
              <w:bottom w:val="single" w:sz="4" w:space="0" w:color="314364" w:themeColor="text2"/>
              <w:right w:val="nil"/>
            </w:tcBorders>
          </w:tcPr>
          <w:p w14:paraId="32C1AD08" w14:textId="77777777" w:rsidR="003C5000" w:rsidRDefault="003C5000" w:rsidP="00B505D4">
            <w:pPr>
              <w:spacing w:after="0"/>
            </w:pPr>
            <w:r>
              <w:rPr>
                <w:noProof/>
                <w:lang w:eastAsia="sk-SK"/>
              </w:rPr>
              <w:drawing>
                <wp:inline distT="0" distB="0" distL="0" distR="0" wp14:anchorId="7F2AE708" wp14:editId="04F8848F">
                  <wp:extent cx="5692140" cy="1619250"/>
                  <wp:effectExtent l="0" t="0" r="381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6E6B46D7" w14:textId="77777777" w:rsidR="003C5000" w:rsidRPr="008531EB" w:rsidRDefault="003C5000" w:rsidP="003C5000">
      <w:pPr>
        <w:rPr>
          <w:rFonts w:eastAsia="Calibri" w:cs="Times New Roman"/>
          <w:i/>
          <w:color w:val="314364"/>
          <w:sz w:val="16"/>
        </w:rPr>
      </w:pPr>
      <w:r w:rsidRPr="008531EB">
        <w:rPr>
          <w:rFonts w:eastAsia="Calibri" w:cs="Times New Roman"/>
          <w:i/>
          <w:color w:val="314364"/>
          <w:sz w:val="16"/>
        </w:rPr>
        <w:t>Zdroj: Európska komisia, aktualizované k 5.</w:t>
      </w:r>
      <w:r>
        <w:rPr>
          <w:rFonts w:eastAsia="Calibri" w:cs="Times New Roman"/>
          <w:i/>
          <w:color w:val="314364"/>
          <w:sz w:val="16"/>
        </w:rPr>
        <w:t xml:space="preserve"> </w:t>
      </w:r>
      <w:r w:rsidRPr="008531EB">
        <w:rPr>
          <w:rFonts w:eastAsia="Calibri" w:cs="Times New Roman"/>
          <w:i/>
          <w:color w:val="314364"/>
          <w:sz w:val="16"/>
        </w:rPr>
        <w:t>12.</w:t>
      </w:r>
      <w:r>
        <w:rPr>
          <w:rFonts w:eastAsia="Calibri" w:cs="Times New Roman"/>
          <w:i/>
          <w:color w:val="314364"/>
          <w:sz w:val="16"/>
        </w:rPr>
        <w:t xml:space="preserve"> </w:t>
      </w:r>
      <w:r w:rsidRPr="008531EB">
        <w:rPr>
          <w:rFonts w:eastAsia="Calibri" w:cs="Times New Roman"/>
          <w:i/>
          <w:color w:val="314364"/>
          <w:sz w:val="16"/>
        </w:rPr>
        <w:t>2023</w:t>
      </w:r>
    </w:p>
    <w:p w14:paraId="116B7209" w14:textId="7D7BCD05" w:rsidR="006056E7" w:rsidRDefault="003C5000" w:rsidP="006056E7">
      <w:pPr>
        <w:rPr>
          <w:rFonts w:cs="Segoe UI"/>
          <w:szCs w:val="20"/>
        </w:rPr>
      </w:pPr>
      <w:r w:rsidRPr="004139F4">
        <w:rPr>
          <w:rFonts w:cs="Segoe UI"/>
          <w:b/>
          <w:szCs w:val="20"/>
        </w:rPr>
        <w:t xml:space="preserve">Príjmy z EÚ v PO 2021 – 2027 sú </w:t>
      </w:r>
      <w:r>
        <w:rPr>
          <w:rFonts w:cs="Segoe UI"/>
          <w:b/>
          <w:szCs w:val="20"/>
        </w:rPr>
        <w:t>plánované</w:t>
      </w:r>
      <w:r w:rsidRPr="004139F4">
        <w:rPr>
          <w:rFonts w:cs="Segoe UI"/>
          <w:b/>
          <w:szCs w:val="20"/>
        </w:rPr>
        <w:t xml:space="preserve"> na rok 2024 v rámci ôsmich kapitol v celkovom objeme 1,12 mld. eur</w:t>
      </w:r>
      <w:r>
        <w:rPr>
          <w:rFonts w:cs="Segoe UI"/>
          <w:b/>
          <w:szCs w:val="20"/>
        </w:rPr>
        <w:t xml:space="preserve">. </w:t>
      </w:r>
      <w:r w:rsidRPr="004139F4">
        <w:rPr>
          <w:rFonts w:cs="Segoe UI"/>
          <w:szCs w:val="20"/>
        </w:rPr>
        <w:t>Výdavky jednotlivých kapitol na rok 2024 sú rozpočtované na základe odhadov rezortov so zohľadnením nepoužitých prostriedkov z predchádzajúcich rokov v rámci PO 2021 – 2027</w:t>
      </w:r>
      <w:r>
        <w:rPr>
          <w:rFonts w:cs="Segoe UI"/>
          <w:szCs w:val="20"/>
        </w:rPr>
        <w:t xml:space="preserve"> a v rámci 3. PO za oblasť poľnohospodárskych fondov</w:t>
      </w:r>
      <w:r w:rsidRPr="004139F4">
        <w:rPr>
          <w:rFonts w:cs="Segoe UI"/>
          <w:szCs w:val="20"/>
        </w:rPr>
        <w:t>. Tieto prostriedky EÚ, ktoré sú zaradené do príjmov a výdavkov ŠR sa v návrhu rozpočtu na rok 2024 rozpočtujú s neutrálnym dopadom na verejné financie. Najväčší objem financií podľa návrhu RVS na rok 2024 z</w:t>
      </w:r>
      <w:r w:rsidR="00494DDB">
        <w:rPr>
          <w:rFonts w:cs="Segoe UI"/>
          <w:szCs w:val="20"/>
        </w:rPr>
        <w:t xml:space="preserve"> EŠIF</w:t>
      </w:r>
      <w:r w:rsidRPr="004139F4">
        <w:rPr>
          <w:rFonts w:cs="Segoe UI"/>
          <w:szCs w:val="20"/>
        </w:rPr>
        <w:t xml:space="preserve"> a poľnohospodárskych fondov EÚ bude mať MPRV SR (757 mil. eur)</w:t>
      </w:r>
      <w:r>
        <w:rPr>
          <w:rFonts w:cs="Segoe UI"/>
          <w:szCs w:val="20"/>
        </w:rPr>
        <w:t xml:space="preserve"> (tabuľka 6)</w:t>
      </w:r>
      <w:r w:rsidR="00494DDB">
        <w:rPr>
          <w:rFonts w:cs="Segoe UI"/>
          <w:szCs w:val="20"/>
        </w:rPr>
        <w:t xml:space="preserve"> z dôvodu súbehu dvoch PO.</w:t>
      </w:r>
    </w:p>
    <w:p w14:paraId="56BAA911" w14:textId="33753F47" w:rsidR="006056E7" w:rsidRDefault="006056E7" w:rsidP="006056E7">
      <w:pPr>
        <w:rPr>
          <w:rFonts w:cs="Segoe UI"/>
          <w:szCs w:val="20"/>
        </w:rPr>
      </w:pPr>
      <w:r>
        <w:rPr>
          <w:rFonts w:cs="Segoe UI"/>
          <w:szCs w:val="20"/>
        </w:rPr>
        <w:lastRenderedPageBreak/>
        <w:t xml:space="preserve">Vzhľadom na skutočnosť, že ročný záväzok v prvom roku 4. PO 2021 – 2027 bol nulový, v roku 2024 nemôže vzniknúť </w:t>
      </w:r>
      <w:proofErr w:type="spellStart"/>
      <w:r>
        <w:rPr>
          <w:rFonts w:cs="Segoe UI"/>
          <w:szCs w:val="20"/>
        </w:rPr>
        <w:t>dekomitment</w:t>
      </w:r>
      <w:proofErr w:type="spellEnd"/>
      <w:r>
        <w:rPr>
          <w:rStyle w:val="Odkaznapoznmkupodiarou"/>
          <w:rFonts w:cs="Segoe UI"/>
          <w:szCs w:val="20"/>
        </w:rPr>
        <w:footnoteReference w:id="16"/>
      </w:r>
      <w:r>
        <w:rPr>
          <w:rFonts w:cs="Segoe UI"/>
          <w:szCs w:val="20"/>
        </w:rPr>
        <w:t>. V rámci pravidla n+3 bude nutné deklarovať na EK výdavky až za ročný záväzok 2022 v roku 2025.</w:t>
      </w:r>
    </w:p>
    <w:p w14:paraId="68958B61" w14:textId="59C0DBBC" w:rsidR="009A67A5" w:rsidRPr="001C116F" w:rsidRDefault="009A67A5" w:rsidP="009A67A5">
      <w:pPr>
        <w:keepNext/>
        <w:tabs>
          <w:tab w:val="right" w:pos="9070"/>
        </w:tabs>
        <w:spacing w:after="0"/>
      </w:pPr>
      <w:r w:rsidRPr="004139F4">
        <w:rPr>
          <w:rFonts w:eastAsia="Calibri" w:cs="Times New Roman"/>
          <w:b/>
          <w:iCs/>
          <w:color w:val="314364"/>
          <w:szCs w:val="18"/>
        </w:rPr>
        <w:t xml:space="preserve">Tabuľka </w:t>
      </w:r>
      <w:r>
        <w:rPr>
          <w:rFonts w:eastAsia="Calibri" w:cs="Times New Roman"/>
          <w:b/>
          <w:iCs/>
          <w:color w:val="314364"/>
          <w:szCs w:val="18"/>
        </w:rPr>
        <w:t>6</w:t>
      </w:r>
      <w:r w:rsidRPr="004139F4">
        <w:rPr>
          <w:rFonts w:eastAsia="Calibri" w:cs="Times New Roman"/>
          <w:b/>
          <w:iCs/>
          <w:color w:val="314364"/>
          <w:szCs w:val="18"/>
        </w:rPr>
        <w:t>: Prostriedky z rozpočtu EÚ a POO v jednotlivých kapitolách v 2024 (v mil. eur)</w:t>
      </w:r>
      <w:r w:rsidRPr="00ED5C50">
        <w:fldChar w:fldCharType="begin"/>
      </w:r>
      <w:r w:rsidRPr="004139F4">
        <w:instrText xml:space="preserve"> LINK </w:instrText>
      </w:r>
      <w:r>
        <w:instrText xml:space="preserve">Excel.Sheet.12 "D:\\SYSTÉMOVÉ PRIEČINKY\\Desktop\\Stan k vyrovnanému rozpočtu\\šablóna na grafy.xlsx" Hárok4!R2C6:R16C8 </w:instrText>
      </w:r>
      <w:r w:rsidRPr="004139F4">
        <w:instrText xml:space="preserve">\a \f 4 \h  \* MERGEFORMAT </w:instrText>
      </w:r>
      <w:r w:rsidRPr="00ED5C50">
        <w:fldChar w:fldCharType="separate"/>
      </w:r>
    </w:p>
    <w:tbl>
      <w:tblPr>
        <w:tblW w:w="9088" w:type="dxa"/>
        <w:tblCellMar>
          <w:left w:w="70" w:type="dxa"/>
          <w:right w:w="70" w:type="dxa"/>
        </w:tblCellMar>
        <w:tblLook w:val="04A0" w:firstRow="1" w:lastRow="0" w:firstColumn="1" w:lastColumn="0" w:noHBand="0" w:noVBand="1"/>
      </w:tblPr>
      <w:tblGrid>
        <w:gridCol w:w="6278"/>
        <w:gridCol w:w="1405"/>
        <w:gridCol w:w="1405"/>
      </w:tblGrid>
      <w:tr w:rsidR="009A67A5" w:rsidRPr="001C116F" w14:paraId="09FCA8E8" w14:textId="77777777" w:rsidTr="001F1B66">
        <w:trPr>
          <w:trHeight w:val="567"/>
        </w:trPr>
        <w:tc>
          <w:tcPr>
            <w:tcW w:w="6278" w:type="dxa"/>
            <w:tcBorders>
              <w:top w:val="nil"/>
              <w:left w:val="nil"/>
              <w:bottom w:val="nil"/>
              <w:right w:val="nil"/>
            </w:tcBorders>
            <w:shd w:val="clear" w:color="000000" w:fill="314364"/>
            <w:vAlign w:val="center"/>
            <w:hideMark/>
          </w:tcPr>
          <w:p w14:paraId="4C10FACE" w14:textId="77777777" w:rsidR="009A67A5" w:rsidRPr="001C116F" w:rsidRDefault="009A67A5" w:rsidP="001F1B66">
            <w:pPr>
              <w:spacing w:after="0"/>
              <w:jc w:val="left"/>
              <w:rPr>
                <w:rFonts w:eastAsia="Times New Roman" w:cs="Segoe UI"/>
                <w:b/>
                <w:bCs/>
                <w:color w:val="FFFFFF"/>
                <w:sz w:val="18"/>
                <w:szCs w:val="18"/>
                <w:lang w:eastAsia="sk-SK"/>
              </w:rPr>
            </w:pPr>
            <w:r w:rsidRPr="001C116F">
              <w:rPr>
                <w:rFonts w:eastAsia="Times New Roman" w:cs="Segoe UI"/>
                <w:b/>
                <w:bCs/>
                <w:color w:val="FFFFFF"/>
                <w:sz w:val="18"/>
                <w:szCs w:val="18"/>
                <w:lang w:eastAsia="sk-SK"/>
              </w:rPr>
              <w:t>Kapitola</w:t>
            </w:r>
          </w:p>
        </w:tc>
        <w:tc>
          <w:tcPr>
            <w:tcW w:w="1405" w:type="dxa"/>
            <w:tcBorders>
              <w:top w:val="nil"/>
              <w:left w:val="nil"/>
              <w:bottom w:val="nil"/>
              <w:right w:val="nil"/>
            </w:tcBorders>
            <w:shd w:val="clear" w:color="000000" w:fill="314364"/>
            <w:vAlign w:val="center"/>
            <w:hideMark/>
          </w:tcPr>
          <w:p w14:paraId="42728043" w14:textId="77777777" w:rsidR="009A67A5" w:rsidRPr="001C116F" w:rsidRDefault="009A67A5" w:rsidP="001F1B66">
            <w:pPr>
              <w:spacing w:after="0" w:line="240" w:lineRule="auto"/>
              <w:jc w:val="right"/>
              <w:rPr>
                <w:rFonts w:eastAsia="Times New Roman" w:cs="Segoe UI"/>
                <w:b/>
                <w:bCs/>
                <w:color w:val="FFFFFF"/>
                <w:sz w:val="18"/>
                <w:szCs w:val="18"/>
                <w:lang w:eastAsia="sk-SK"/>
              </w:rPr>
            </w:pPr>
            <w:r w:rsidRPr="001C116F">
              <w:rPr>
                <w:rFonts w:eastAsia="Times New Roman" w:cs="Segoe UI"/>
                <w:b/>
                <w:bCs/>
                <w:color w:val="FFFFFF"/>
                <w:sz w:val="18"/>
                <w:szCs w:val="18"/>
                <w:lang w:eastAsia="sk-SK"/>
              </w:rPr>
              <w:t>Prostriedky z rozpočtu EÚ</w:t>
            </w:r>
          </w:p>
        </w:tc>
        <w:tc>
          <w:tcPr>
            <w:tcW w:w="1405" w:type="dxa"/>
            <w:tcBorders>
              <w:top w:val="nil"/>
              <w:left w:val="nil"/>
              <w:bottom w:val="nil"/>
              <w:right w:val="nil"/>
            </w:tcBorders>
            <w:shd w:val="clear" w:color="000000" w:fill="314364"/>
            <w:vAlign w:val="center"/>
            <w:hideMark/>
          </w:tcPr>
          <w:p w14:paraId="3DAF527F" w14:textId="77777777" w:rsidR="009A67A5" w:rsidRPr="001C116F" w:rsidRDefault="009A67A5" w:rsidP="001F1B66">
            <w:pPr>
              <w:spacing w:after="0" w:line="240" w:lineRule="auto"/>
              <w:jc w:val="right"/>
              <w:rPr>
                <w:rFonts w:eastAsia="Times New Roman" w:cs="Segoe UI"/>
                <w:b/>
                <w:bCs/>
                <w:color w:val="FFFFFF"/>
                <w:sz w:val="18"/>
                <w:szCs w:val="18"/>
                <w:lang w:eastAsia="sk-SK"/>
              </w:rPr>
            </w:pPr>
            <w:r w:rsidRPr="001C116F">
              <w:rPr>
                <w:rFonts w:eastAsia="Times New Roman" w:cs="Segoe UI"/>
                <w:b/>
                <w:bCs/>
                <w:color w:val="FFFFFF"/>
                <w:sz w:val="18"/>
                <w:szCs w:val="18"/>
                <w:lang w:eastAsia="sk-SK"/>
              </w:rPr>
              <w:t>Prostriedky z POO</w:t>
            </w:r>
          </w:p>
        </w:tc>
      </w:tr>
      <w:tr w:rsidR="009A67A5" w:rsidRPr="001C116F" w14:paraId="4D4BCDAC" w14:textId="77777777" w:rsidTr="001F1B66">
        <w:trPr>
          <w:trHeight w:val="278"/>
        </w:trPr>
        <w:tc>
          <w:tcPr>
            <w:tcW w:w="6278" w:type="dxa"/>
            <w:tcBorders>
              <w:top w:val="nil"/>
              <w:left w:val="nil"/>
              <w:bottom w:val="nil"/>
              <w:right w:val="nil"/>
            </w:tcBorders>
            <w:shd w:val="clear" w:color="000000" w:fill="FFFFFF"/>
            <w:noWrap/>
            <w:vAlign w:val="center"/>
            <w:hideMark/>
          </w:tcPr>
          <w:p w14:paraId="3CE88CCC" w14:textId="77777777" w:rsidR="009A67A5" w:rsidRPr="001C116F" w:rsidRDefault="009A67A5" w:rsidP="001F1B66">
            <w:pPr>
              <w:spacing w:after="0" w:line="240" w:lineRule="auto"/>
              <w:jc w:val="left"/>
              <w:rPr>
                <w:rFonts w:eastAsia="Times New Roman" w:cs="Segoe UI"/>
                <w:color w:val="000000"/>
                <w:sz w:val="18"/>
                <w:szCs w:val="18"/>
                <w:lang w:eastAsia="sk-SK"/>
              </w:rPr>
            </w:pPr>
            <w:r w:rsidRPr="001C116F">
              <w:rPr>
                <w:rFonts w:eastAsia="Times New Roman" w:cs="Segoe UI"/>
                <w:sz w:val="18"/>
                <w:szCs w:val="18"/>
                <w:lang w:eastAsia="sk-SK"/>
              </w:rPr>
              <w:t>Úrad vlády SR</w:t>
            </w:r>
          </w:p>
        </w:tc>
        <w:tc>
          <w:tcPr>
            <w:tcW w:w="1405" w:type="dxa"/>
            <w:tcBorders>
              <w:top w:val="nil"/>
              <w:left w:val="nil"/>
              <w:bottom w:val="nil"/>
              <w:right w:val="nil"/>
            </w:tcBorders>
            <w:shd w:val="clear" w:color="000000" w:fill="FFFFFF"/>
            <w:noWrap/>
            <w:vAlign w:val="center"/>
            <w:hideMark/>
          </w:tcPr>
          <w:p w14:paraId="406E30A5" w14:textId="77777777" w:rsidR="009A67A5" w:rsidRPr="001C116F" w:rsidRDefault="009A67A5" w:rsidP="001F1B66">
            <w:pPr>
              <w:spacing w:after="0" w:line="240" w:lineRule="auto"/>
              <w:jc w:val="right"/>
              <w:rPr>
                <w:rFonts w:eastAsia="Times New Roman" w:cs="Segoe UI"/>
                <w:color w:val="000000"/>
                <w:sz w:val="18"/>
                <w:szCs w:val="18"/>
                <w:lang w:eastAsia="sk-SK"/>
              </w:rPr>
            </w:pPr>
            <w:r w:rsidRPr="001C116F">
              <w:rPr>
                <w:rFonts w:eastAsia="Times New Roman" w:cs="Segoe UI"/>
                <w:color w:val="000000"/>
                <w:sz w:val="18"/>
                <w:szCs w:val="18"/>
                <w:lang w:eastAsia="sk-SK"/>
              </w:rPr>
              <w:t>-</w:t>
            </w:r>
          </w:p>
        </w:tc>
        <w:tc>
          <w:tcPr>
            <w:tcW w:w="1405" w:type="dxa"/>
            <w:tcBorders>
              <w:top w:val="nil"/>
              <w:left w:val="nil"/>
              <w:bottom w:val="nil"/>
              <w:right w:val="nil"/>
            </w:tcBorders>
            <w:shd w:val="clear" w:color="000000" w:fill="FFFFFF"/>
            <w:noWrap/>
            <w:vAlign w:val="center"/>
            <w:hideMark/>
          </w:tcPr>
          <w:p w14:paraId="5E4D0F2B" w14:textId="77777777" w:rsidR="009A67A5" w:rsidRPr="001C116F" w:rsidRDefault="009A67A5" w:rsidP="001F1B66">
            <w:pPr>
              <w:spacing w:after="0" w:line="240" w:lineRule="auto"/>
              <w:jc w:val="right"/>
              <w:rPr>
                <w:rFonts w:eastAsia="Times New Roman" w:cs="Segoe UI"/>
                <w:color w:val="000000"/>
                <w:sz w:val="18"/>
                <w:szCs w:val="18"/>
                <w:lang w:eastAsia="sk-SK"/>
              </w:rPr>
            </w:pPr>
            <w:r w:rsidRPr="001C116F">
              <w:rPr>
                <w:rFonts w:eastAsia="Times New Roman" w:cs="Segoe UI"/>
                <w:color w:val="000000"/>
                <w:sz w:val="18"/>
                <w:szCs w:val="18"/>
                <w:lang w:eastAsia="sk-SK"/>
              </w:rPr>
              <w:t>11</w:t>
            </w:r>
            <w:r>
              <w:rPr>
                <w:rFonts w:eastAsia="Times New Roman" w:cs="Segoe UI"/>
                <w:color w:val="000000"/>
                <w:sz w:val="18"/>
                <w:szCs w:val="18"/>
                <w:lang w:eastAsia="sk-SK"/>
              </w:rPr>
              <w:t>6,3</w:t>
            </w:r>
          </w:p>
        </w:tc>
      </w:tr>
      <w:tr w:rsidR="009A67A5" w:rsidRPr="001C116F" w14:paraId="10170EF1" w14:textId="77777777" w:rsidTr="001F1B66">
        <w:trPr>
          <w:trHeight w:val="278"/>
        </w:trPr>
        <w:tc>
          <w:tcPr>
            <w:tcW w:w="6278" w:type="dxa"/>
            <w:tcBorders>
              <w:top w:val="nil"/>
              <w:left w:val="nil"/>
              <w:bottom w:val="nil"/>
              <w:right w:val="nil"/>
            </w:tcBorders>
            <w:shd w:val="clear" w:color="000000" w:fill="FFFFFF"/>
            <w:noWrap/>
            <w:vAlign w:val="center"/>
            <w:hideMark/>
          </w:tcPr>
          <w:p w14:paraId="701E0C49" w14:textId="77777777" w:rsidR="009A67A5" w:rsidRPr="001C116F" w:rsidRDefault="009A67A5" w:rsidP="001F1B66">
            <w:pPr>
              <w:spacing w:after="0" w:line="240" w:lineRule="auto"/>
              <w:jc w:val="left"/>
              <w:rPr>
                <w:rFonts w:eastAsia="Times New Roman" w:cs="Segoe UI"/>
                <w:color w:val="000000"/>
                <w:sz w:val="18"/>
                <w:szCs w:val="18"/>
                <w:lang w:eastAsia="sk-SK"/>
              </w:rPr>
            </w:pPr>
            <w:r w:rsidRPr="001C116F">
              <w:rPr>
                <w:rFonts w:eastAsia="Times New Roman" w:cs="Segoe UI"/>
                <w:sz w:val="18"/>
                <w:szCs w:val="18"/>
                <w:lang w:eastAsia="sk-SK"/>
              </w:rPr>
              <w:t>Ministerstvo investícií, regionálneho rozvoja a informatizácie SR</w:t>
            </w:r>
          </w:p>
        </w:tc>
        <w:tc>
          <w:tcPr>
            <w:tcW w:w="1405" w:type="dxa"/>
            <w:tcBorders>
              <w:top w:val="nil"/>
              <w:left w:val="nil"/>
              <w:bottom w:val="nil"/>
              <w:right w:val="nil"/>
            </w:tcBorders>
            <w:shd w:val="clear" w:color="000000" w:fill="FFFFFF"/>
            <w:noWrap/>
            <w:vAlign w:val="center"/>
            <w:hideMark/>
          </w:tcPr>
          <w:p w14:paraId="4BCA2D54" w14:textId="77777777" w:rsidR="009A67A5" w:rsidRPr="001C116F" w:rsidRDefault="009A67A5" w:rsidP="001F1B66">
            <w:pPr>
              <w:spacing w:after="0" w:line="240" w:lineRule="auto"/>
              <w:jc w:val="right"/>
              <w:rPr>
                <w:rFonts w:eastAsia="Times New Roman" w:cs="Segoe UI"/>
                <w:color w:val="000000"/>
                <w:sz w:val="18"/>
                <w:szCs w:val="18"/>
                <w:lang w:eastAsia="sk-SK"/>
              </w:rPr>
            </w:pPr>
            <w:r w:rsidRPr="001C116F">
              <w:rPr>
                <w:rFonts w:eastAsia="Times New Roman" w:cs="Segoe UI"/>
                <w:color w:val="000000"/>
                <w:sz w:val="18"/>
                <w:szCs w:val="18"/>
                <w:lang w:eastAsia="sk-SK"/>
              </w:rPr>
              <w:t>77,0</w:t>
            </w:r>
          </w:p>
        </w:tc>
        <w:tc>
          <w:tcPr>
            <w:tcW w:w="1405" w:type="dxa"/>
            <w:tcBorders>
              <w:top w:val="nil"/>
              <w:left w:val="nil"/>
              <w:bottom w:val="nil"/>
              <w:right w:val="nil"/>
            </w:tcBorders>
            <w:shd w:val="clear" w:color="000000" w:fill="FFFFFF"/>
            <w:noWrap/>
            <w:vAlign w:val="center"/>
            <w:hideMark/>
          </w:tcPr>
          <w:p w14:paraId="2639BD11" w14:textId="77777777" w:rsidR="009A67A5" w:rsidRPr="001C116F" w:rsidRDefault="009A67A5" w:rsidP="001F1B66">
            <w:pPr>
              <w:spacing w:after="0" w:line="240" w:lineRule="auto"/>
              <w:jc w:val="right"/>
              <w:rPr>
                <w:rFonts w:eastAsia="Times New Roman" w:cs="Segoe UI"/>
                <w:color w:val="000000"/>
                <w:sz w:val="18"/>
                <w:szCs w:val="18"/>
                <w:lang w:eastAsia="sk-SK"/>
              </w:rPr>
            </w:pPr>
            <w:r w:rsidRPr="001C116F">
              <w:rPr>
                <w:rFonts w:eastAsia="Times New Roman" w:cs="Segoe UI"/>
                <w:color w:val="000000"/>
                <w:sz w:val="18"/>
                <w:szCs w:val="18"/>
                <w:lang w:eastAsia="sk-SK"/>
              </w:rPr>
              <w:t>1</w:t>
            </w:r>
            <w:r>
              <w:rPr>
                <w:rFonts w:eastAsia="Times New Roman" w:cs="Segoe UI"/>
                <w:color w:val="000000"/>
                <w:sz w:val="18"/>
                <w:szCs w:val="18"/>
                <w:lang w:eastAsia="sk-SK"/>
              </w:rPr>
              <w:t>75,8</w:t>
            </w:r>
          </w:p>
        </w:tc>
      </w:tr>
      <w:tr w:rsidR="009A67A5" w:rsidRPr="001C116F" w14:paraId="46115598" w14:textId="77777777" w:rsidTr="001F1B66">
        <w:trPr>
          <w:trHeight w:val="278"/>
        </w:trPr>
        <w:tc>
          <w:tcPr>
            <w:tcW w:w="6278" w:type="dxa"/>
            <w:tcBorders>
              <w:top w:val="nil"/>
              <w:left w:val="nil"/>
              <w:bottom w:val="nil"/>
              <w:right w:val="nil"/>
            </w:tcBorders>
            <w:shd w:val="clear" w:color="000000" w:fill="FFFFFF"/>
            <w:noWrap/>
            <w:vAlign w:val="center"/>
            <w:hideMark/>
          </w:tcPr>
          <w:p w14:paraId="5FA4FE41" w14:textId="77777777" w:rsidR="009A67A5" w:rsidRPr="001C116F" w:rsidRDefault="009A67A5" w:rsidP="001F1B66">
            <w:pPr>
              <w:spacing w:after="0" w:line="240" w:lineRule="auto"/>
              <w:jc w:val="left"/>
              <w:rPr>
                <w:rFonts w:eastAsia="Times New Roman" w:cs="Segoe UI"/>
                <w:color w:val="000000"/>
                <w:sz w:val="18"/>
                <w:szCs w:val="18"/>
                <w:lang w:eastAsia="sk-SK"/>
              </w:rPr>
            </w:pPr>
            <w:r w:rsidRPr="001C116F">
              <w:rPr>
                <w:rFonts w:eastAsia="Times New Roman" w:cs="Segoe UI"/>
                <w:sz w:val="18"/>
                <w:szCs w:val="18"/>
                <w:lang w:eastAsia="sk-SK"/>
              </w:rPr>
              <w:t>Ministerstvo vnútra SR</w:t>
            </w:r>
          </w:p>
        </w:tc>
        <w:tc>
          <w:tcPr>
            <w:tcW w:w="1405" w:type="dxa"/>
            <w:tcBorders>
              <w:top w:val="nil"/>
              <w:left w:val="nil"/>
              <w:bottom w:val="nil"/>
              <w:right w:val="nil"/>
            </w:tcBorders>
            <w:shd w:val="clear" w:color="000000" w:fill="FFFFFF"/>
            <w:noWrap/>
            <w:vAlign w:val="center"/>
            <w:hideMark/>
          </w:tcPr>
          <w:p w14:paraId="57BAE11F" w14:textId="77777777" w:rsidR="009A67A5" w:rsidRPr="001C116F" w:rsidRDefault="009A67A5" w:rsidP="001F1B66">
            <w:pPr>
              <w:spacing w:after="0" w:line="240" w:lineRule="auto"/>
              <w:jc w:val="right"/>
              <w:rPr>
                <w:rFonts w:eastAsia="Times New Roman" w:cs="Segoe UI"/>
                <w:color w:val="000000"/>
                <w:sz w:val="18"/>
                <w:szCs w:val="18"/>
                <w:lang w:eastAsia="sk-SK"/>
              </w:rPr>
            </w:pPr>
            <w:r w:rsidRPr="001C116F">
              <w:rPr>
                <w:rFonts w:eastAsia="Times New Roman" w:cs="Segoe UI"/>
                <w:color w:val="000000"/>
                <w:sz w:val="18"/>
                <w:szCs w:val="18"/>
                <w:lang w:eastAsia="sk-SK"/>
              </w:rPr>
              <w:t>9,3</w:t>
            </w:r>
          </w:p>
        </w:tc>
        <w:tc>
          <w:tcPr>
            <w:tcW w:w="1405" w:type="dxa"/>
            <w:tcBorders>
              <w:top w:val="nil"/>
              <w:left w:val="nil"/>
              <w:bottom w:val="nil"/>
              <w:right w:val="nil"/>
            </w:tcBorders>
            <w:shd w:val="clear" w:color="000000" w:fill="FFFFFF"/>
            <w:noWrap/>
            <w:vAlign w:val="center"/>
            <w:hideMark/>
          </w:tcPr>
          <w:p w14:paraId="375B567A" w14:textId="77777777" w:rsidR="009A67A5" w:rsidRPr="001C116F" w:rsidRDefault="009A67A5" w:rsidP="001F1B66">
            <w:pPr>
              <w:spacing w:after="0" w:line="240" w:lineRule="auto"/>
              <w:jc w:val="right"/>
              <w:rPr>
                <w:rFonts w:eastAsia="Times New Roman" w:cs="Segoe UI"/>
                <w:color w:val="000000"/>
                <w:sz w:val="18"/>
                <w:szCs w:val="18"/>
                <w:lang w:eastAsia="sk-SK"/>
              </w:rPr>
            </w:pPr>
            <w:r w:rsidRPr="001C116F">
              <w:rPr>
                <w:rFonts w:eastAsia="Times New Roman" w:cs="Segoe UI"/>
                <w:color w:val="000000"/>
                <w:sz w:val="18"/>
                <w:szCs w:val="18"/>
                <w:lang w:eastAsia="sk-SK"/>
              </w:rPr>
              <w:t>27,1</w:t>
            </w:r>
          </w:p>
        </w:tc>
      </w:tr>
      <w:tr w:rsidR="009A67A5" w:rsidRPr="001C116F" w14:paraId="1D3DB038" w14:textId="77777777" w:rsidTr="001F1B66">
        <w:trPr>
          <w:trHeight w:val="278"/>
        </w:trPr>
        <w:tc>
          <w:tcPr>
            <w:tcW w:w="6278" w:type="dxa"/>
            <w:tcBorders>
              <w:top w:val="nil"/>
              <w:left w:val="nil"/>
              <w:bottom w:val="nil"/>
              <w:right w:val="nil"/>
            </w:tcBorders>
            <w:shd w:val="clear" w:color="000000" w:fill="FFFFFF"/>
            <w:noWrap/>
            <w:vAlign w:val="center"/>
            <w:hideMark/>
          </w:tcPr>
          <w:p w14:paraId="220D88CE" w14:textId="77777777" w:rsidR="009A67A5" w:rsidRPr="001C116F" w:rsidRDefault="009A67A5" w:rsidP="001F1B66">
            <w:pPr>
              <w:spacing w:after="0" w:line="240" w:lineRule="auto"/>
              <w:jc w:val="left"/>
              <w:rPr>
                <w:rFonts w:eastAsia="Times New Roman" w:cs="Segoe UI"/>
                <w:color w:val="000000"/>
                <w:sz w:val="18"/>
                <w:szCs w:val="18"/>
                <w:lang w:eastAsia="sk-SK"/>
              </w:rPr>
            </w:pPr>
            <w:r w:rsidRPr="001C116F">
              <w:rPr>
                <w:rFonts w:eastAsia="Times New Roman" w:cs="Segoe UI"/>
                <w:color w:val="000000"/>
                <w:sz w:val="18"/>
                <w:szCs w:val="18"/>
                <w:lang w:eastAsia="sk-SK"/>
              </w:rPr>
              <w:t>Ministerstvo spravodlivosti SR</w:t>
            </w:r>
          </w:p>
        </w:tc>
        <w:tc>
          <w:tcPr>
            <w:tcW w:w="1405" w:type="dxa"/>
            <w:tcBorders>
              <w:top w:val="nil"/>
              <w:left w:val="nil"/>
              <w:bottom w:val="nil"/>
              <w:right w:val="nil"/>
            </w:tcBorders>
            <w:shd w:val="clear" w:color="000000" w:fill="FFFFFF"/>
            <w:noWrap/>
            <w:vAlign w:val="center"/>
            <w:hideMark/>
          </w:tcPr>
          <w:p w14:paraId="7C45FF7A" w14:textId="77777777" w:rsidR="009A67A5" w:rsidRPr="001C116F" w:rsidRDefault="009A67A5" w:rsidP="001F1B66">
            <w:pPr>
              <w:spacing w:after="0" w:line="240" w:lineRule="auto"/>
              <w:jc w:val="right"/>
              <w:rPr>
                <w:rFonts w:eastAsia="Times New Roman" w:cs="Segoe UI"/>
                <w:color w:val="000000"/>
                <w:sz w:val="18"/>
                <w:szCs w:val="18"/>
                <w:lang w:eastAsia="sk-SK"/>
              </w:rPr>
            </w:pPr>
            <w:r w:rsidRPr="001C116F">
              <w:rPr>
                <w:rFonts w:eastAsia="Times New Roman" w:cs="Segoe UI"/>
                <w:color w:val="000000"/>
                <w:sz w:val="18"/>
                <w:szCs w:val="18"/>
                <w:lang w:eastAsia="sk-SK"/>
              </w:rPr>
              <w:t>-</w:t>
            </w:r>
          </w:p>
        </w:tc>
        <w:tc>
          <w:tcPr>
            <w:tcW w:w="1405" w:type="dxa"/>
            <w:tcBorders>
              <w:top w:val="nil"/>
              <w:left w:val="nil"/>
              <w:bottom w:val="nil"/>
              <w:right w:val="nil"/>
            </w:tcBorders>
            <w:shd w:val="clear" w:color="000000" w:fill="FFFFFF"/>
            <w:noWrap/>
            <w:vAlign w:val="center"/>
            <w:hideMark/>
          </w:tcPr>
          <w:p w14:paraId="2466F7D0" w14:textId="77777777" w:rsidR="009A67A5" w:rsidRPr="001C116F" w:rsidRDefault="009A67A5" w:rsidP="001F1B66">
            <w:pPr>
              <w:spacing w:after="0" w:line="240" w:lineRule="auto"/>
              <w:jc w:val="right"/>
              <w:rPr>
                <w:rFonts w:eastAsia="Times New Roman" w:cs="Segoe UI"/>
                <w:color w:val="000000"/>
                <w:sz w:val="18"/>
                <w:szCs w:val="18"/>
                <w:lang w:eastAsia="sk-SK"/>
              </w:rPr>
            </w:pPr>
            <w:r w:rsidRPr="001C116F">
              <w:rPr>
                <w:rFonts w:eastAsia="Times New Roman" w:cs="Segoe UI"/>
                <w:color w:val="000000"/>
                <w:sz w:val="18"/>
                <w:szCs w:val="18"/>
                <w:lang w:eastAsia="sk-SK"/>
              </w:rPr>
              <w:t>11,3</w:t>
            </w:r>
          </w:p>
        </w:tc>
      </w:tr>
      <w:tr w:rsidR="009A67A5" w:rsidRPr="001C116F" w14:paraId="28D21C16" w14:textId="77777777" w:rsidTr="001F1B66">
        <w:trPr>
          <w:trHeight w:val="278"/>
        </w:trPr>
        <w:tc>
          <w:tcPr>
            <w:tcW w:w="6278" w:type="dxa"/>
            <w:tcBorders>
              <w:top w:val="nil"/>
              <w:left w:val="nil"/>
              <w:bottom w:val="nil"/>
              <w:right w:val="nil"/>
            </w:tcBorders>
            <w:shd w:val="clear" w:color="000000" w:fill="FFFFFF"/>
            <w:noWrap/>
            <w:vAlign w:val="center"/>
            <w:hideMark/>
          </w:tcPr>
          <w:p w14:paraId="629E1D06" w14:textId="77777777" w:rsidR="009A67A5" w:rsidRPr="001C116F" w:rsidRDefault="009A67A5" w:rsidP="001F1B66">
            <w:pPr>
              <w:spacing w:after="0" w:line="240" w:lineRule="auto"/>
              <w:jc w:val="left"/>
              <w:rPr>
                <w:rFonts w:eastAsia="Times New Roman" w:cs="Segoe UI"/>
                <w:color w:val="000000"/>
                <w:sz w:val="18"/>
                <w:szCs w:val="18"/>
                <w:lang w:eastAsia="sk-SK"/>
              </w:rPr>
            </w:pPr>
            <w:r w:rsidRPr="001C116F">
              <w:rPr>
                <w:rFonts w:eastAsia="Times New Roman" w:cs="Segoe UI"/>
                <w:sz w:val="18"/>
                <w:szCs w:val="18"/>
                <w:lang w:eastAsia="sk-SK"/>
              </w:rPr>
              <w:t>Ministerstvo financií SR</w:t>
            </w:r>
          </w:p>
        </w:tc>
        <w:tc>
          <w:tcPr>
            <w:tcW w:w="1405" w:type="dxa"/>
            <w:tcBorders>
              <w:top w:val="nil"/>
              <w:left w:val="nil"/>
              <w:bottom w:val="nil"/>
              <w:right w:val="nil"/>
            </w:tcBorders>
            <w:shd w:val="clear" w:color="000000" w:fill="FFFFFF"/>
            <w:noWrap/>
            <w:vAlign w:val="center"/>
            <w:hideMark/>
          </w:tcPr>
          <w:p w14:paraId="66CC505C" w14:textId="77777777" w:rsidR="009A67A5" w:rsidRPr="001C116F" w:rsidRDefault="009A67A5" w:rsidP="001F1B66">
            <w:pPr>
              <w:spacing w:after="0" w:line="240" w:lineRule="auto"/>
              <w:jc w:val="right"/>
              <w:rPr>
                <w:rFonts w:eastAsia="Times New Roman" w:cs="Segoe UI"/>
                <w:color w:val="000000"/>
                <w:sz w:val="18"/>
                <w:szCs w:val="18"/>
                <w:lang w:eastAsia="sk-SK"/>
              </w:rPr>
            </w:pPr>
            <w:r w:rsidRPr="001C116F">
              <w:rPr>
                <w:rFonts w:eastAsia="Times New Roman" w:cs="Segoe UI"/>
                <w:color w:val="000000"/>
                <w:sz w:val="18"/>
                <w:szCs w:val="18"/>
                <w:lang w:eastAsia="sk-SK"/>
              </w:rPr>
              <w:t>-</w:t>
            </w:r>
          </w:p>
        </w:tc>
        <w:tc>
          <w:tcPr>
            <w:tcW w:w="1405" w:type="dxa"/>
            <w:tcBorders>
              <w:top w:val="nil"/>
              <w:left w:val="nil"/>
              <w:bottom w:val="nil"/>
              <w:right w:val="nil"/>
            </w:tcBorders>
            <w:shd w:val="clear" w:color="000000" w:fill="FFFFFF"/>
            <w:noWrap/>
            <w:vAlign w:val="center"/>
            <w:hideMark/>
          </w:tcPr>
          <w:p w14:paraId="4733C9D0" w14:textId="77777777" w:rsidR="009A67A5" w:rsidRPr="001C116F" w:rsidRDefault="009A67A5" w:rsidP="001F1B66">
            <w:pPr>
              <w:spacing w:after="0" w:line="240" w:lineRule="auto"/>
              <w:jc w:val="right"/>
              <w:rPr>
                <w:rFonts w:eastAsia="Times New Roman" w:cs="Segoe UI"/>
                <w:color w:val="000000"/>
                <w:sz w:val="18"/>
                <w:szCs w:val="18"/>
                <w:lang w:eastAsia="sk-SK"/>
              </w:rPr>
            </w:pPr>
            <w:r w:rsidRPr="001C116F">
              <w:rPr>
                <w:rFonts w:eastAsia="Times New Roman" w:cs="Segoe UI"/>
                <w:color w:val="000000"/>
                <w:sz w:val="18"/>
                <w:szCs w:val="18"/>
                <w:lang w:eastAsia="sk-SK"/>
              </w:rPr>
              <w:t>1,5</w:t>
            </w:r>
          </w:p>
        </w:tc>
      </w:tr>
      <w:tr w:rsidR="009A67A5" w:rsidRPr="001C116F" w14:paraId="3AA4C8DF" w14:textId="77777777" w:rsidTr="001F1B66">
        <w:trPr>
          <w:trHeight w:val="278"/>
        </w:trPr>
        <w:tc>
          <w:tcPr>
            <w:tcW w:w="6278" w:type="dxa"/>
            <w:tcBorders>
              <w:top w:val="nil"/>
              <w:left w:val="nil"/>
              <w:bottom w:val="nil"/>
              <w:right w:val="nil"/>
            </w:tcBorders>
            <w:shd w:val="clear" w:color="000000" w:fill="FFFFFF"/>
            <w:noWrap/>
            <w:vAlign w:val="center"/>
            <w:hideMark/>
          </w:tcPr>
          <w:p w14:paraId="1F8C4492" w14:textId="77777777" w:rsidR="009A67A5" w:rsidRPr="001C116F" w:rsidRDefault="009A67A5" w:rsidP="001F1B66">
            <w:pPr>
              <w:spacing w:after="0" w:line="240" w:lineRule="auto"/>
              <w:jc w:val="left"/>
              <w:rPr>
                <w:rFonts w:eastAsia="Times New Roman" w:cs="Segoe UI"/>
                <w:color w:val="000000"/>
                <w:sz w:val="18"/>
                <w:szCs w:val="18"/>
                <w:lang w:eastAsia="sk-SK"/>
              </w:rPr>
            </w:pPr>
            <w:r w:rsidRPr="001C116F">
              <w:rPr>
                <w:rFonts w:eastAsia="Times New Roman" w:cs="Segoe UI"/>
                <w:sz w:val="18"/>
                <w:szCs w:val="18"/>
                <w:lang w:eastAsia="sk-SK"/>
              </w:rPr>
              <w:t>Ministerstvo životného prostredia SR</w:t>
            </w:r>
          </w:p>
        </w:tc>
        <w:tc>
          <w:tcPr>
            <w:tcW w:w="1405" w:type="dxa"/>
            <w:tcBorders>
              <w:top w:val="nil"/>
              <w:left w:val="nil"/>
              <w:bottom w:val="nil"/>
              <w:right w:val="nil"/>
            </w:tcBorders>
            <w:shd w:val="clear" w:color="000000" w:fill="FFFFFF"/>
            <w:noWrap/>
            <w:vAlign w:val="center"/>
            <w:hideMark/>
          </w:tcPr>
          <w:p w14:paraId="632F60F1" w14:textId="77777777" w:rsidR="009A67A5" w:rsidRPr="001C116F" w:rsidRDefault="009A67A5" w:rsidP="001F1B66">
            <w:pPr>
              <w:spacing w:after="0" w:line="240" w:lineRule="auto"/>
              <w:jc w:val="right"/>
              <w:rPr>
                <w:rFonts w:eastAsia="Times New Roman" w:cs="Segoe UI"/>
                <w:color w:val="000000"/>
                <w:sz w:val="18"/>
                <w:szCs w:val="18"/>
                <w:lang w:eastAsia="sk-SK"/>
              </w:rPr>
            </w:pPr>
            <w:r w:rsidRPr="001C116F">
              <w:rPr>
                <w:rFonts w:eastAsia="Times New Roman" w:cs="Segoe UI"/>
                <w:color w:val="000000"/>
                <w:sz w:val="18"/>
                <w:szCs w:val="18"/>
                <w:lang w:eastAsia="sk-SK"/>
              </w:rPr>
              <w:t>83,1</w:t>
            </w:r>
          </w:p>
        </w:tc>
        <w:tc>
          <w:tcPr>
            <w:tcW w:w="1405" w:type="dxa"/>
            <w:tcBorders>
              <w:top w:val="nil"/>
              <w:left w:val="nil"/>
              <w:bottom w:val="nil"/>
              <w:right w:val="nil"/>
            </w:tcBorders>
            <w:shd w:val="clear" w:color="000000" w:fill="FFFFFF"/>
            <w:noWrap/>
            <w:vAlign w:val="center"/>
            <w:hideMark/>
          </w:tcPr>
          <w:p w14:paraId="2BA6D777" w14:textId="77777777" w:rsidR="009A67A5" w:rsidRPr="001C116F" w:rsidRDefault="009A67A5" w:rsidP="001F1B66">
            <w:pPr>
              <w:spacing w:after="0" w:line="240" w:lineRule="auto"/>
              <w:jc w:val="right"/>
              <w:rPr>
                <w:rFonts w:eastAsia="Times New Roman" w:cs="Segoe UI"/>
                <w:color w:val="000000"/>
                <w:sz w:val="18"/>
                <w:szCs w:val="18"/>
                <w:lang w:eastAsia="sk-SK"/>
              </w:rPr>
            </w:pPr>
            <w:r w:rsidRPr="001C116F">
              <w:rPr>
                <w:rFonts w:eastAsia="Times New Roman" w:cs="Segoe UI"/>
                <w:color w:val="000000"/>
                <w:sz w:val="18"/>
                <w:szCs w:val="18"/>
                <w:lang w:eastAsia="sk-SK"/>
              </w:rPr>
              <w:t>2</w:t>
            </w:r>
            <w:r>
              <w:rPr>
                <w:rFonts w:eastAsia="Times New Roman" w:cs="Segoe UI"/>
                <w:color w:val="000000"/>
                <w:sz w:val="18"/>
                <w:szCs w:val="18"/>
                <w:lang w:eastAsia="sk-SK"/>
              </w:rPr>
              <w:t>24,5</w:t>
            </w:r>
          </w:p>
        </w:tc>
      </w:tr>
      <w:tr w:rsidR="009A67A5" w:rsidRPr="001C116F" w14:paraId="5F5D0F7D" w14:textId="77777777" w:rsidTr="001F1B66">
        <w:trPr>
          <w:trHeight w:val="278"/>
        </w:trPr>
        <w:tc>
          <w:tcPr>
            <w:tcW w:w="6278" w:type="dxa"/>
            <w:tcBorders>
              <w:top w:val="nil"/>
              <w:left w:val="nil"/>
              <w:bottom w:val="nil"/>
              <w:right w:val="nil"/>
            </w:tcBorders>
            <w:shd w:val="clear" w:color="000000" w:fill="FFFFFF"/>
            <w:noWrap/>
            <w:vAlign w:val="center"/>
            <w:hideMark/>
          </w:tcPr>
          <w:p w14:paraId="5EBAE847" w14:textId="77777777" w:rsidR="009A67A5" w:rsidRPr="001C116F" w:rsidRDefault="009A67A5" w:rsidP="001F1B66">
            <w:pPr>
              <w:spacing w:after="0" w:line="240" w:lineRule="auto"/>
              <w:jc w:val="left"/>
              <w:rPr>
                <w:rFonts w:eastAsia="Times New Roman" w:cs="Segoe UI"/>
                <w:color w:val="000000"/>
                <w:sz w:val="18"/>
                <w:szCs w:val="18"/>
                <w:lang w:eastAsia="sk-SK"/>
              </w:rPr>
            </w:pPr>
            <w:r w:rsidRPr="001C116F">
              <w:rPr>
                <w:rFonts w:eastAsia="Times New Roman" w:cs="Segoe UI"/>
                <w:sz w:val="18"/>
                <w:szCs w:val="18"/>
                <w:lang w:eastAsia="sk-SK"/>
              </w:rPr>
              <w:t>Ministerstvo školstva, vedy, výskumu a športu SR</w:t>
            </w:r>
          </w:p>
        </w:tc>
        <w:tc>
          <w:tcPr>
            <w:tcW w:w="1405" w:type="dxa"/>
            <w:tcBorders>
              <w:top w:val="nil"/>
              <w:left w:val="nil"/>
              <w:bottom w:val="nil"/>
              <w:right w:val="nil"/>
            </w:tcBorders>
            <w:shd w:val="clear" w:color="000000" w:fill="FFFFFF"/>
            <w:noWrap/>
            <w:vAlign w:val="center"/>
            <w:hideMark/>
          </w:tcPr>
          <w:p w14:paraId="436DE0C2" w14:textId="77777777" w:rsidR="009A67A5" w:rsidRPr="001C116F" w:rsidRDefault="009A67A5" w:rsidP="001F1B66">
            <w:pPr>
              <w:spacing w:after="0" w:line="240" w:lineRule="auto"/>
              <w:jc w:val="right"/>
              <w:rPr>
                <w:rFonts w:eastAsia="Times New Roman" w:cs="Segoe UI"/>
                <w:color w:val="000000"/>
                <w:sz w:val="18"/>
                <w:szCs w:val="18"/>
                <w:lang w:eastAsia="sk-SK"/>
              </w:rPr>
            </w:pPr>
            <w:r w:rsidRPr="001C116F">
              <w:rPr>
                <w:rFonts w:eastAsia="Times New Roman" w:cs="Segoe UI"/>
                <w:color w:val="000000"/>
                <w:sz w:val="18"/>
                <w:szCs w:val="18"/>
                <w:lang w:eastAsia="sk-SK"/>
              </w:rPr>
              <w:t>108,5</w:t>
            </w:r>
          </w:p>
        </w:tc>
        <w:tc>
          <w:tcPr>
            <w:tcW w:w="1405" w:type="dxa"/>
            <w:tcBorders>
              <w:top w:val="nil"/>
              <w:left w:val="nil"/>
              <w:bottom w:val="nil"/>
              <w:right w:val="nil"/>
            </w:tcBorders>
            <w:shd w:val="clear" w:color="000000" w:fill="FFFFFF"/>
            <w:noWrap/>
            <w:vAlign w:val="center"/>
            <w:hideMark/>
          </w:tcPr>
          <w:p w14:paraId="69543AB5" w14:textId="77777777" w:rsidR="009A67A5" w:rsidRPr="001C116F" w:rsidRDefault="009A67A5" w:rsidP="001F1B66">
            <w:pPr>
              <w:spacing w:after="0" w:line="240" w:lineRule="auto"/>
              <w:jc w:val="right"/>
              <w:rPr>
                <w:rFonts w:eastAsia="Times New Roman" w:cs="Segoe UI"/>
                <w:color w:val="000000"/>
                <w:sz w:val="18"/>
                <w:szCs w:val="18"/>
                <w:lang w:eastAsia="sk-SK"/>
              </w:rPr>
            </w:pPr>
            <w:r w:rsidRPr="001C116F">
              <w:rPr>
                <w:rFonts w:eastAsia="Times New Roman" w:cs="Segoe UI"/>
                <w:color w:val="000000"/>
                <w:sz w:val="18"/>
                <w:szCs w:val="18"/>
                <w:lang w:eastAsia="sk-SK"/>
              </w:rPr>
              <w:t>1</w:t>
            </w:r>
            <w:r>
              <w:rPr>
                <w:rFonts w:eastAsia="Times New Roman" w:cs="Segoe UI"/>
                <w:color w:val="000000"/>
                <w:sz w:val="18"/>
                <w:szCs w:val="18"/>
                <w:lang w:eastAsia="sk-SK"/>
              </w:rPr>
              <w:t>23,6</w:t>
            </w:r>
          </w:p>
        </w:tc>
      </w:tr>
      <w:tr w:rsidR="009A67A5" w:rsidRPr="001C116F" w14:paraId="42A0ACFB" w14:textId="77777777" w:rsidTr="001F1B66">
        <w:trPr>
          <w:trHeight w:val="278"/>
        </w:trPr>
        <w:tc>
          <w:tcPr>
            <w:tcW w:w="6278" w:type="dxa"/>
            <w:tcBorders>
              <w:top w:val="nil"/>
              <w:left w:val="nil"/>
              <w:bottom w:val="nil"/>
              <w:right w:val="nil"/>
            </w:tcBorders>
            <w:shd w:val="clear" w:color="000000" w:fill="FFFFFF"/>
            <w:noWrap/>
            <w:vAlign w:val="center"/>
            <w:hideMark/>
          </w:tcPr>
          <w:p w14:paraId="1028112B" w14:textId="77777777" w:rsidR="009A67A5" w:rsidRPr="001C116F" w:rsidRDefault="009A67A5" w:rsidP="001F1B66">
            <w:pPr>
              <w:spacing w:after="0" w:line="240" w:lineRule="auto"/>
              <w:jc w:val="left"/>
              <w:rPr>
                <w:rFonts w:eastAsia="Times New Roman" w:cs="Segoe UI"/>
                <w:color w:val="000000"/>
                <w:sz w:val="18"/>
                <w:szCs w:val="18"/>
                <w:lang w:eastAsia="sk-SK"/>
              </w:rPr>
            </w:pPr>
            <w:r w:rsidRPr="001C116F">
              <w:rPr>
                <w:rFonts w:eastAsia="Times New Roman" w:cs="Segoe UI"/>
                <w:sz w:val="18"/>
                <w:szCs w:val="18"/>
                <w:lang w:eastAsia="sk-SK"/>
              </w:rPr>
              <w:t>Ministerstvo zdravotníctva SR</w:t>
            </w:r>
          </w:p>
        </w:tc>
        <w:tc>
          <w:tcPr>
            <w:tcW w:w="1405" w:type="dxa"/>
            <w:tcBorders>
              <w:top w:val="nil"/>
              <w:left w:val="nil"/>
              <w:bottom w:val="nil"/>
              <w:right w:val="nil"/>
            </w:tcBorders>
            <w:shd w:val="clear" w:color="000000" w:fill="FFFFFF"/>
            <w:noWrap/>
            <w:vAlign w:val="center"/>
            <w:hideMark/>
          </w:tcPr>
          <w:p w14:paraId="6C276188" w14:textId="77777777" w:rsidR="009A67A5" w:rsidRPr="001C116F" w:rsidRDefault="009A67A5" w:rsidP="001F1B66">
            <w:pPr>
              <w:spacing w:after="0" w:line="240" w:lineRule="auto"/>
              <w:jc w:val="right"/>
              <w:rPr>
                <w:rFonts w:eastAsia="Times New Roman" w:cs="Segoe UI"/>
                <w:color w:val="000000"/>
                <w:sz w:val="18"/>
                <w:szCs w:val="18"/>
                <w:lang w:eastAsia="sk-SK"/>
              </w:rPr>
            </w:pPr>
            <w:r w:rsidRPr="001C116F">
              <w:rPr>
                <w:rFonts w:eastAsia="Times New Roman" w:cs="Segoe UI"/>
                <w:color w:val="000000"/>
                <w:sz w:val="18"/>
                <w:szCs w:val="18"/>
                <w:lang w:eastAsia="sk-SK"/>
              </w:rPr>
              <w:t>-</w:t>
            </w:r>
          </w:p>
        </w:tc>
        <w:tc>
          <w:tcPr>
            <w:tcW w:w="1405" w:type="dxa"/>
            <w:tcBorders>
              <w:top w:val="nil"/>
              <w:left w:val="nil"/>
              <w:bottom w:val="nil"/>
              <w:right w:val="nil"/>
            </w:tcBorders>
            <w:shd w:val="clear" w:color="000000" w:fill="FFFFFF"/>
            <w:noWrap/>
            <w:vAlign w:val="center"/>
            <w:hideMark/>
          </w:tcPr>
          <w:p w14:paraId="3DD5801D" w14:textId="77777777" w:rsidR="009A67A5" w:rsidRPr="001C116F" w:rsidRDefault="009A67A5" w:rsidP="001F1B66">
            <w:pPr>
              <w:spacing w:after="0" w:line="240" w:lineRule="auto"/>
              <w:jc w:val="right"/>
              <w:rPr>
                <w:rFonts w:eastAsia="Times New Roman" w:cs="Segoe UI"/>
                <w:color w:val="000000"/>
                <w:sz w:val="18"/>
                <w:szCs w:val="18"/>
                <w:lang w:eastAsia="sk-SK"/>
              </w:rPr>
            </w:pPr>
            <w:r w:rsidRPr="001C116F">
              <w:rPr>
                <w:rFonts w:eastAsia="Times New Roman" w:cs="Segoe UI"/>
                <w:color w:val="000000"/>
                <w:sz w:val="18"/>
                <w:szCs w:val="18"/>
                <w:lang w:eastAsia="sk-SK"/>
              </w:rPr>
              <w:t>22</w:t>
            </w:r>
            <w:r>
              <w:rPr>
                <w:rFonts w:eastAsia="Times New Roman" w:cs="Segoe UI"/>
                <w:color w:val="000000"/>
                <w:sz w:val="18"/>
                <w:szCs w:val="18"/>
                <w:lang w:eastAsia="sk-SK"/>
              </w:rPr>
              <w:t>8,6</w:t>
            </w:r>
          </w:p>
        </w:tc>
      </w:tr>
      <w:tr w:rsidR="009A67A5" w:rsidRPr="001C116F" w14:paraId="4C0DFC81" w14:textId="77777777" w:rsidTr="001F1B66">
        <w:trPr>
          <w:trHeight w:val="278"/>
        </w:trPr>
        <w:tc>
          <w:tcPr>
            <w:tcW w:w="6278" w:type="dxa"/>
            <w:tcBorders>
              <w:top w:val="nil"/>
              <w:left w:val="nil"/>
              <w:bottom w:val="nil"/>
              <w:right w:val="nil"/>
            </w:tcBorders>
            <w:shd w:val="clear" w:color="000000" w:fill="FFFFFF"/>
            <w:noWrap/>
            <w:vAlign w:val="center"/>
            <w:hideMark/>
          </w:tcPr>
          <w:p w14:paraId="2918E7DC" w14:textId="77777777" w:rsidR="009A67A5" w:rsidRPr="001C116F" w:rsidRDefault="009A67A5" w:rsidP="001F1B66">
            <w:pPr>
              <w:spacing w:after="0" w:line="240" w:lineRule="auto"/>
              <w:jc w:val="left"/>
              <w:rPr>
                <w:rFonts w:eastAsia="Times New Roman" w:cs="Segoe UI"/>
                <w:color w:val="000000"/>
                <w:sz w:val="18"/>
                <w:szCs w:val="18"/>
                <w:lang w:eastAsia="sk-SK"/>
              </w:rPr>
            </w:pPr>
            <w:r w:rsidRPr="001C116F">
              <w:rPr>
                <w:rFonts w:eastAsia="Times New Roman" w:cs="Segoe UI"/>
                <w:sz w:val="18"/>
                <w:szCs w:val="18"/>
                <w:lang w:eastAsia="sk-SK"/>
              </w:rPr>
              <w:t>Ministerstvo práce, sociálnych vecí a rodiny SR</w:t>
            </w:r>
          </w:p>
        </w:tc>
        <w:tc>
          <w:tcPr>
            <w:tcW w:w="1405" w:type="dxa"/>
            <w:tcBorders>
              <w:top w:val="nil"/>
              <w:left w:val="nil"/>
              <w:bottom w:val="nil"/>
              <w:right w:val="nil"/>
            </w:tcBorders>
            <w:shd w:val="clear" w:color="000000" w:fill="FFFFFF"/>
            <w:noWrap/>
            <w:vAlign w:val="center"/>
            <w:hideMark/>
          </w:tcPr>
          <w:p w14:paraId="3B83B21F" w14:textId="77777777" w:rsidR="009A67A5" w:rsidRPr="001C116F" w:rsidRDefault="009A67A5" w:rsidP="001F1B66">
            <w:pPr>
              <w:spacing w:after="0" w:line="240" w:lineRule="auto"/>
              <w:jc w:val="right"/>
              <w:rPr>
                <w:rFonts w:eastAsia="Times New Roman" w:cs="Segoe UI"/>
                <w:color w:val="000000"/>
                <w:sz w:val="18"/>
                <w:szCs w:val="18"/>
                <w:lang w:eastAsia="sk-SK"/>
              </w:rPr>
            </w:pPr>
            <w:r w:rsidRPr="001C116F">
              <w:rPr>
                <w:rFonts w:eastAsia="Times New Roman" w:cs="Segoe UI"/>
                <w:color w:val="000000"/>
                <w:sz w:val="18"/>
                <w:szCs w:val="18"/>
                <w:lang w:eastAsia="sk-SK"/>
              </w:rPr>
              <w:t>60,1</w:t>
            </w:r>
          </w:p>
        </w:tc>
        <w:tc>
          <w:tcPr>
            <w:tcW w:w="1405" w:type="dxa"/>
            <w:tcBorders>
              <w:top w:val="nil"/>
              <w:left w:val="nil"/>
              <w:bottom w:val="nil"/>
              <w:right w:val="nil"/>
            </w:tcBorders>
            <w:shd w:val="clear" w:color="000000" w:fill="FFFFFF"/>
            <w:noWrap/>
            <w:vAlign w:val="center"/>
            <w:hideMark/>
          </w:tcPr>
          <w:p w14:paraId="465528E0" w14:textId="77777777" w:rsidR="009A67A5" w:rsidRPr="001C116F" w:rsidRDefault="009A67A5" w:rsidP="001F1B66">
            <w:pPr>
              <w:spacing w:after="0" w:line="240" w:lineRule="auto"/>
              <w:jc w:val="right"/>
              <w:rPr>
                <w:rFonts w:eastAsia="Times New Roman" w:cs="Segoe UI"/>
                <w:color w:val="000000"/>
                <w:sz w:val="18"/>
                <w:szCs w:val="18"/>
                <w:lang w:eastAsia="sk-SK"/>
              </w:rPr>
            </w:pPr>
            <w:r w:rsidRPr="001C116F">
              <w:rPr>
                <w:rFonts w:eastAsia="Times New Roman" w:cs="Segoe UI"/>
                <w:color w:val="000000"/>
                <w:sz w:val="18"/>
                <w:szCs w:val="18"/>
                <w:lang w:eastAsia="sk-SK"/>
              </w:rPr>
              <w:t>44,3</w:t>
            </w:r>
          </w:p>
        </w:tc>
      </w:tr>
      <w:tr w:rsidR="009A67A5" w:rsidRPr="001C116F" w14:paraId="34DB515B" w14:textId="77777777" w:rsidTr="001F1B66">
        <w:trPr>
          <w:trHeight w:val="278"/>
        </w:trPr>
        <w:tc>
          <w:tcPr>
            <w:tcW w:w="6278" w:type="dxa"/>
            <w:tcBorders>
              <w:top w:val="nil"/>
              <w:left w:val="nil"/>
              <w:bottom w:val="nil"/>
              <w:right w:val="nil"/>
            </w:tcBorders>
            <w:shd w:val="clear" w:color="000000" w:fill="FFFFFF"/>
            <w:noWrap/>
            <w:vAlign w:val="center"/>
            <w:hideMark/>
          </w:tcPr>
          <w:p w14:paraId="4F9CC69E" w14:textId="77777777" w:rsidR="009A67A5" w:rsidRPr="001C116F" w:rsidRDefault="009A67A5" w:rsidP="001F1B66">
            <w:pPr>
              <w:spacing w:after="0" w:line="240" w:lineRule="auto"/>
              <w:jc w:val="left"/>
              <w:rPr>
                <w:rFonts w:eastAsia="Times New Roman" w:cs="Segoe UI"/>
                <w:color w:val="000000"/>
                <w:sz w:val="18"/>
                <w:szCs w:val="18"/>
                <w:lang w:eastAsia="sk-SK"/>
              </w:rPr>
            </w:pPr>
            <w:r w:rsidRPr="001C116F">
              <w:rPr>
                <w:rFonts w:eastAsia="Times New Roman" w:cs="Segoe UI"/>
                <w:sz w:val="18"/>
                <w:szCs w:val="18"/>
                <w:lang w:eastAsia="sk-SK"/>
              </w:rPr>
              <w:t>Ministerstvo hospodárstva SR</w:t>
            </w:r>
          </w:p>
        </w:tc>
        <w:tc>
          <w:tcPr>
            <w:tcW w:w="1405" w:type="dxa"/>
            <w:tcBorders>
              <w:top w:val="nil"/>
              <w:left w:val="nil"/>
              <w:bottom w:val="nil"/>
              <w:right w:val="nil"/>
            </w:tcBorders>
            <w:shd w:val="clear" w:color="000000" w:fill="FFFFFF"/>
            <w:noWrap/>
            <w:vAlign w:val="center"/>
            <w:hideMark/>
          </w:tcPr>
          <w:p w14:paraId="4C7C6880" w14:textId="77777777" w:rsidR="009A67A5" w:rsidRPr="001C116F" w:rsidRDefault="009A67A5" w:rsidP="001F1B66">
            <w:pPr>
              <w:spacing w:after="0" w:line="240" w:lineRule="auto"/>
              <w:jc w:val="right"/>
              <w:rPr>
                <w:rFonts w:eastAsia="Times New Roman" w:cs="Segoe UI"/>
                <w:color w:val="000000"/>
                <w:sz w:val="18"/>
                <w:szCs w:val="18"/>
                <w:lang w:eastAsia="sk-SK"/>
              </w:rPr>
            </w:pPr>
            <w:r w:rsidRPr="001C116F">
              <w:rPr>
                <w:rFonts w:eastAsia="Times New Roman" w:cs="Segoe UI"/>
                <w:color w:val="000000"/>
                <w:sz w:val="18"/>
                <w:szCs w:val="18"/>
                <w:lang w:eastAsia="sk-SK"/>
              </w:rPr>
              <w:t>72,1</w:t>
            </w:r>
          </w:p>
        </w:tc>
        <w:tc>
          <w:tcPr>
            <w:tcW w:w="1405" w:type="dxa"/>
            <w:tcBorders>
              <w:top w:val="nil"/>
              <w:left w:val="nil"/>
              <w:bottom w:val="nil"/>
              <w:right w:val="nil"/>
            </w:tcBorders>
            <w:shd w:val="clear" w:color="000000" w:fill="FFFFFF"/>
            <w:noWrap/>
            <w:vAlign w:val="center"/>
            <w:hideMark/>
          </w:tcPr>
          <w:p w14:paraId="5BC1CCD1" w14:textId="77777777" w:rsidR="009A67A5" w:rsidRPr="001C116F" w:rsidRDefault="009A67A5" w:rsidP="001F1B66">
            <w:pPr>
              <w:spacing w:after="0" w:line="240" w:lineRule="auto"/>
              <w:jc w:val="right"/>
              <w:rPr>
                <w:rFonts w:eastAsia="Times New Roman" w:cs="Segoe UI"/>
                <w:color w:val="000000"/>
                <w:sz w:val="18"/>
                <w:szCs w:val="18"/>
                <w:lang w:eastAsia="sk-SK"/>
              </w:rPr>
            </w:pPr>
            <w:r>
              <w:rPr>
                <w:rFonts w:eastAsia="Times New Roman" w:cs="Segoe UI"/>
                <w:color w:val="000000"/>
                <w:sz w:val="18"/>
                <w:szCs w:val="18"/>
                <w:lang w:eastAsia="sk-SK"/>
              </w:rPr>
              <w:t>97,7</w:t>
            </w:r>
          </w:p>
        </w:tc>
      </w:tr>
      <w:tr w:rsidR="009A67A5" w:rsidRPr="001C116F" w14:paraId="0C2570F3" w14:textId="77777777" w:rsidTr="001F1B66">
        <w:trPr>
          <w:trHeight w:val="278"/>
        </w:trPr>
        <w:tc>
          <w:tcPr>
            <w:tcW w:w="6278" w:type="dxa"/>
            <w:tcBorders>
              <w:top w:val="nil"/>
              <w:left w:val="nil"/>
              <w:bottom w:val="nil"/>
              <w:right w:val="nil"/>
            </w:tcBorders>
            <w:shd w:val="clear" w:color="000000" w:fill="FFFFFF"/>
            <w:noWrap/>
            <w:vAlign w:val="center"/>
            <w:hideMark/>
          </w:tcPr>
          <w:p w14:paraId="5CCCEB52" w14:textId="77777777" w:rsidR="009A67A5" w:rsidRPr="001C116F" w:rsidRDefault="009A67A5" w:rsidP="001F1B66">
            <w:pPr>
              <w:spacing w:after="0" w:line="240" w:lineRule="auto"/>
              <w:jc w:val="left"/>
              <w:rPr>
                <w:rFonts w:eastAsia="Times New Roman" w:cs="Segoe UI"/>
                <w:color w:val="000000"/>
                <w:sz w:val="18"/>
                <w:szCs w:val="18"/>
                <w:lang w:eastAsia="sk-SK"/>
              </w:rPr>
            </w:pPr>
            <w:r w:rsidRPr="001C116F">
              <w:rPr>
                <w:rFonts w:eastAsia="Times New Roman" w:cs="Segoe UI"/>
                <w:sz w:val="18"/>
                <w:szCs w:val="18"/>
                <w:lang w:eastAsia="sk-SK"/>
              </w:rPr>
              <w:t>Ministerstvo pôdohospodárstva a rozvoja vidieka SR</w:t>
            </w:r>
          </w:p>
        </w:tc>
        <w:tc>
          <w:tcPr>
            <w:tcW w:w="1405" w:type="dxa"/>
            <w:tcBorders>
              <w:top w:val="nil"/>
              <w:left w:val="nil"/>
              <w:bottom w:val="nil"/>
              <w:right w:val="nil"/>
            </w:tcBorders>
            <w:shd w:val="clear" w:color="000000" w:fill="FFFFFF"/>
            <w:noWrap/>
            <w:vAlign w:val="center"/>
            <w:hideMark/>
          </w:tcPr>
          <w:p w14:paraId="3C6C8BC5" w14:textId="77777777" w:rsidR="009A67A5" w:rsidRPr="001C116F" w:rsidRDefault="009A67A5" w:rsidP="001F1B66">
            <w:pPr>
              <w:spacing w:after="0" w:line="240" w:lineRule="auto"/>
              <w:jc w:val="right"/>
              <w:rPr>
                <w:rFonts w:eastAsia="Times New Roman" w:cs="Segoe UI"/>
                <w:color w:val="000000"/>
                <w:sz w:val="18"/>
                <w:szCs w:val="18"/>
                <w:lang w:eastAsia="sk-SK"/>
              </w:rPr>
            </w:pPr>
            <w:r w:rsidRPr="001C116F">
              <w:rPr>
                <w:rFonts w:eastAsia="Times New Roman" w:cs="Segoe UI"/>
                <w:color w:val="000000"/>
                <w:sz w:val="18"/>
                <w:szCs w:val="18"/>
                <w:lang w:eastAsia="sk-SK"/>
              </w:rPr>
              <w:t>757,0</w:t>
            </w:r>
          </w:p>
        </w:tc>
        <w:tc>
          <w:tcPr>
            <w:tcW w:w="1405" w:type="dxa"/>
            <w:tcBorders>
              <w:top w:val="nil"/>
              <w:left w:val="nil"/>
              <w:bottom w:val="nil"/>
              <w:right w:val="nil"/>
            </w:tcBorders>
            <w:shd w:val="clear" w:color="000000" w:fill="FFFFFF"/>
            <w:noWrap/>
            <w:vAlign w:val="center"/>
            <w:hideMark/>
          </w:tcPr>
          <w:p w14:paraId="2B3ADC62" w14:textId="77777777" w:rsidR="009A67A5" w:rsidRPr="001C116F" w:rsidRDefault="009A67A5" w:rsidP="001F1B66">
            <w:pPr>
              <w:spacing w:after="0" w:line="240" w:lineRule="auto"/>
              <w:jc w:val="right"/>
              <w:rPr>
                <w:rFonts w:eastAsia="Times New Roman" w:cs="Segoe UI"/>
                <w:color w:val="000000"/>
                <w:sz w:val="18"/>
                <w:szCs w:val="18"/>
                <w:lang w:eastAsia="sk-SK"/>
              </w:rPr>
            </w:pPr>
            <w:r w:rsidRPr="001C116F">
              <w:rPr>
                <w:rFonts w:eastAsia="Times New Roman" w:cs="Segoe UI"/>
                <w:color w:val="000000"/>
                <w:sz w:val="18"/>
                <w:szCs w:val="18"/>
                <w:lang w:eastAsia="sk-SK"/>
              </w:rPr>
              <w:t>-</w:t>
            </w:r>
          </w:p>
        </w:tc>
      </w:tr>
      <w:tr w:rsidR="009A67A5" w:rsidRPr="001C116F" w14:paraId="0E172CD1" w14:textId="77777777" w:rsidTr="001F1B66">
        <w:trPr>
          <w:trHeight w:val="278"/>
        </w:trPr>
        <w:tc>
          <w:tcPr>
            <w:tcW w:w="6278" w:type="dxa"/>
            <w:tcBorders>
              <w:top w:val="nil"/>
              <w:left w:val="nil"/>
              <w:bottom w:val="nil"/>
              <w:right w:val="nil"/>
            </w:tcBorders>
            <w:shd w:val="clear" w:color="000000" w:fill="FFFFFF"/>
            <w:noWrap/>
            <w:vAlign w:val="center"/>
            <w:hideMark/>
          </w:tcPr>
          <w:p w14:paraId="136AC97C" w14:textId="77777777" w:rsidR="009A67A5" w:rsidRPr="001C116F" w:rsidRDefault="009A67A5" w:rsidP="001F1B66">
            <w:pPr>
              <w:spacing w:after="0" w:line="240" w:lineRule="auto"/>
              <w:jc w:val="left"/>
              <w:rPr>
                <w:rFonts w:eastAsia="Times New Roman" w:cs="Segoe UI"/>
                <w:color w:val="000000"/>
                <w:sz w:val="18"/>
                <w:szCs w:val="18"/>
                <w:lang w:eastAsia="sk-SK"/>
              </w:rPr>
            </w:pPr>
            <w:r w:rsidRPr="001C116F">
              <w:rPr>
                <w:rFonts w:eastAsia="Times New Roman" w:cs="Segoe UI"/>
                <w:sz w:val="18"/>
                <w:szCs w:val="18"/>
                <w:lang w:eastAsia="sk-SK"/>
              </w:rPr>
              <w:t>Ministerstvo dopravy SR</w:t>
            </w:r>
          </w:p>
        </w:tc>
        <w:tc>
          <w:tcPr>
            <w:tcW w:w="1405" w:type="dxa"/>
            <w:tcBorders>
              <w:top w:val="nil"/>
              <w:left w:val="nil"/>
              <w:bottom w:val="nil"/>
              <w:right w:val="nil"/>
            </w:tcBorders>
            <w:shd w:val="clear" w:color="000000" w:fill="FFFFFF"/>
            <w:noWrap/>
            <w:vAlign w:val="center"/>
            <w:hideMark/>
          </w:tcPr>
          <w:p w14:paraId="02C05E29" w14:textId="77777777" w:rsidR="009A67A5" w:rsidRPr="001C116F" w:rsidRDefault="009A67A5" w:rsidP="001F1B66">
            <w:pPr>
              <w:spacing w:after="0" w:line="240" w:lineRule="auto"/>
              <w:jc w:val="right"/>
              <w:rPr>
                <w:rFonts w:eastAsia="Times New Roman" w:cs="Segoe UI"/>
                <w:color w:val="000000"/>
                <w:sz w:val="18"/>
                <w:szCs w:val="18"/>
                <w:lang w:eastAsia="sk-SK"/>
              </w:rPr>
            </w:pPr>
            <w:r w:rsidRPr="001C116F">
              <w:rPr>
                <w:rFonts w:eastAsia="Times New Roman" w:cs="Segoe UI"/>
                <w:color w:val="000000"/>
                <w:sz w:val="18"/>
                <w:szCs w:val="18"/>
                <w:lang w:eastAsia="sk-SK"/>
              </w:rPr>
              <w:t>70,1</w:t>
            </w:r>
          </w:p>
        </w:tc>
        <w:tc>
          <w:tcPr>
            <w:tcW w:w="1405" w:type="dxa"/>
            <w:tcBorders>
              <w:top w:val="nil"/>
              <w:left w:val="nil"/>
              <w:bottom w:val="nil"/>
              <w:right w:val="nil"/>
            </w:tcBorders>
            <w:shd w:val="clear" w:color="000000" w:fill="FFFFFF"/>
            <w:noWrap/>
            <w:vAlign w:val="center"/>
            <w:hideMark/>
          </w:tcPr>
          <w:p w14:paraId="28E902A5" w14:textId="77777777" w:rsidR="009A67A5" w:rsidRPr="001C116F" w:rsidRDefault="009A67A5" w:rsidP="001F1B66">
            <w:pPr>
              <w:spacing w:after="0" w:line="240" w:lineRule="auto"/>
              <w:jc w:val="right"/>
              <w:rPr>
                <w:rFonts w:eastAsia="Times New Roman" w:cs="Segoe UI"/>
                <w:color w:val="000000"/>
                <w:sz w:val="18"/>
                <w:szCs w:val="18"/>
                <w:lang w:eastAsia="sk-SK"/>
              </w:rPr>
            </w:pPr>
            <w:r>
              <w:rPr>
                <w:rFonts w:eastAsia="Times New Roman" w:cs="Segoe UI"/>
                <w:color w:val="000000"/>
                <w:sz w:val="18"/>
                <w:szCs w:val="18"/>
                <w:lang w:eastAsia="sk-SK"/>
              </w:rPr>
              <w:t>164,3</w:t>
            </w:r>
          </w:p>
        </w:tc>
      </w:tr>
      <w:tr w:rsidR="009A67A5" w:rsidRPr="001C116F" w14:paraId="6EB84ADE" w14:textId="77777777" w:rsidTr="001F1B66">
        <w:trPr>
          <w:trHeight w:val="278"/>
        </w:trPr>
        <w:tc>
          <w:tcPr>
            <w:tcW w:w="6278" w:type="dxa"/>
            <w:tcBorders>
              <w:top w:val="nil"/>
              <w:left w:val="nil"/>
              <w:bottom w:val="nil"/>
              <w:right w:val="nil"/>
            </w:tcBorders>
            <w:shd w:val="clear" w:color="000000" w:fill="FFFFFF"/>
            <w:noWrap/>
            <w:vAlign w:val="center"/>
            <w:hideMark/>
          </w:tcPr>
          <w:p w14:paraId="2A1F133C" w14:textId="77777777" w:rsidR="009A67A5" w:rsidRPr="001C116F" w:rsidRDefault="009A67A5" w:rsidP="001F1B66">
            <w:pPr>
              <w:spacing w:after="0" w:line="240" w:lineRule="auto"/>
              <w:jc w:val="left"/>
              <w:rPr>
                <w:rFonts w:eastAsia="Times New Roman" w:cs="Segoe UI"/>
                <w:color w:val="000000"/>
                <w:sz w:val="18"/>
                <w:szCs w:val="18"/>
                <w:lang w:eastAsia="sk-SK"/>
              </w:rPr>
            </w:pPr>
            <w:r w:rsidRPr="001C116F">
              <w:rPr>
                <w:rFonts w:eastAsia="Times New Roman" w:cs="Segoe UI"/>
                <w:sz w:val="18"/>
                <w:szCs w:val="18"/>
                <w:lang w:eastAsia="sk-SK"/>
              </w:rPr>
              <w:t>Úrad pre verejné obstarávanie</w:t>
            </w:r>
          </w:p>
        </w:tc>
        <w:tc>
          <w:tcPr>
            <w:tcW w:w="1405" w:type="dxa"/>
            <w:tcBorders>
              <w:top w:val="nil"/>
              <w:left w:val="nil"/>
              <w:bottom w:val="nil"/>
              <w:right w:val="nil"/>
            </w:tcBorders>
            <w:shd w:val="clear" w:color="000000" w:fill="FFFFFF"/>
            <w:noWrap/>
            <w:vAlign w:val="center"/>
            <w:hideMark/>
          </w:tcPr>
          <w:p w14:paraId="0531BF50" w14:textId="77777777" w:rsidR="009A67A5" w:rsidRPr="001C116F" w:rsidRDefault="009A67A5" w:rsidP="001F1B66">
            <w:pPr>
              <w:spacing w:after="0" w:line="240" w:lineRule="auto"/>
              <w:jc w:val="right"/>
              <w:rPr>
                <w:rFonts w:eastAsia="Times New Roman" w:cs="Segoe UI"/>
                <w:color w:val="000000"/>
                <w:sz w:val="18"/>
                <w:szCs w:val="18"/>
                <w:lang w:eastAsia="sk-SK"/>
              </w:rPr>
            </w:pPr>
            <w:r w:rsidRPr="001C116F">
              <w:rPr>
                <w:rFonts w:eastAsia="Times New Roman" w:cs="Segoe UI"/>
                <w:color w:val="000000"/>
                <w:sz w:val="18"/>
                <w:szCs w:val="18"/>
                <w:lang w:eastAsia="sk-SK"/>
              </w:rPr>
              <w:t>-</w:t>
            </w:r>
          </w:p>
        </w:tc>
        <w:tc>
          <w:tcPr>
            <w:tcW w:w="1405" w:type="dxa"/>
            <w:tcBorders>
              <w:top w:val="nil"/>
              <w:left w:val="nil"/>
              <w:bottom w:val="nil"/>
              <w:right w:val="nil"/>
            </w:tcBorders>
            <w:shd w:val="clear" w:color="000000" w:fill="FFFFFF"/>
            <w:noWrap/>
            <w:vAlign w:val="center"/>
            <w:hideMark/>
          </w:tcPr>
          <w:p w14:paraId="608523B9" w14:textId="77777777" w:rsidR="009A67A5" w:rsidRPr="001C116F" w:rsidRDefault="009A67A5" w:rsidP="001F1B66">
            <w:pPr>
              <w:spacing w:after="0" w:line="240" w:lineRule="auto"/>
              <w:jc w:val="right"/>
              <w:rPr>
                <w:rFonts w:eastAsia="Times New Roman" w:cs="Segoe UI"/>
                <w:color w:val="000000"/>
                <w:sz w:val="18"/>
                <w:szCs w:val="18"/>
                <w:lang w:eastAsia="sk-SK"/>
              </w:rPr>
            </w:pPr>
            <w:r w:rsidRPr="001C116F">
              <w:rPr>
                <w:rFonts w:eastAsia="Times New Roman" w:cs="Segoe UI"/>
                <w:color w:val="000000"/>
                <w:sz w:val="18"/>
                <w:szCs w:val="18"/>
                <w:lang w:eastAsia="sk-SK"/>
              </w:rPr>
              <w:t>0,4</w:t>
            </w:r>
          </w:p>
        </w:tc>
      </w:tr>
      <w:tr w:rsidR="009A67A5" w:rsidRPr="001C116F" w14:paraId="49434172" w14:textId="77777777" w:rsidTr="001F1B66">
        <w:trPr>
          <w:trHeight w:val="290"/>
        </w:trPr>
        <w:tc>
          <w:tcPr>
            <w:tcW w:w="6278" w:type="dxa"/>
            <w:tcBorders>
              <w:top w:val="nil"/>
              <w:left w:val="nil"/>
              <w:bottom w:val="single" w:sz="8" w:space="0" w:color="314364"/>
              <w:right w:val="nil"/>
            </w:tcBorders>
            <w:shd w:val="clear" w:color="000000" w:fill="FFFFFF"/>
            <w:noWrap/>
            <w:vAlign w:val="center"/>
            <w:hideMark/>
          </w:tcPr>
          <w:p w14:paraId="2F1D1E9C" w14:textId="77777777" w:rsidR="009A67A5" w:rsidRPr="001C116F" w:rsidRDefault="009A67A5" w:rsidP="001F1B66">
            <w:pPr>
              <w:spacing w:after="0" w:line="240" w:lineRule="auto"/>
              <w:jc w:val="left"/>
              <w:rPr>
                <w:rFonts w:eastAsia="Times New Roman" w:cs="Segoe UI"/>
                <w:color w:val="000000"/>
                <w:sz w:val="18"/>
                <w:szCs w:val="18"/>
                <w:highlight w:val="yellow"/>
                <w:lang w:eastAsia="sk-SK"/>
              </w:rPr>
            </w:pPr>
            <w:r w:rsidRPr="001C116F">
              <w:rPr>
                <w:rFonts w:eastAsia="Times New Roman" w:cs="Segoe UI"/>
                <w:b/>
                <w:bCs/>
                <w:sz w:val="18"/>
                <w:szCs w:val="18"/>
                <w:lang w:eastAsia="sk-SK"/>
              </w:rPr>
              <w:t>Spolu</w:t>
            </w:r>
          </w:p>
        </w:tc>
        <w:tc>
          <w:tcPr>
            <w:tcW w:w="1405" w:type="dxa"/>
            <w:tcBorders>
              <w:top w:val="nil"/>
              <w:left w:val="nil"/>
              <w:bottom w:val="single" w:sz="8" w:space="0" w:color="auto"/>
              <w:right w:val="nil"/>
            </w:tcBorders>
            <w:shd w:val="clear" w:color="000000" w:fill="FFFFFF"/>
            <w:noWrap/>
            <w:vAlign w:val="center"/>
            <w:hideMark/>
          </w:tcPr>
          <w:p w14:paraId="0B2C192C" w14:textId="77777777" w:rsidR="009A67A5" w:rsidRPr="001C116F" w:rsidRDefault="009A67A5" w:rsidP="001F1B66">
            <w:pPr>
              <w:spacing w:after="0" w:line="240" w:lineRule="auto"/>
              <w:jc w:val="right"/>
              <w:rPr>
                <w:rFonts w:eastAsia="Times New Roman" w:cs="Segoe UI"/>
                <w:b/>
                <w:bCs/>
                <w:color w:val="000000"/>
                <w:sz w:val="18"/>
                <w:szCs w:val="18"/>
                <w:lang w:eastAsia="sk-SK"/>
              </w:rPr>
            </w:pPr>
            <w:r w:rsidRPr="001C116F">
              <w:rPr>
                <w:rFonts w:eastAsia="Times New Roman" w:cs="Segoe UI"/>
                <w:b/>
                <w:bCs/>
                <w:color w:val="000000"/>
                <w:sz w:val="18"/>
                <w:szCs w:val="18"/>
                <w:lang w:eastAsia="sk-SK"/>
              </w:rPr>
              <w:t>1 237,2</w:t>
            </w:r>
          </w:p>
        </w:tc>
        <w:tc>
          <w:tcPr>
            <w:tcW w:w="1405" w:type="dxa"/>
            <w:tcBorders>
              <w:top w:val="nil"/>
              <w:left w:val="nil"/>
              <w:bottom w:val="single" w:sz="8" w:space="0" w:color="auto"/>
              <w:right w:val="nil"/>
            </w:tcBorders>
            <w:shd w:val="clear" w:color="000000" w:fill="FFFFFF"/>
            <w:noWrap/>
            <w:vAlign w:val="center"/>
            <w:hideMark/>
          </w:tcPr>
          <w:p w14:paraId="35CE5FF0" w14:textId="77777777" w:rsidR="009A67A5" w:rsidRPr="001C116F" w:rsidRDefault="009A67A5" w:rsidP="001F1B66">
            <w:pPr>
              <w:spacing w:after="0" w:line="240" w:lineRule="auto"/>
              <w:jc w:val="right"/>
              <w:rPr>
                <w:rFonts w:eastAsia="Times New Roman" w:cs="Segoe UI"/>
                <w:b/>
                <w:bCs/>
                <w:color w:val="000000"/>
                <w:sz w:val="18"/>
                <w:szCs w:val="18"/>
                <w:highlight w:val="yellow"/>
                <w:lang w:eastAsia="sk-SK"/>
              </w:rPr>
            </w:pPr>
            <w:r w:rsidRPr="001C116F">
              <w:rPr>
                <w:rFonts w:eastAsia="Times New Roman" w:cs="Segoe UI"/>
                <w:b/>
                <w:bCs/>
                <w:color w:val="000000"/>
                <w:sz w:val="18"/>
                <w:szCs w:val="18"/>
                <w:lang w:eastAsia="sk-SK"/>
              </w:rPr>
              <w:t xml:space="preserve">1 </w:t>
            </w:r>
            <w:r>
              <w:rPr>
                <w:rFonts w:eastAsia="Times New Roman" w:cs="Segoe UI"/>
                <w:b/>
                <w:bCs/>
                <w:color w:val="000000"/>
                <w:sz w:val="18"/>
                <w:szCs w:val="18"/>
                <w:lang w:eastAsia="sk-SK"/>
              </w:rPr>
              <w:t>215,4</w:t>
            </w:r>
          </w:p>
        </w:tc>
      </w:tr>
    </w:tbl>
    <w:p w14:paraId="3432824A" w14:textId="77777777" w:rsidR="009A67A5" w:rsidRDefault="009A67A5" w:rsidP="009A67A5">
      <w:pPr>
        <w:pStyle w:val="Bezriadkovania"/>
        <w:spacing w:after="120" w:line="276" w:lineRule="auto"/>
        <w:jc w:val="both"/>
        <w:rPr>
          <w:rFonts w:ascii="Segoe UI" w:eastAsia="Calibri" w:hAnsi="Segoe UI" w:cs="Times New Roman"/>
          <w:i/>
          <w:color w:val="314364"/>
          <w:sz w:val="16"/>
          <w:lang w:eastAsia="en-US"/>
        </w:rPr>
      </w:pPr>
      <w:r w:rsidRPr="00ED5C50">
        <w:rPr>
          <w:rFonts w:cs="Segoe UI"/>
          <w:color w:val="000000" w:themeColor="text1"/>
          <w:szCs w:val="20"/>
          <w:highlight w:val="yellow"/>
        </w:rPr>
        <w:fldChar w:fldCharType="end"/>
      </w:r>
      <w:r w:rsidRPr="004139F4">
        <w:rPr>
          <w:rFonts w:cs="Segoe UI"/>
          <w:sz w:val="18"/>
          <w:szCs w:val="18"/>
        </w:rPr>
        <w:t xml:space="preserve"> </w:t>
      </w:r>
      <w:r w:rsidRPr="004139F4">
        <w:rPr>
          <w:rFonts w:ascii="Segoe UI" w:eastAsia="Calibri" w:hAnsi="Segoe UI" w:cs="Times New Roman"/>
          <w:i/>
          <w:color w:val="314364"/>
          <w:sz w:val="16"/>
          <w:lang w:eastAsia="en-US"/>
        </w:rPr>
        <w:t>Zdroj: Návrh RVS na roky 2024 – 2026</w:t>
      </w:r>
    </w:p>
    <w:p w14:paraId="6CC09265" w14:textId="1B5A915F" w:rsidR="000569D3" w:rsidRPr="00F15428" w:rsidRDefault="003C5000" w:rsidP="000569D3">
      <w:pPr>
        <w:rPr>
          <w:rFonts w:cs="Segoe UI"/>
          <w:b/>
          <w:bCs/>
          <w:color w:val="000000" w:themeColor="text1"/>
          <w:szCs w:val="20"/>
          <w:highlight w:val="yellow"/>
        </w:rPr>
      </w:pPr>
      <w:r w:rsidRPr="004139F4">
        <w:rPr>
          <w:rFonts w:cs="Segoe UI"/>
          <w:b/>
          <w:color w:val="000000" w:themeColor="text1"/>
          <w:szCs w:val="20"/>
        </w:rPr>
        <w:t>Prostriedky z Plánu obnovy a odolnosti na rok 2024 sú rozpočtované v objeme 1,215 mld. eur v 12 kapitolách.</w:t>
      </w:r>
      <w:r w:rsidRPr="004139F4">
        <w:rPr>
          <w:rFonts w:cs="Segoe UI"/>
          <w:color w:val="000000" w:themeColor="text1"/>
          <w:szCs w:val="20"/>
        </w:rPr>
        <w:t xml:space="preserve"> Najväčší objem prostriedkov z POO (tabuľka </w:t>
      </w:r>
      <w:r>
        <w:rPr>
          <w:rFonts w:cs="Segoe UI"/>
          <w:color w:val="000000" w:themeColor="text1"/>
          <w:szCs w:val="20"/>
        </w:rPr>
        <w:t>6</w:t>
      </w:r>
      <w:r w:rsidRPr="004139F4">
        <w:rPr>
          <w:rFonts w:cs="Segoe UI"/>
          <w:color w:val="000000" w:themeColor="text1"/>
          <w:szCs w:val="20"/>
        </w:rPr>
        <w:t>) je rozpočtovaný na MZ SR (228,6 mil. eur)</w:t>
      </w:r>
      <w:r w:rsidR="000569D3">
        <w:rPr>
          <w:rFonts w:cs="Segoe UI"/>
          <w:color w:val="000000" w:themeColor="text1"/>
          <w:szCs w:val="20"/>
        </w:rPr>
        <w:t xml:space="preserve"> a</w:t>
      </w:r>
      <w:r w:rsidRPr="004139F4">
        <w:rPr>
          <w:rFonts w:cs="Segoe UI"/>
          <w:color w:val="000000" w:themeColor="text1"/>
          <w:szCs w:val="20"/>
        </w:rPr>
        <w:t xml:space="preserve"> MŽP SR (224,5 mil. eur)</w:t>
      </w:r>
      <w:r w:rsidR="000569D3">
        <w:rPr>
          <w:rFonts w:cs="Segoe UI"/>
          <w:color w:val="000000" w:themeColor="text1"/>
          <w:szCs w:val="20"/>
        </w:rPr>
        <w:t>. V prípade MŽP SR táto suma tvorí</w:t>
      </w:r>
      <w:r>
        <w:rPr>
          <w:rFonts w:cs="Segoe UI"/>
          <w:color w:val="000000" w:themeColor="text1"/>
          <w:szCs w:val="20"/>
        </w:rPr>
        <w:t xml:space="preserve"> až 50 % rozpočtu celej kapitoly.</w:t>
      </w:r>
      <w:r w:rsidR="000569D3">
        <w:rPr>
          <w:rFonts w:cs="Segoe UI"/>
          <w:color w:val="000000" w:themeColor="text1"/>
          <w:szCs w:val="20"/>
        </w:rPr>
        <w:t xml:space="preserve"> </w:t>
      </w:r>
      <w:r w:rsidR="000569D3" w:rsidRPr="00F15428">
        <w:rPr>
          <w:rFonts w:cs="Segoe UI"/>
          <w:b/>
          <w:bCs/>
          <w:color w:val="000000" w:themeColor="text1"/>
          <w:szCs w:val="20"/>
        </w:rPr>
        <w:t xml:space="preserve">NKÚ </w:t>
      </w:r>
      <w:r w:rsidR="000569D3">
        <w:rPr>
          <w:rFonts w:cs="Segoe UI"/>
          <w:b/>
          <w:bCs/>
          <w:color w:val="000000" w:themeColor="text1"/>
          <w:szCs w:val="20"/>
        </w:rPr>
        <w:t> </w:t>
      </w:r>
      <w:r w:rsidR="000569D3" w:rsidRPr="00F15428">
        <w:rPr>
          <w:rFonts w:cs="Segoe UI"/>
          <w:b/>
          <w:bCs/>
          <w:color w:val="000000" w:themeColor="text1"/>
          <w:szCs w:val="20"/>
        </w:rPr>
        <w:t>SR v tejto súvislosti upozorňuje na dôležitosť efektívneho manažovania týchto prostriedkov.</w:t>
      </w:r>
    </w:p>
    <w:p w14:paraId="607C92F7" w14:textId="32B6F451" w:rsidR="003C5000" w:rsidRDefault="003C5000" w:rsidP="003C5000">
      <w:pPr>
        <w:rPr>
          <w:rFonts w:cs="Segoe UI"/>
          <w:color w:val="000000" w:themeColor="text1"/>
          <w:szCs w:val="20"/>
          <w:highlight w:val="yellow"/>
        </w:rPr>
      </w:pPr>
      <w:r w:rsidRPr="009F53B4">
        <w:rPr>
          <w:rFonts w:cs="Segoe UI"/>
          <w:b/>
          <w:color w:val="000000" w:themeColor="text1"/>
          <w:szCs w:val="20"/>
        </w:rPr>
        <w:t xml:space="preserve">Slovensku boli v rámci POO vyplatené zatiaľ dve žiadosti o platbu spolu v sume 1,27 mld. eur </w:t>
      </w:r>
      <w:r w:rsidRPr="009F53B4">
        <w:rPr>
          <w:rFonts w:cs="Segoe UI"/>
          <w:color w:val="000000" w:themeColor="text1"/>
          <w:szCs w:val="20"/>
        </w:rPr>
        <w:t>(z  celkového plánovaného objemu 6,4 mld. eur). V septembri 2023 bola podaná tretia žiadosť o platbu (815 mil. eur), s vyplatením ktorej sa počítalo aj v schválenom RVS na rok 2023, v ktorom celkové výdavky z POO na rok 2023 boli plánované na úrovni 2,01 mld. eur. EK</w:t>
      </w:r>
      <w:r>
        <w:rPr>
          <w:rFonts w:cs="Segoe UI"/>
          <w:color w:val="000000" w:themeColor="text1"/>
          <w:szCs w:val="20"/>
        </w:rPr>
        <w:t xml:space="preserve"> 24. 11. 2023 pozitívne vyhodnotila ďalšie splnené opatrenia z POO v rámci tretej žiadosti o platbu. </w:t>
      </w:r>
      <w:r w:rsidRPr="002D2C97">
        <w:rPr>
          <w:rFonts w:cs="Segoe UI"/>
          <w:color w:val="000000" w:themeColor="text1"/>
          <w:szCs w:val="20"/>
        </w:rPr>
        <w:t>Po</w:t>
      </w:r>
      <w:r>
        <w:rPr>
          <w:rFonts w:cs="Segoe UI"/>
          <w:color w:val="000000" w:themeColor="text1"/>
          <w:szCs w:val="20"/>
        </w:rPr>
        <w:t xml:space="preserve"> odpočítaní pre</w:t>
      </w:r>
      <w:r w:rsidR="00494DDB">
        <w:rPr>
          <w:rFonts w:cs="Segoe UI"/>
          <w:color w:val="000000" w:themeColor="text1"/>
          <w:szCs w:val="20"/>
        </w:rPr>
        <w:t xml:space="preserve">dbežného </w:t>
      </w:r>
      <w:r>
        <w:rPr>
          <w:rFonts w:cs="Segoe UI"/>
          <w:color w:val="000000" w:themeColor="text1"/>
          <w:szCs w:val="20"/>
        </w:rPr>
        <w:t xml:space="preserve">financovania Slovensko v rámci tejto žiadosti získa 662 mil. eur. </w:t>
      </w:r>
      <w:r w:rsidR="00221DBC" w:rsidRPr="00221DBC">
        <w:rPr>
          <w:rFonts w:cs="Segoe UI"/>
          <w:color w:val="000000" w:themeColor="text1"/>
          <w:szCs w:val="20"/>
        </w:rPr>
        <w:t>Nasleduje štvrtá žiadosť o platbu vo výške 924 mil. eur, ktorú podalo S</w:t>
      </w:r>
      <w:r w:rsidR="00221DBC">
        <w:rPr>
          <w:rFonts w:cs="Segoe UI"/>
          <w:color w:val="000000" w:themeColor="text1"/>
          <w:szCs w:val="20"/>
        </w:rPr>
        <w:t>lovensko</w:t>
      </w:r>
      <w:r w:rsidR="00221DBC" w:rsidRPr="00221DBC">
        <w:rPr>
          <w:rFonts w:cs="Segoe UI"/>
          <w:color w:val="000000" w:themeColor="text1"/>
          <w:szCs w:val="20"/>
        </w:rPr>
        <w:t xml:space="preserve"> po splnení všetkých míľnikov na EK </w:t>
      </w:r>
      <w:r w:rsidR="00221DBC">
        <w:rPr>
          <w:rFonts w:cs="Segoe UI"/>
          <w:color w:val="000000" w:themeColor="text1"/>
          <w:szCs w:val="20"/>
        </w:rPr>
        <w:t xml:space="preserve">dňa </w:t>
      </w:r>
      <w:r w:rsidR="00221DBC" w:rsidRPr="00221DBC">
        <w:rPr>
          <w:rFonts w:cs="Segoe UI"/>
          <w:color w:val="000000" w:themeColor="text1"/>
          <w:szCs w:val="20"/>
        </w:rPr>
        <w:t>15.</w:t>
      </w:r>
      <w:r w:rsidR="00221DBC">
        <w:rPr>
          <w:rFonts w:cs="Segoe UI"/>
          <w:color w:val="000000" w:themeColor="text1"/>
          <w:szCs w:val="20"/>
        </w:rPr>
        <w:t xml:space="preserve"> </w:t>
      </w:r>
      <w:r w:rsidR="00221DBC" w:rsidRPr="00221DBC">
        <w:rPr>
          <w:rFonts w:cs="Segoe UI"/>
          <w:color w:val="000000" w:themeColor="text1"/>
          <w:szCs w:val="20"/>
        </w:rPr>
        <w:t>12.</w:t>
      </w:r>
      <w:r w:rsidR="00221DBC">
        <w:rPr>
          <w:rFonts w:cs="Segoe UI"/>
          <w:color w:val="000000" w:themeColor="text1"/>
          <w:szCs w:val="20"/>
        </w:rPr>
        <w:t xml:space="preserve"> </w:t>
      </w:r>
      <w:r w:rsidR="00221DBC" w:rsidRPr="00221DBC">
        <w:rPr>
          <w:rFonts w:cs="Segoe UI"/>
          <w:color w:val="000000" w:themeColor="text1"/>
          <w:szCs w:val="20"/>
        </w:rPr>
        <w:t>2023. Po schválení EK Slovensko tak už v roku 2024 získa z POO ďalších 798,5 mil. eur (p</w:t>
      </w:r>
      <w:r w:rsidR="00221DBC">
        <w:rPr>
          <w:rFonts w:cs="Segoe UI"/>
          <w:color w:val="000000" w:themeColor="text1"/>
          <w:szCs w:val="20"/>
        </w:rPr>
        <w:t>o odpočítaní pred</w:t>
      </w:r>
      <w:r w:rsidR="00494DDB">
        <w:rPr>
          <w:rFonts w:cs="Segoe UI"/>
          <w:color w:val="000000" w:themeColor="text1"/>
          <w:szCs w:val="20"/>
        </w:rPr>
        <w:t xml:space="preserve">bežného </w:t>
      </w:r>
      <w:r w:rsidR="00221DBC">
        <w:rPr>
          <w:rFonts w:cs="Segoe UI"/>
          <w:color w:val="000000" w:themeColor="text1"/>
          <w:szCs w:val="20"/>
        </w:rPr>
        <w:t>financovania).</w:t>
      </w:r>
    </w:p>
    <w:p w14:paraId="59DD8F5B" w14:textId="1F302ABF" w:rsidR="00AB4ACB" w:rsidRDefault="009A67A5" w:rsidP="003C5000">
      <w:pPr>
        <w:rPr>
          <w:rFonts w:cs="Segoe UI"/>
          <w:color w:val="000000" w:themeColor="text1"/>
          <w:szCs w:val="20"/>
        </w:rPr>
      </w:pPr>
      <w:r w:rsidRPr="006A1463">
        <w:rPr>
          <w:rFonts w:cs="Segoe UI"/>
          <w:b/>
          <w:color w:val="000000" w:themeColor="text1"/>
          <w:szCs w:val="20"/>
        </w:rPr>
        <w:t>Celkovo sa z POO ku koncu novembra vyčerpalo 17,6 % z rozpočtovanej sumy na rok 2023.</w:t>
      </w:r>
      <w:r>
        <w:rPr>
          <w:rFonts w:cs="Segoe UI"/>
          <w:color w:val="000000" w:themeColor="text1"/>
          <w:szCs w:val="20"/>
        </w:rPr>
        <w:t xml:space="preserve"> Z</w:t>
      </w:r>
      <w:r w:rsidRPr="0072671E">
        <w:rPr>
          <w:rFonts w:cs="Segoe UI"/>
          <w:color w:val="000000" w:themeColor="text1"/>
          <w:szCs w:val="20"/>
        </w:rPr>
        <w:t xml:space="preserve"> </w:t>
      </w:r>
      <w:r w:rsidR="00E140A7">
        <w:rPr>
          <w:rFonts w:cs="Segoe UI"/>
          <w:color w:val="000000" w:themeColor="text1"/>
          <w:szCs w:val="20"/>
        </w:rPr>
        <w:t> </w:t>
      </w:r>
      <w:r w:rsidRPr="0072671E">
        <w:rPr>
          <w:rFonts w:cs="Segoe UI"/>
          <w:color w:val="000000" w:themeColor="text1"/>
          <w:szCs w:val="20"/>
        </w:rPr>
        <w:t xml:space="preserve">rozpočtovaných výdavkov </w:t>
      </w:r>
      <w:r>
        <w:rPr>
          <w:rFonts w:cs="Segoe UI"/>
          <w:color w:val="000000" w:themeColor="text1"/>
          <w:szCs w:val="20"/>
        </w:rPr>
        <w:t xml:space="preserve">sa </w:t>
      </w:r>
      <w:r w:rsidRPr="0072671E">
        <w:rPr>
          <w:rFonts w:cs="Segoe UI"/>
          <w:color w:val="000000" w:themeColor="text1"/>
          <w:szCs w:val="20"/>
        </w:rPr>
        <w:t>vyčerpalo 35</w:t>
      </w:r>
      <w:r>
        <w:rPr>
          <w:rFonts w:cs="Segoe UI"/>
          <w:color w:val="000000" w:themeColor="text1"/>
          <w:szCs w:val="20"/>
        </w:rPr>
        <w:t>3</w:t>
      </w:r>
      <w:r w:rsidRPr="0072671E">
        <w:rPr>
          <w:rFonts w:cs="Segoe UI"/>
          <w:color w:val="000000" w:themeColor="text1"/>
          <w:szCs w:val="20"/>
        </w:rPr>
        <w:t xml:space="preserve"> mil. eur, s čím súvisia výdavky na platbu DPH na úrovni </w:t>
      </w:r>
      <w:r>
        <w:rPr>
          <w:rFonts w:cs="Segoe UI"/>
          <w:color w:val="000000" w:themeColor="text1"/>
          <w:szCs w:val="20"/>
        </w:rPr>
        <w:t>14</w:t>
      </w:r>
      <w:r w:rsidRPr="0072671E">
        <w:rPr>
          <w:rFonts w:cs="Segoe UI"/>
          <w:color w:val="000000" w:themeColor="text1"/>
          <w:szCs w:val="20"/>
        </w:rPr>
        <w:t> mil. eur. Bežné výdavky boli čerpané vo výške 99,</w:t>
      </w:r>
      <w:r>
        <w:rPr>
          <w:rFonts w:cs="Segoe UI"/>
          <w:color w:val="000000" w:themeColor="text1"/>
          <w:szCs w:val="20"/>
        </w:rPr>
        <w:t>5</w:t>
      </w:r>
      <w:r w:rsidRPr="0072671E">
        <w:rPr>
          <w:rFonts w:cs="Segoe UI"/>
          <w:color w:val="000000" w:themeColor="text1"/>
          <w:szCs w:val="20"/>
        </w:rPr>
        <w:t xml:space="preserve"> mil. eur a kapitálové výdavky predstavovali 25</w:t>
      </w:r>
      <w:r>
        <w:rPr>
          <w:rFonts w:cs="Segoe UI"/>
          <w:color w:val="000000" w:themeColor="text1"/>
          <w:szCs w:val="20"/>
        </w:rPr>
        <w:t>3</w:t>
      </w:r>
      <w:r w:rsidRPr="0072671E">
        <w:rPr>
          <w:rFonts w:cs="Segoe UI"/>
          <w:color w:val="000000" w:themeColor="text1"/>
          <w:szCs w:val="20"/>
        </w:rPr>
        <w:t>,</w:t>
      </w:r>
      <w:r>
        <w:rPr>
          <w:rFonts w:cs="Segoe UI"/>
          <w:color w:val="000000" w:themeColor="text1"/>
          <w:szCs w:val="20"/>
        </w:rPr>
        <w:t>6</w:t>
      </w:r>
      <w:r w:rsidRPr="0072671E">
        <w:rPr>
          <w:rFonts w:cs="Segoe UI"/>
          <w:color w:val="000000" w:themeColor="text1"/>
          <w:szCs w:val="20"/>
        </w:rPr>
        <w:t xml:space="preserve"> mil. eur</w:t>
      </w:r>
      <w:r>
        <w:rPr>
          <w:rFonts w:cs="Segoe UI"/>
          <w:color w:val="000000" w:themeColor="text1"/>
          <w:szCs w:val="20"/>
        </w:rPr>
        <w:t xml:space="preserve">. Najväčšiu časť z kapitálových výdavkov tvorila položka </w:t>
      </w:r>
      <w:r w:rsidRPr="00F15428">
        <w:rPr>
          <w:rFonts w:cs="Segoe UI"/>
          <w:i/>
          <w:color w:val="000000" w:themeColor="text1"/>
          <w:szCs w:val="20"/>
        </w:rPr>
        <w:t>Príspevkovej organizácii</w:t>
      </w:r>
      <w:r>
        <w:rPr>
          <w:rFonts w:cs="Segoe UI"/>
          <w:color w:val="000000" w:themeColor="text1"/>
          <w:szCs w:val="20"/>
        </w:rPr>
        <w:t xml:space="preserve"> na MŽP SR (181,9 mil. eur), </w:t>
      </w:r>
      <w:r w:rsidRPr="00F15428">
        <w:rPr>
          <w:rFonts w:cs="Segoe UI"/>
          <w:i/>
          <w:color w:val="000000" w:themeColor="text1"/>
          <w:szCs w:val="20"/>
        </w:rPr>
        <w:t>Nákup osobných automobilov</w:t>
      </w:r>
      <w:r>
        <w:rPr>
          <w:rFonts w:cs="Segoe UI"/>
          <w:color w:val="000000" w:themeColor="text1"/>
          <w:szCs w:val="20"/>
        </w:rPr>
        <w:t xml:space="preserve"> na MV SR (33,5 mil. eur) a </w:t>
      </w:r>
      <w:r w:rsidRPr="00F15428">
        <w:rPr>
          <w:rFonts w:cs="Segoe UI"/>
          <w:i/>
          <w:color w:val="000000" w:themeColor="text1"/>
          <w:szCs w:val="20"/>
        </w:rPr>
        <w:t>Budov, objektov alebo ich častí</w:t>
      </w:r>
      <w:r>
        <w:rPr>
          <w:rFonts w:cs="Segoe UI"/>
          <w:color w:val="000000" w:themeColor="text1"/>
          <w:szCs w:val="20"/>
        </w:rPr>
        <w:t xml:space="preserve"> v kapitole MS SR (14,5 mil. eur). Nevyčerpané prostriedky sa presunú </w:t>
      </w:r>
      <w:r w:rsidR="00E140A7">
        <w:rPr>
          <w:rFonts w:cs="Segoe UI"/>
          <w:color w:val="000000" w:themeColor="text1"/>
          <w:szCs w:val="20"/>
        </w:rPr>
        <w:t xml:space="preserve">do </w:t>
      </w:r>
      <w:r>
        <w:rPr>
          <w:rFonts w:cs="Segoe UI"/>
          <w:color w:val="000000" w:themeColor="text1"/>
          <w:szCs w:val="20"/>
        </w:rPr>
        <w:t>nasledujúcich roko</w:t>
      </w:r>
      <w:r w:rsidR="00E140A7">
        <w:rPr>
          <w:rFonts w:cs="Segoe UI"/>
          <w:color w:val="000000" w:themeColor="text1"/>
          <w:szCs w:val="20"/>
        </w:rPr>
        <w:t>v</w:t>
      </w:r>
      <w:r>
        <w:rPr>
          <w:rStyle w:val="Odkaznapoznmkupodiarou"/>
          <w:rFonts w:cs="Segoe UI"/>
          <w:color w:val="000000" w:themeColor="text1"/>
          <w:szCs w:val="20"/>
        </w:rPr>
        <w:footnoteReference w:id="17"/>
      </w:r>
      <w:r w:rsidR="00D47662">
        <w:rPr>
          <w:rFonts w:cs="Segoe UI"/>
          <w:color w:val="000000" w:themeColor="text1"/>
          <w:szCs w:val="20"/>
        </w:rPr>
        <w:t>.</w:t>
      </w:r>
      <w:r w:rsidR="00AB4ACB">
        <w:rPr>
          <w:rFonts w:cs="Segoe UI"/>
          <w:color w:val="000000" w:themeColor="text1"/>
          <w:szCs w:val="20"/>
        </w:rPr>
        <w:br w:type="page"/>
      </w:r>
    </w:p>
    <w:p w14:paraId="6EABA9F8" w14:textId="606E9BD3" w:rsidR="000D05F7" w:rsidRPr="007E17E1" w:rsidRDefault="00EC6F47" w:rsidP="00AB4ACB">
      <w:pPr>
        <w:pStyle w:val="Nadpis1"/>
      </w:pPr>
      <w:bookmarkStart w:id="19" w:name="_Toc153784698"/>
      <w:r>
        <w:lastRenderedPageBreak/>
        <w:t>Súhrnné r</w:t>
      </w:r>
      <w:r w:rsidR="00AE01AE" w:rsidRPr="007E17E1">
        <w:t>iziká návrhu</w:t>
      </w:r>
      <w:r w:rsidR="000D05F7" w:rsidRPr="007E17E1">
        <w:t xml:space="preserve"> </w:t>
      </w:r>
      <w:r w:rsidR="00CC180B" w:rsidRPr="007E17E1">
        <w:t>ŠR</w:t>
      </w:r>
      <w:r w:rsidR="000D05F7" w:rsidRPr="007E17E1">
        <w:t xml:space="preserve"> na rok 202</w:t>
      </w:r>
      <w:bookmarkEnd w:id="18"/>
      <w:r w:rsidR="007033E5">
        <w:t>4</w:t>
      </w:r>
      <w:bookmarkEnd w:id="19"/>
    </w:p>
    <w:p w14:paraId="5ED43D89" w14:textId="428C7613" w:rsidR="002858A0" w:rsidRPr="008C2695" w:rsidRDefault="002858A0" w:rsidP="008C2695">
      <w:pPr>
        <w:pStyle w:val="Zkladntext0"/>
        <w:spacing w:line="276" w:lineRule="auto"/>
        <w:jc w:val="both"/>
        <w:rPr>
          <w:rFonts w:ascii="Segoe UI" w:eastAsia="Calibri" w:hAnsi="Segoe UI" w:cs="Segoe UI"/>
        </w:rPr>
      </w:pPr>
      <w:r w:rsidRPr="008C2695">
        <w:rPr>
          <w:rFonts w:ascii="Segoe UI" w:hAnsi="Segoe UI" w:cs="Segoe UI"/>
        </w:rPr>
        <w:t xml:space="preserve">Návrh zákona o ŠR na rok 2024, ktorým sa v súlade so zákonom o rozpočtových pravidlách VS schvaľuje </w:t>
      </w:r>
      <w:r w:rsidR="008C2695">
        <w:rPr>
          <w:rFonts w:ascii="Segoe UI" w:hAnsi="Segoe UI" w:cs="Segoe UI"/>
        </w:rPr>
        <w:t>ŠR</w:t>
      </w:r>
      <w:r w:rsidRPr="008C2695">
        <w:rPr>
          <w:rFonts w:ascii="Segoe UI" w:hAnsi="Segoe UI" w:cs="Segoe UI"/>
        </w:rPr>
        <w:t xml:space="preserve">, je predložený v rámci návrhu RVS na roky 2024 až 2026. Pri zostavovaní rozpočtu musela vláda reagovať na deficity VS nad úrovňou 6 % a dlhu </w:t>
      </w:r>
      <w:r w:rsidRPr="008C2695">
        <w:rPr>
          <w:rFonts w:ascii="Segoe UI" w:eastAsia="Calibri" w:hAnsi="Segoe UI" w:cs="Segoe UI"/>
        </w:rPr>
        <w:t xml:space="preserve">prekračujúceho sankčné pásma vyplývajúce zo zákona o rozpočtovej zodpovednosti. </w:t>
      </w:r>
    </w:p>
    <w:p w14:paraId="0F49A8E2" w14:textId="605860DF" w:rsidR="002858A0" w:rsidRPr="008C2695" w:rsidRDefault="002858A0" w:rsidP="008C2695">
      <w:pPr>
        <w:pStyle w:val="Zkladntext0"/>
        <w:spacing w:line="276" w:lineRule="auto"/>
        <w:jc w:val="both"/>
        <w:rPr>
          <w:rFonts w:ascii="Segoe UI" w:eastAsia="Calibri" w:hAnsi="Segoe UI" w:cs="Segoe UI"/>
          <w:lang w:eastAsia="en-US"/>
        </w:rPr>
      </w:pPr>
      <w:r w:rsidRPr="008C2695">
        <w:rPr>
          <w:rFonts w:ascii="Segoe UI" w:eastAsia="Calibri" w:hAnsi="Segoe UI" w:cs="Segoe UI"/>
          <w:lang w:eastAsia="en-US"/>
        </w:rPr>
        <w:t xml:space="preserve">Návrh rozpočtu VS zohľadňuje konsolidáciu </w:t>
      </w:r>
      <w:r w:rsidRPr="008C2695">
        <w:rPr>
          <w:rFonts w:ascii="Segoe UI" w:eastAsia="Calibri" w:hAnsi="Segoe UI" w:cs="Segoe UI"/>
        </w:rPr>
        <w:t>požadovanú zo strany E</w:t>
      </w:r>
      <w:r w:rsidR="008C2695">
        <w:rPr>
          <w:rFonts w:ascii="Segoe UI" w:eastAsia="Calibri" w:hAnsi="Segoe UI" w:cs="Segoe UI"/>
        </w:rPr>
        <w:t>K</w:t>
      </w:r>
      <w:r w:rsidRPr="008C2695">
        <w:rPr>
          <w:rFonts w:ascii="Segoe UI" w:eastAsia="Calibri" w:hAnsi="Segoe UI" w:cs="Segoe UI"/>
        </w:rPr>
        <w:t>, ciele vyplývajúce z P</w:t>
      </w:r>
      <w:r w:rsidR="008C2695">
        <w:rPr>
          <w:rFonts w:ascii="Segoe UI" w:eastAsia="Calibri" w:hAnsi="Segoe UI" w:cs="Segoe UI"/>
        </w:rPr>
        <w:t>VV</w:t>
      </w:r>
      <w:r w:rsidRPr="008C2695">
        <w:rPr>
          <w:rFonts w:ascii="Segoe UI" w:eastAsia="Calibri" w:hAnsi="Segoe UI" w:cs="Segoe UI"/>
        </w:rPr>
        <w:t xml:space="preserve"> a tiež vplyvy legislatívnych a nelegislatívnych materiálov schválených v predchádzajúcom volebnom období. </w:t>
      </w:r>
      <w:r w:rsidR="00A60F3D">
        <w:rPr>
          <w:rFonts w:ascii="Segoe UI" w:eastAsia="Calibri" w:hAnsi="Segoe UI" w:cs="Segoe UI"/>
        </w:rPr>
        <w:t>Schodok takto zostaveného rozpočtu má v roku 2024 dosiahnuť -7,6 mld. eur</w:t>
      </w:r>
      <w:r w:rsidR="005D5F55">
        <w:rPr>
          <w:rFonts w:ascii="Segoe UI" w:eastAsia="Calibri" w:hAnsi="Segoe UI" w:cs="Segoe UI"/>
        </w:rPr>
        <w:t xml:space="preserve"> (tabuľka 7)</w:t>
      </w:r>
      <w:r w:rsidR="00A60F3D">
        <w:rPr>
          <w:rFonts w:ascii="Segoe UI" w:eastAsia="Calibri" w:hAnsi="Segoe UI" w:cs="Segoe UI"/>
        </w:rPr>
        <w:t>.</w:t>
      </w:r>
    </w:p>
    <w:p w14:paraId="17E0A019" w14:textId="4379CAEA" w:rsidR="002858A0" w:rsidRPr="008C2695" w:rsidRDefault="002858A0" w:rsidP="002858A0">
      <w:pPr>
        <w:keepNext/>
        <w:spacing w:after="0"/>
        <w:rPr>
          <w:rFonts w:eastAsia="Calibri" w:cs="Times New Roman"/>
          <w:b/>
          <w:iCs/>
          <w:color w:val="314364"/>
          <w:szCs w:val="18"/>
        </w:rPr>
      </w:pPr>
      <w:r w:rsidRPr="008C2695">
        <w:rPr>
          <w:rFonts w:eastAsia="Calibri" w:cs="Times New Roman"/>
          <w:b/>
          <w:iCs/>
          <w:color w:val="314364"/>
          <w:szCs w:val="18"/>
        </w:rPr>
        <w:t xml:space="preserve">Tabuľka </w:t>
      </w:r>
      <w:r w:rsidR="008C2695" w:rsidRPr="008C2695">
        <w:rPr>
          <w:rFonts w:eastAsia="Calibri" w:cs="Times New Roman"/>
          <w:b/>
          <w:iCs/>
          <w:color w:val="314364"/>
          <w:szCs w:val="18"/>
        </w:rPr>
        <w:t>7</w:t>
      </w:r>
      <w:r w:rsidRPr="008C2695">
        <w:rPr>
          <w:rFonts w:eastAsia="Calibri" w:cs="Times New Roman"/>
          <w:b/>
          <w:iCs/>
          <w:color w:val="314364"/>
          <w:szCs w:val="18"/>
        </w:rPr>
        <w:t>: Celkové príjmy, výdavky a schodok štátneho rozpočtu (v mil. eur)</w:t>
      </w:r>
    </w:p>
    <w:tbl>
      <w:tblPr>
        <w:tblW w:w="5000" w:type="pct"/>
        <w:tblBorders>
          <w:bottom w:val="single" w:sz="4" w:space="0" w:color="314364" w:themeColor="text2"/>
        </w:tblBorders>
        <w:tblLayout w:type="fixed"/>
        <w:tblCellMar>
          <w:left w:w="70" w:type="dxa"/>
          <w:right w:w="70" w:type="dxa"/>
        </w:tblCellMar>
        <w:tblLook w:val="04A0" w:firstRow="1" w:lastRow="0" w:firstColumn="1" w:lastColumn="0" w:noHBand="0" w:noVBand="1"/>
      </w:tblPr>
      <w:tblGrid>
        <w:gridCol w:w="2120"/>
        <w:gridCol w:w="1390"/>
        <w:gridCol w:w="1390"/>
        <w:gridCol w:w="1390"/>
        <w:gridCol w:w="1390"/>
        <w:gridCol w:w="1390"/>
      </w:tblGrid>
      <w:tr w:rsidR="002858A0" w:rsidRPr="008C2695" w14:paraId="1F1536DC" w14:textId="77777777" w:rsidTr="00B505D4">
        <w:trPr>
          <w:trHeight w:val="283"/>
        </w:trPr>
        <w:tc>
          <w:tcPr>
            <w:tcW w:w="1169" w:type="pct"/>
            <w:shd w:val="clear" w:color="auto" w:fill="314364"/>
            <w:noWrap/>
            <w:vAlign w:val="center"/>
            <w:hideMark/>
          </w:tcPr>
          <w:p w14:paraId="1F6AA930" w14:textId="77777777" w:rsidR="002858A0" w:rsidRPr="008C2695" w:rsidRDefault="002858A0" w:rsidP="00B505D4">
            <w:pPr>
              <w:spacing w:after="0"/>
              <w:jc w:val="left"/>
              <w:rPr>
                <w:rFonts w:eastAsia="Times New Roman" w:cs="Segoe UI"/>
                <w:b/>
                <w:bCs/>
                <w:color w:val="FFFFFF" w:themeColor="background1"/>
                <w:sz w:val="18"/>
                <w:szCs w:val="20"/>
                <w:lang w:eastAsia="sk-SK"/>
              </w:rPr>
            </w:pPr>
            <w:r w:rsidRPr="008C2695">
              <w:rPr>
                <w:rFonts w:eastAsia="Times New Roman" w:cs="Segoe UI"/>
                <w:b/>
                <w:bCs/>
                <w:color w:val="FFFFFF" w:themeColor="background1"/>
                <w:sz w:val="18"/>
                <w:szCs w:val="20"/>
                <w:lang w:eastAsia="sk-SK"/>
              </w:rPr>
              <w:t>Ukazovateľ</w:t>
            </w:r>
          </w:p>
        </w:tc>
        <w:tc>
          <w:tcPr>
            <w:tcW w:w="766" w:type="pct"/>
            <w:shd w:val="clear" w:color="auto" w:fill="314364"/>
            <w:noWrap/>
            <w:vAlign w:val="center"/>
            <w:hideMark/>
          </w:tcPr>
          <w:p w14:paraId="59E96290" w14:textId="77777777" w:rsidR="002858A0" w:rsidRPr="008C2695" w:rsidRDefault="002858A0" w:rsidP="00B505D4">
            <w:pPr>
              <w:spacing w:after="0"/>
              <w:jc w:val="right"/>
              <w:rPr>
                <w:rFonts w:eastAsia="Times New Roman" w:cs="Segoe UI"/>
                <w:b/>
                <w:bCs/>
                <w:color w:val="FFFFFF" w:themeColor="background1"/>
                <w:sz w:val="18"/>
                <w:szCs w:val="20"/>
                <w:lang w:eastAsia="sk-SK"/>
              </w:rPr>
            </w:pPr>
            <w:r w:rsidRPr="008C2695">
              <w:rPr>
                <w:rFonts w:eastAsia="Times New Roman" w:cs="Segoe UI"/>
                <w:b/>
                <w:bCs/>
                <w:color w:val="FFFFFF" w:themeColor="background1"/>
                <w:sz w:val="18"/>
                <w:szCs w:val="20"/>
                <w:lang w:eastAsia="sk-SK"/>
              </w:rPr>
              <w:t>2022 S</w:t>
            </w:r>
          </w:p>
        </w:tc>
        <w:tc>
          <w:tcPr>
            <w:tcW w:w="766" w:type="pct"/>
            <w:shd w:val="clear" w:color="auto" w:fill="314364"/>
            <w:vAlign w:val="center"/>
            <w:hideMark/>
          </w:tcPr>
          <w:p w14:paraId="69771D21" w14:textId="77777777" w:rsidR="002858A0" w:rsidRPr="008C2695" w:rsidRDefault="002858A0" w:rsidP="00B505D4">
            <w:pPr>
              <w:spacing w:after="0"/>
              <w:jc w:val="right"/>
              <w:rPr>
                <w:rFonts w:eastAsia="Times New Roman" w:cs="Segoe UI"/>
                <w:b/>
                <w:bCs/>
                <w:color w:val="FFFFFF" w:themeColor="background1"/>
                <w:sz w:val="18"/>
                <w:szCs w:val="20"/>
                <w:lang w:eastAsia="sk-SK"/>
              </w:rPr>
            </w:pPr>
            <w:r w:rsidRPr="008C2695">
              <w:rPr>
                <w:rFonts w:eastAsia="Times New Roman" w:cs="Segoe UI"/>
                <w:b/>
                <w:bCs/>
                <w:color w:val="FFFFFF" w:themeColor="background1"/>
                <w:sz w:val="18"/>
                <w:szCs w:val="20"/>
                <w:lang w:eastAsia="sk-SK"/>
              </w:rPr>
              <w:t xml:space="preserve"> 2023 R</w:t>
            </w:r>
          </w:p>
        </w:tc>
        <w:tc>
          <w:tcPr>
            <w:tcW w:w="766" w:type="pct"/>
            <w:shd w:val="clear" w:color="auto" w:fill="314364"/>
            <w:vAlign w:val="center"/>
            <w:hideMark/>
          </w:tcPr>
          <w:p w14:paraId="19A56DA2" w14:textId="77777777" w:rsidR="002858A0" w:rsidRPr="008C2695" w:rsidRDefault="002858A0" w:rsidP="00B505D4">
            <w:pPr>
              <w:spacing w:after="0"/>
              <w:jc w:val="right"/>
              <w:rPr>
                <w:rFonts w:eastAsia="Times New Roman" w:cs="Segoe UI"/>
                <w:b/>
                <w:bCs/>
                <w:color w:val="FFFFFF" w:themeColor="background1"/>
                <w:sz w:val="18"/>
                <w:szCs w:val="20"/>
                <w:lang w:eastAsia="sk-SK"/>
              </w:rPr>
            </w:pPr>
            <w:r w:rsidRPr="008C2695">
              <w:rPr>
                <w:rFonts w:eastAsia="Times New Roman" w:cs="Segoe UI"/>
                <w:b/>
                <w:bCs/>
                <w:color w:val="FFFFFF" w:themeColor="background1"/>
                <w:sz w:val="18"/>
                <w:szCs w:val="20"/>
                <w:lang w:eastAsia="sk-SK"/>
              </w:rPr>
              <w:t>2024 NR</w:t>
            </w:r>
          </w:p>
        </w:tc>
        <w:tc>
          <w:tcPr>
            <w:tcW w:w="766" w:type="pct"/>
            <w:shd w:val="clear" w:color="auto" w:fill="314364"/>
            <w:vAlign w:val="center"/>
            <w:hideMark/>
          </w:tcPr>
          <w:p w14:paraId="7A6B8FE1" w14:textId="77777777" w:rsidR="002858A0" w:rsidRPr="008C2695" w:rsidRDefault="002858A0" w:rsidP="00B505D4">
            <w:pPr>
              <w:spacing w:after="0"/>
              <w:jc w:val="right"/>
              <w:rPr>
                <w:rFonts w:eastAsia="Times New Roman" w:cs="Segoe UI"/>
                <w:b/>
                <w:bCs/>
                <w:color w:val="FFFFFF" w:themeColor="background1"/>
                <w:sz w:val="18"/>
                <w:szCs w:val="20"/>
                <w:lang w:eastAsia="sk-SK"/>
              </w:rPr>
            </w:pPr>
            <w:r w:rsidRPr="008C2695">
              <w:rPr>
                <w:rFonts w:eastAsia="Times New Roman" w:cs="Segoe UI"/>
                <w:b/>
                <w:bCs/>
                <w:color w:val="FFFFFF" w:themeColor="background1"/>
                <w:sz w:val="18"/>
                <w:szCs w:val="20"/>
                <w:lang w:eastAsia="sk-SK"/>
              </w:rPr>
              <w:t>2024-2023</w:t>
            </w:r>
          </w:p>
        </w:tc>
        <w:tc>
          <w:tcPr>
            <w:tcW w:w="766" w:type="pct"/>
            <w:shd w:val="clear" w:color="auto" w:fill="314364"/>
            <w:vAlign w:val="center"/>
            <w:hideMark/>
          </w:tcPr>
          <w:p w14:paraId="0B7B9524" w14:textId="77777777" w:rsidR="002858A0" w:rsidRPr="008C2695" w:rsidRDefault="002858A0" w:rsidP="00B505D4">
            <w:pPr>
              <w:spacing w:after="0"/>
              <w:jc w:val="right"/>
              <w:rPr>
                <w:rFonts w:eastAsia="Times New Roman" w:cs="Segoe UI"/>
                <w:b/>
                <w:bCs/>
                <w:color w:val="FFFFFF" w:themeColor="background1"/>
                <w:sz w:val="18"/>
                <w:szCs w:val="20"/>
                <w:lang w:eastAsia="sk-SK"/>
              </w:rPr>
            </w:pPr>
            <w:r w:rsidRPr="008C2695">
              <w:rPr>
                <w:rFonts w:eastAsia="Times New Roman" w:cs="Segoe UI"/>
                <w:b/>
                <w:bCs/>
                <w:color w:val="FFFFFF" w:themeColor="background1"/>
                <w:sz w:val="18"/>
                <w:szCs w:val="20"/>
                <w:lang w:eastAsia="sk-SK"/>
              </w:rPr>
              <w:t>2024/2023 (%)</w:t>
            </w:r>
          </w:p>
        </w:tc>
      </w:tr>
      <w:tr w:rsidR="002858A0" w:rsidRPr="008C2695" w14:paraId="6A3C66D2" w14:textId="77777777" w:rsidTr="00B505D4">
        <w:trPr>
          <w:trHeight w:val="283"/>
        </w:trPr>
        <w:tc>
          <w:tcPr>
            <w:tcW w:w="1169" w:type="pct"/>
            <w:shd w:val="clear" w:color="auto" w:fill="auto"/>
            <w:noWrap/>
            <w:vAlign w:val="center"/>
            <w:hideMark/>
          </w:tcPr>
          <w:p w14:paraId="0BE652EB" w14:textId="77777777" w:rsidR="002858A0" w:rsidRPr="008C2695" w:rsidRDefault="002858A0" w:rsidP="00B505D4">
            <w:pPr>
              <w:spacing w:after="0"/>
              <w:jc w:val="left"/>
              <w:rPr>
                <w:rFonts w:eastAsia="Times New Roman" w:cs="Segoe UI"/>
                <w:sz w:val="18"/>
                <w:szCs w:val="20"/>
                <w:lang w:eastAsia="sk-SK"/>
              </w:rPr>
            </w:pPr>
            <w:r w:rsidRPr="008C2695">
              <w:rPr>
                <w:rFonts w:eastAsia="Times New Roman" w:cs="Segoe UI"/>
                <w:sz w:val="18"/>
                <w:szCs w:val="20"/>
                <w:lang w:eastAsia="sk-SK"/>
              </w:rPr>
              <w:t>Príjmy ŠR</w:t>
            </w:r>
          </w:p>
        </w:tc>
        <w:tc>
          <w:tcPr>
            <w:tcW w:w="766" w:type="pct"/>
            <w:shd w:val="clear" w:color="auto" w:fill="auto"/>
            <w:noWrap/>
            <w:vAlign w:val="center"/>
            <w:hideMark/>
          </w:tcPr>
          <w:p w14:paraId="1E07AF4E" w14:textId="77777777" w:rsidR="002858A0" w:rsidRPr="008C2695" w:rsidRDefault="002858A0" w:rsidP="00B505D4">
            <w:pPr>
              <w:spacing w:after="0"/>
              <w:jc w:val="right"/>
              <w:rPr>
                <w:rFonts w:eastAsia="Times New Roman" w:cs="Segoe UI"/>
                <w:sz w:val="18"/>
                <w:szCs w:val="20"/>
                <w:lang w:eastAsia="sk-SK"/>
              </w:rPr>
            </w:pPr>
            <w:r w:rsidRPr="008C2695">
              <w:rPr>
                <w:rFonts w:eastAsia="Times New Roman" w:cs="Segoe UI"/>
                <w:sz w:val="18"/>
                <w:szCs w:val="20"/>
                <w:lang w:eastAsia="sk-SK"/>
              </w:rPr>
              <w:t>19 030</w:t>
            </w:r>
          </w:p>
        </w:tc>
        <w:tc>
          <w:tcPr>
            <w:tcW w:w="766" w:type="pct"/>
            <w:shd w:val="clear" w:color="auto" w:fill="auto"/>
            <w:vAlign w:val="center"/>
            <w:hideMark/>
          </w:tcPr>
          <w:p w14:paraId="27DD0413" w14:textId="77777777" w:rsidR="002858A0" w:rsidRPr="008C2695" w:rsidRDefault="002858A0" w:rsidP="00B505D4">
            <w:pPr>
              <w:spacing w:after="0"/>
              <w:jc w:val="right"/>
              <w:rPr>
                <w:rFonts w:eastAsia="Times New Roman" w:cs="Segoe UI"/>
                <w:sz w:val="18"/>
                <w:szCs w:val="20"/>
                <w:lang w:eastAsia="sk-SK"/>
              </w:rPr>
            </w:pPr>
            <w:r w:rsidRPr="008C2695">
              <w:rPr>
                <w:rFonts w:eastAsia="Times New Roman" w:cs="Segoe UI"/>
                <w:sz w:val="18"/>
                <w:szCs w:val="20"/>
                <w:lang w:eastAsia="sk-SK"/>
              </w:rPr>
              <w:t>26 699</w:t>
            </w:r>
          </w:p>
        </w:tc>
        <w:tc>
          <w:tcPr>
            <w:tcW w:w="766" w:type="pct"/>
            <w:shd w:val="clear" w:color="auto" w:fill="auto"/>
            <w:vAlign w:val="center"/>
            <w:hideMark/>
          </w:tcPr>
          <w:p w14:paraId="64F22457" w14:textId="77777777" w:rsidR="002858A0" w:rsidRPr="008C2695" w:rsidRDefault="002858A0" w:rsidP="00B505D4">
            <w:pPr>
              <w:spacing w:after="0"/>
              <w:jc w:val="right"/>
              <w:rPr>
                <w:rFonts w:eastAsia="Times New Roman" w:cs="Segoe UI"/>
                <w:sz w:val="18"/>
                <w:szCs w:val="20"/>
                <w:lang w:eastAsia="sk-SK"/>
              </w:rPr>
            </w:pPr>
            <w:r w:rsidRPr="008C2695">
              <w:rPr>
                <w:rFonts w:eastAsia="Times New Roman" w:cs="Segoe UI"/>
                <w:sz w:val="18"/>
                <w:szCs w:val="20"/>
                <w:lang w:eastAsia="sk-SK"/>
              </w:rPr>
              <w:t>22 702</w:t>
            </w:r>
          </w:p>
        </w:tc>
        <w:tc>
          <w:tcPr>
            <w:tcW w:w="766" w:type="pct"/>
            <w:shd w:val="clear" w:color="auto" w:fill="auto"/>
            <w:vAlign w:val="center"/>
          </w:tcPr>
          <w:p w14:paraId="38691CD6" w14:textId="77777777" w:rsidR="002858A0" w:rsidRPr="008C2695" w:rsidRDefault="002858A0" w:rsidP="00B505D4">
            <w:pPr>
              <w:spacing w:after="0"/>
              <w:jc w:val="right"/>
              <w:rPr>
                <w:rFonts w:eastAsia="Times New Roman" w:cs="Segoe UI"/>
                <w:sz w:val="18"/>
                <w:szCs w:val="20"/>
                <w:lang w:eastAsia="sk-SK"/>
              </w:rPr>
            </w:pPr>
            <w:r w:rsidRPr="008C2695">
              <w:rPr>
                <w:rFonts w:eastAsia="Times New Roman" w:cs="Segoe UI"/>
                <w:color w:val="000000"/>
                <w:sz w:val="18"/>
                <w:szCs w:val="18"/>
                <w:lang w:eastAsia="sk-SK"/>
              </w:rPr>
              <w:t>-3 997</w:t>
            </w:r>
          </w:p>
        </w:tc>
        <w:tc>
          <w:tcPr>
            <w:tcW w:w="766" w:type="pct"/>
            <w:shd w:val="clear" w:color="auto" w:fill="auto"/>
            <w:vAlign w:val="center"/>
          </w:tcPr>
          <w:p w14:paraId="3384018E" w14:textId="77777777" w:rsidR="002858A0" w:rsidRPr="008C2695" w:rsidRDefault="002858A0" w:rsidP="00B505D4">
            <w:pPr>
              <w:spacing w:after="0"/>
              <w:jc w:val="right"/>
              <w:rPr>
                <w:rFonts w:eastAsia="Times New Roman" w:cs="Segoe UI"/>
                <w:sz w:val="18"/>
                <w:szCs w:val="20"/>
                <w:lang w:eastAsia="sk-SK"/>
              </w:rPr>
            </w:pPr>
            <w:r w:rsidRPr="008C2695">
              <w:rPr>
                <w:rFonts w:eastAsia="Times New Roman" w:cs="Segoe UI"/>
                <w:color w:val="000000"/>
                <w:sz w:val="18"/>
                <w:szCs w:val="18"/>
                <w:lang w:eastAsia="sk-SK"/>
              </w:rPr>
              <w:t>85,0</w:t>
            </w:r>
          </w:p>
        </w:tc>
      </w:tr>
      <w:tr w:rsidR="002858A0" w:rsidRPr="008C2695" w14:paraId="0B206893" w14:textId="77777777" w:rsidTr="00B505D4">
        <w:trPr>
          <w:trHeight w:val="283"/>
        </w:trPr>
        <w:tc>
          <w:tcPr>
            <w:tcW w:w="1169" w:type="pct"/>
            <w:shd w:val="clear" w:color="auto" w:fill="auto"/>
            <w:noWrap/>
            <w:vAlign w:val="center"/>
            <w:hideMark/>
          </w:tcPr>
          <w:p w14:paraId="2A417602" w14:textId="77777777" w:rsidR="002858A0" w:rsidRPr="008C2695" w:rsidRDefault="002858A0" w:rsidP="00B505D4">
            <w:pPr>
              <w:spacing w:after="0"/>
              <w:jc w:val="left"/>
              <w:rPr>
                <w:rFonts w:eastAsia="Times New Roman" w:cs="Segoe UI"/>
                <w:sz w:val="18"/>
                <w:szCs w:val="20"/>
                <w:lang w:eastAsia="sk-SK"/>
              </w:rPr>
            </w:pPr>
            <w:r w:rsidRPr="008C2695">
              <w:rPr>
                <w:rFonts w:eastAsia="Times New Roman" w:cs="Segoe UI"/>
                <w:sz w:val="18"/>
                <w:szCs w:val="20"/>
                <w:lang w:eastAsia="sk-SK"/>
              </w:rPr>
              <w:t>Výdavky ŠR</w:t>
            </w:r>
          </w:p>
        </w:tc>
        <w:tc>
          <w:tcPr>
            <w:tcW w:w="766" w:type="pct"/>
            <w:shd w:val="clear" w:color="auto" w:fill="auto"/>
            <w:noWrap/>
            <w:vAlign w:val="center"/>
            <w:hideMark/>
          </w:tcPr>
          <w:p w14:paraId="2C58FDE6" w14:textId="77777777" w:rsidR="002858A0" w:rsidRPr="008C2695" w:rsidRDefault="002858A0" w:rsidP="00B505D4">
            <w:pPr>
              <w:spacing w:after="0"/>
              <w:jc w:val="right"/>
              <w:rPr>
                <w:rFonts w:eastAsia="Times New Roman" w:cs="Segoe UI"/>
                <w:sz w:val="18"/>
                <w:szCs w:val="20"/>
                <w:lang w:eastAsia="sk-SK"/>
              </w:rPr>
            </w:pPr>
            <w:r w:rsidRPr="008C2695">
              <w:rPr>
                <w:rFonts w:eastAsia="Times New Roman" w:cs="Segoe UI"/>
                <w:sz w:val="18"/>
                <w:szCs w:val="20"/>
                <w:lang w:eastAsia="sk-SK"/>
              </w:rPr>
              <w:t>23 555</w:t>
            </w:r>
          </w:p>
        </w:tc>
        <w:tc>
          <w:tcPr>
            <w:tcW w:w="766" w:type="pct"/>
            <w:shd w:val="clear" w:color="auto" w:fill="auto"/>
            <w:vAlign w:val="center"/>
            <w:hideMark/>
          </w:tcPr>
          <w:p w14:paraId="6D112BDB" w14:textId="77777777" w:rsidR="002858A0" w:rsidRPr="008C2695" w:rsidRDefault="002858A0" w:rsidP="00B505D4">
            <w:pPr>
              <w:spacing w:after="0"/>
              <w:jc w:val="right"/>
              <w:rPr>
                <w:rFonts w:eastAsia="Times New Roman" w:cs="Segoe UI"/>
                <w:sz w:val="18"/>
                <w:szCs w:val="20"/>
                <w:lang w:eastAsia="sk-SK"/>
              </w:rPr>
            </w:pPr>
            <w:r w:rsidRPr="008C2695">
              <w:rPr>
                <w:rFonts w:eastAsia="Times New Roman" w:cs="Segoe UI"/>
                <w:sz w:val="18"/>
                <w:szCs w:val="20"/>
                <w:lang w:eastAsia="sk-SK"/>
              </w:rPr>
              <w:t>35 041</w:t>
            </w:r>
          </w:p>
        </w:tc>
        <w:tc>
          <w:tcPr>
            <w:tcW w:w="766" w:type="pct"/>
            <w:shd w:val="clear" w:color="auto" w:fill="auto"/>
            <w:vAlign w:val="center"/>
            <w:hideMark/>
          </w:tcPr>
          <w:p w14:paraId="46CC5F74" w14:textId="77777777" w:rsidR="002858A0" w:rsidRPr="008C2695" w:rsidRDefault="002858A0" w:rsidP="00B505D4">
            <w:pPr>
              <w:spacing w:after="0"/>
              <w:jc w:val="right"/>
              <w:rPr>
                <w:rFonts w:eastAsia="Times New Roman" w:cs="Segoe UI"/>
                <w:sz w:val="18"/>
                <w:szCs w:val="20"/>
                <w:lang w:eastAsia="sk-SK"/>
              </w:rPr>
            </w:pPr>
            <w:r w:rsidRPr="008C2695">
              <w:rPr>
                <w:rFonts w:eastAsia="Times New Roman" w:cs="Segoe UI"/>
                <w:sz w:val="18"/>
                <w:szCs w:val="20"/>
                <w:lang w:eastAsia="sk-SK"/>
              </w:rPr>
              <w:t>30 318</w:t>
            </w:r>
          </w:p>
        </w:tc>
        <w:tc>
          <w:tcPr>
            <w:tcW w:w="766" w:type="pct"/>
            <w:shd w:val="clear" w:color="auto" w:fill="auto"/>
            <w:vAlign w:val="center"/>
          </w:tcPr>
          <w:p w14:paraId="2976B863" w14:textId="77777777" w:rsidR="002858A0" w:rsidRPr="008C2695" w:rsidRDefault="002858A0" w:rsidP="00B505D4">
            <w:pPr>
              <w:spacing w:after="0"/>
              <w:jc w:val="right"/>
              <w:rPr>
                <w:rFonts w:eastAsia="Times New Roman" w:cs="Segoe UI"/>
                <w:sz w:val="18"/>
                <w:szCs w:val="20"/>
                <w:lang w:eastAsia="sk-SK"/>
              </w:rPr>
            </w:pPr>
            <w:r w:rsidRPr="008C2695">
              <w:rPr>
                <w:rFonts w:eastAsia="Times New Roman" w:cs="Segoe UI"/>
                <w:color w:val="000000"/>
                <w:sz w:val="18"/>
                <w:szCs w:val="18"/>
                <w:lang w:eastAsia="sk-SK"/>
              </w:rPr>
              <w:t>-4 723</w:t>
            </w:r>
          </w:p>
        </w:tc>
        <w:tc>
          <w:tcPr>
            <w:tcW w:w="766" w:type="pct"/>
            <w:shd w:val="clear" w:color="auto" w:fill="auto"/>
            <w:vAlign w:val="center"/>
          </w:tcPr>
          <w:p w14:paraId="4A8C803C" w14:textId="77777777" w:rsidR="002858A0" w:rsidRPr="008C2695" w:rsidRDefault="002858A0" w:rsidP="00B505D4">
            <w:pPr>
              <w:spacing w:after="0"/>
              <w:jc w:val="right"/>
              <w:rPr>
                <w:rFonts w:eastAsia="Times New Roman" w:cs="Segoe UI"/>
                <w:sz w:val="18"/>
                <w:szCs w:val="20"/>
                <w:lang w:eastAsia="sk-SK"/>
              </w:rPr>
            </w:pPr>
            <w:r w:rsidRPr="008C2695">
              <w:rPr>
                <w:rFonts w:eastAsia="Times New Roman" w:cs="Segoe UI"/>
                <w:color w:val="000000"/>
                <w:sz w:val="18"/>
                <w:szCs w:val="18"/>
                <w:lang w:eastAsia="sk-SK"/>
              </w:rPr>
              <w:t>86,5</w:t>
            </w:r>
          </w:p>
        </w:tc>
      </w:tr>
      <w:tr w:rsidR="002858A0" w:rsidRPr="008C2695" w14:paraId="759A2AC4" w14:textId="77777777" w:rsidTr="00B505D4">
        <w:trPr>
          <w:trHeight w:val="283"/>
        </w:trPr>
        <w:tc>
          <w:tcPr>
            <w:tcW w:w="1169" w:type="pct"/>
            <w:shd w:val="clear" w:color="auto" w:fill="auto"/>
            <w:noWrap/>
            <w:vAlign w:val="center"/>
            <w:hideMark/>
          </w:tcPr>
          <w:p w14:paraId="75587CA8" w14:textId="77777777" w:rsidR="002858A0" w:rsidRPr="008C2695" w:rsidRDefault="002858A0" w:rsidP="00B505D4">
            <w:pPr>
              <w:spacing w:after="0"/>
              <w:jc w:val="left"/>
              <w:rPr>
                <w:rFonts w:eastAsia="Times New Roman" w:cs="Segoe UI"/>
                <w:b/>
                <w:bCs/>
                <w:sz w:val="18"/>
                <w:szCs w:val="20"/>
                <w:lang w:eastAsia="sk-SK"/>
              </w:rPr>
            </w:pPr>
            <w:r w:rsidRPr="008C2695">
              <w:rPr>
                <w:rFonts w:eastAsia="Times New Roman" w:cs="Segoe UI"/>
                <w:b/>
                <w:bCs/>
                <w:sz w:val="18"/>
                <w:szCs w:val="20"/>
                <w:lang w:eastAsia="sk-SK"/>
              </w:rPr>
              <w:t>Schodok ŠR</w:t>
            </w:r>
          </w:p>
        </w:tc>
        <w:tc>
          <w:tcPr>
            <w:tcW w:w="766" w:type="pct"/>
            <w:shd w:val="clear" w:color="auto" w:fill="auto"/>
            <w:noWrap/>
            <w:vAlign w:val="center"/>
            <w:hideMark/>
          </w:tcPr>
          <w:p w14:paraId="5EB32E25" w14:textId="77777777" w:rsidR="002858A0" w:rsidRPr="008C2695" w:rsidRDefault="002858A0" w:rsidP="00B505D4">
            <w:pPr>
              <w:spacing w:after="0"/>
              <w:jc w:val="right"/>
              <w:rPr>
                <w:rFonts w:eastAsia="Times New Roman" w:cs="Segoe UI"/>
                <w:b/>
                <w:bCs/>
                <w:sz w:val="18"/>
                <w:szCs w:val="20"/>
                <w:lang w:eastAsia="sk-SK"/>
              </w:rPr>
            </w:pPr>
            <w:r w:rsidRPr="008C2695">
              <w:rPr>
                <w:rFonts w:eastAsia="Times New Roman" w:cs="Segoe UI"/>
                <w:b/>
                <w:bCs/>
                <w:sz w:val="18"/>
                <w:szCs w:val="20"/>
                <w:lang w:eastAsia="sk-SK"/>
              </w:rPr>
              <w:t>-4 525</w:t>
            </w:r>
          </w:p>
        </w:tc>
        <w:tc>
          <w:tcPr>
            <w:tcW w:w="766" w:type="pct"/>
            <w:shd w:val="clear" w:color="auto" w:fill="auto"/>
            <w:vAlign w:val="center"/>
            <w:hideMark/>
          </w:tcPr>
          <w:p w14:paraId="1AFE17B0" w14:textId="77777777" w:rsidR="002858A0" w:rsidRPr="008C2695" w:rsidRDefault="002858A0" w:rsidP="00B505D4">
            <w:pPr>
              <w:spacing w:after="0"/>
              <w:jc w:val="right"/>
              <w:rPr>
                <w:rFonts w:eastAsia="Times New Roman" w:cs="Segoe UI"/>
                <w:b/>
                <w:bCs/>
                <w:sz w:val="18"/>
                <w:szCs w:val="20"/>
                <w:lang w:eastAsia="sk-SK"/>
              </w:rPr>
            </w:pPr>
            <w:r w:rsidRPr="008C2695">
              <w:rPr>
                <w:rFonts w:eastAsia="Times New Roman" w:cs="Segoe UI"/>
                <w:b/>
                <w:bCs/>
                <w:sz w:val="18"/>
                <w:szCs w:val="20"/>
                <w:lang w:eastAsia="sk-SK"/>
              </w:rPr>
              <w:t>-8 341</w:t>
            </w:r>
          </w:p>
        </w:tc>
        <w:tc>
          <w:tcPr>
            <w:tcW w:w="766" w:type="pct"/>
            <w:shd w:val="clear" w:color="auto" w:fill="auto"/>
            <w:vAlign w:val="center"/>
            <w:hideMark/>
          </w:tcPr>
          <w:p w14:paraId="20DF710A" w14:textId="77777777" w:rsidR="002858A0" w:rsidRPr="008C2695" w:rsidRDefault="002858A0" w:rsidP="00B505D4">
            <w:pPr>
              <w:spacing w:after="0"/>
              <w:jc w:val="right"/>
              <w:rPr>
                <w:rFonts w:eastAsia="Times New Roman" w:cs="Segoe UI"/>
                <w:b/>
                <w:bCs/>
                <w:sz w:val="18"/>
                <w:szCs w:val="20"/>
                <w:lang w:eastAsia="sk-SK"/>
              </w:rPr>
            </w:pPr>
            <w:r w:rsidRPr="008C2695">
              <w:rPr>
                <w:rFonts w:eastAsia="Times New Roman" w:cs="Segoe UI"/>
                <w:b/>
                <w:bCs/>
                <w:sz w:val="18"/>
                <w:szCs w:val="20"/>
                <w:lang w:eastAsia="sk-SK"/>
              </w:rPr>
              <w:t>-7 616</w:t>
            </w:r>
          </w:p>
        </w:tc>
        <w:tc>
          <w:tcPr>
            <w:tcW w:w="766" w:type="pct"/>
            <w:shd w:val="clear" w:color="auto" w:fill="auto"/>
            <w:vAlign w:val="center"/>
          </w:tcPr>
          <w:p w14:paraId="370045A7" w14:textId="77777777" w:rsidR="002858A0" w:rsidRPr="008C2695" w:rsidRDefault="002858A0" w:rsidP="00B505D4">
            <w:pPr>
              <w:spacing w:after="0"/>
              <w:jc w:val="right"/>
              <w:rPr>
                <w:rFonts w:eastAsia="Times New Roman" w:cs="Segoe UI"/>
                <w:b/>
                <w:bCs/>
                <w:sz w:val="18"/>
                <w:szCs w:val="20"/>
                <w:lang w:eastAsia="sk-SK"/>
              </w:rPr>
            </w:pPr>
            <w:r w:rsidRPr="008C2695">
              <w:rPr>
                <w:rFonts w:eastAsia="Times New Roman" w:cs="Segoe UI"/>
                <w:b/>
                <w:bCs/>
                <w:color w:val="000000"/>
                <w:sz w:val="18"/>
                <w:szCs w:val="18"/>
                <w:lang w:eastAsia="sk-SK"/>
              </w:rPr>
              <w:t>725</w:t>
            </w:r>
          </w:p>
        </w:tc>
        <w:tc>
          <w:tcPr>
            <w:tcW w:w="766" w:type="pct"/>
            <w:shd w:val="clear" w:color="auto" w:fill="auto"/>
            <w:vAlign w:val="center"/>
          </w:tcPr>
          <w:p w14:paraId="207CFA47" w14:textId="77777777" w:rsidR="002858A0" w:rsidRPr="008C2695" w:rsidRDefault="002858A0" w:rsidP="00B505D4">
            <w:pPr>
              <w:spacing w:after="0"/>
              <w:jc w:val="right"/>
              <w:rPr>
                <w:rFonts w:eastAsia="Times New Roman" w:cs="Segoe UI"/>
                <w:b/>
                <w:bCs/>
                <w:sz w:val="18"/>
                <w:szCs w:val="20"/>
                <w:lang w:eastAsia="sk-SK"/>
              </w:rPr>
            </w:pPr>
            <w:r w:rsidRPr="008C2695">
              <w:rPr>
                <w:rFonts w:eastAsia="Times New Roman" w:cs="Segoe UI"/>
                <w:b/>
                <w:bCs/>
                <w:color w:val="000000"/>
                <w:sz w:val="18"/>
                <w:szCs w:val="18"/>
                <w:lang w:eastAsia="sk-SK"/>
              </w:rPr>
              <w:t>91,3</w:t>
            </w:r>
          </w:p>
        </w:tc>
      </w:tr>
    </w:tbl>
    <w:p w14:paraId="36678B27" w14:textId="77777777" w:rsidR="002858A0" w:rsidRPr="008C2695" w:rsidRDefault="002858A0" w:rsidP="002858A0">
      <w:pPr>
        <w:pStyle w:val="Bezriadkovania"/>
        <w:spacing w:after="120" w:line="276" w:lineRule="auto"/>
        <w:jc w:val="both"/>
        <w:rPr>
          <w:rFonts w:ascii="Segoe UI" w:eastAsia="Calibri" w:hAnsi="Segoe UI" w:cs="Times New Roman"/>
          <w:i/>
          <w:color w:val="314364"/>
          <w:sz w:val="16"/>
          <w:lang w:eastAsia="en-US"/>
        </w:rPr>
      </w:pPr>
      <w:r w:rsidRPr="008C2695">
        <w:rPr>
          <w:rFonts w:ascii="Segoe UI" w:eastAsia="Calibri" w:hAnsi="Segoe UI" w:cs="Times New Roman"/>
          <w:i/>
          <w:color w:val="314364"/>
          <w:sz w:val="16"/>
          <w:lang w:eastAsia="en-US"/>
        </w:rPr>
        <w:t>Zdroj: MF SR</w:t>
      </w:r>
    </w:p>
    <w:p w14:paraId="1448F5BF" w14:textId="7DFC5D95" w:rsidR="002858A0" w:rsidRDefault="002858A0" w:rsidP="008C2695">
      <w:pPr>
        <w:pStyle w:val="Bezriadkovania"/>
        <w:spacing w:after="120" w:line="276" w:lineRule="auto"/>
        <w:jc w:val="both"/>
        <w:rPr>
          <w:rFonts w:ascii="Segoe UI" w:eastAsia="Calibri" w:hAnsi="Segoe UI" w:cs="Segoe UI"/>
          <w:sz w:val="20"/>
          <w:szCs w:val="20"/>
        </w:rPr>
      </w:pPr>
      <w:r w:rsidRPr="008C2695">
        <w:rPr>
          <w:rFonts w:ascii="Segoe UI" w:eastAsia="Calibri" w:hAnsi="Segoe UI" w:cs="Times New Roman"/>
          <w:sz w:val="20"/>
          <w:szCs w:val="20"/>
          <w:lang w:eastAsia="en-US"/>
        </w:rPr>
        <w:t xml:space="preserve">S ohľadom na vysoký deficit VS a zadlženie vláda SR prijala súbor konsolidačných opatrení na príjmovej aj výdavkovej strane, ktoré by mali prispieť </w:t>
      </w:r>
      <w:r w:rsidRPr="008C2695">
        <w:rPr>
          <w:rFonts w:ascii="Segoe UI" w:eastAsia="Calibri" w:hAnsi="Segoe UI" w:cs="Segoe UI"/>
          <w:sz w:val="20"/>
          <w:szCs w:val="20"/>
        </w:rPr>
        <w:t>k stabilizácii verejných financií a k eliminácii negatívnych vplyvov na vývoj hospodárenia SR. Konsolidačné opatrenia na výdavkovej strane rozpočtu obsahujú najmä:</w:t>
      </w:r>
    </w:p>
    <w:p w14:paraId="257183BD" w14:textId="77777777" w:rsidR="0079289C" w:rsidRPr="008C2695" w:rsidRDefault="0079289C" w:rsidP="0079289C">
      <w:pPr>
        <w:pStyle w:val="Odsekzoznamu"/>
        <w:numPr>
          <w:ilvl w:val="0"/>
          <w:numId w:val="16"/>
        </w:numPr>
      </w:pPr>
      <w:r w:rsidRPr="008C2695">
        <w:t>viazanie výdavkov na úrovni 5 % viazania osobných výdavkov,</w:t>
      </w:r>
    </w:p>
    <w:p w14:paraId="0ED7B065" w14:textId="77777777" w:rsidR="0079289C" w:rsidRPr="008C2695" w:rsidRDefault="0079289C" w:rsidP="0079289C">
      <w:pPr>
        <w:pStyle w:val="Odsekzoznamu"/>
        <w:numPr>
          <w:ilvl w:val="0"/>
          <w:numId w:val="16"/>
        </w:numPr>
      </w:pPr>
      <w:r w:rsidRPr="008C2695">
        <w:t>nulovú valorizáciu platov v roku 2024,</w:t>
      </w:r>
    </w:p>
    <w:p w14:paraId="0396D827" w14:textId="77777777" w:rsidR="0079289C" w:rsidRPr="008C2695" w:rsidRDefault="0079289C" w:rsidP="0079289C">
      <w:pPr>
        <w:pStyle w:val="Odsekzoznamu"/>
        <w:numPr>
          <w:ilvl w:val="0"/>
          <w:numId w:val="16"/>
        </w:numPr>
      </w:pPr>
      <w:r w:rsidRPr="008C2695">
        <w:t xml:space="preserve">zníženie percentuálneho podielu </w:t>
      </w:r>
      <w:proofErr w:type="spellStart"/>
      <w:r w:rsidRPr="008C2695">
        <w:t>nárokovateľného</w:t>
      </w:r>
      <w:proofErr w:type="spellEnd"/>
      <w:r w:rsidRPr="008C2695">
        <w:t xml:space="preserve"> príspevku na HDP RTVS,</w:t>
      </w:r>
    </w:p>
    <w:p w14:paraId="4CEF1241" w14:textId="77777777" w:rsidR="0079289C" w:rsidRPr="008C2695" w:rsidRDefault="0079289C" w:rsidP="0079289C">
      <w:pPr>
        <w:pStyle w:val="Odsekzoznamu"/>
        <w:numPr>
          <w:ilvl w:val="0"/>
          <w:numId w:val="16"/>
        </w:numPr>
      </w:pPr>
      <w:r w:rsidRPr="008C2695">
        <w:t>zrušenie podpory zníženia koncovej ceny elektriny pre podniky.</w:t>
      </w:r>
    </w:p>
    <w:p w14:paraId="12753C1A" w14:textId="7B99D080" w:rsidR="002858A0" w:rsidRPr="0079188A" w:rsidRDefault="002858A0" w:rsidP="002858A0">
      <w:pPr>
        <w:rPr>
          <w:rFonts w:cs="Segoe UI"/>
          <w:b/>
          <w:szCs w:val="20"/>
        </w:rPr>
      </w:pPr>
      <w:r w:rsidRPr="008C2695">
        <w:rPr>
          <w:b/>
        </w:rPr>
        <w:t>Na základe výšky navrhovaných výdavko</w:t>
      </w:r>
      <w:r w:rsidR="0079289C">
        <w:rPr>
          <w:b/>
        </w:rPr>
        <w:t>v</w:t>
      </w:r>
      <w:r w:rsidRPr="008C2695">
        <w:rPr>
          <w:b/>
        </w:rPr>
        <w:t xml:space="preserve"> v </w:t>
      </w:r>
      <w:r w:rsidRPr="008C2695">
        <w:rPr>
          <w:rFonts w:cs="Segoe UI"/>
          <w:b/>
          <w:szCs w:val="20"/>
        </w:rPr>
        <w:t xml:space="preserve"> jednotlivých oblastiach verejných politík, po zohľadnení konsolidačných opatrení, NKÚ SR konštatuje, že navrhovaná výška výdavkov zabezpečí ich </w:t>
      </w:r>
      <w:r w:rsidR="00494DDB">
        <w:rPr>
          <w:rFonts w:cs="Segoe UI"/>
          <w:b/>
          <w:szCs w:val="20"/>
        </w:rPr>
        <w:t>realizáciu</w:t>
      </w:r>
      <w:r w:rsidR="008C2695">
        <w:rPr>
          <w:rFonts w:cs="Segoe UI"/>
          <w:b/>
          <w:szCs w:val="20"/>
        </w:rPr>
        <w:t xml:space="preserve"> </w:t>
      </w:r>
      <w:r w:rsidR="008C2695">
        <w:rPr>
          <w:rFonts w:cs="Segoe UI"/>
          <w:szCs w:val="20"/>
        </w:rPr>
        <w:t>(tabuľka 8)</w:t>
      </w:r>
      <w:r w:rsidRPr="00424B2A">
        <w:rPr>
          <w:rFonts w:cs="Segoe UI"/>
          <w:szCs w:val="20"/>
        </w:rPr>
        <w:t>.</w:t>
      </w:r>
    </w:p>
    <w:p w14:paraId="477E00B4" w14:textId="65749A5B" w:rsidR="00A93D2D" w:rsidRPr="0083385B" w:rsidRDefault="00A93D2D" w:rsidP="00A93D2D">
      <w:pPr>
        <w:keepNext/>
        <w:spacing w:after="0"/>
        <w:rPr>
          <w:rFonts w:eastAsia="Calibri" w:cs="Times New Roman"/>
          <w:b/>
          <w:iCs/>
          <w:color w:val="314364"/>
          <w:szCs w:val="18"/>
        </w:rPr>
      </w:pPr>
      <w:r w:rsidRPr="0083385B">
        <w:rPr>
          <w:rFonts w:eastAsia="Calibri" w:cs="Times New Roman"/>
          <w:b/>
          <w:iCs/>
          <w:color w:val="314364"/>
          <w:szCs w:val="18"/>
        </w:rPr>
        <w:t xml:space="preserve">Tabuľka </w:t>
      </w:r>
      <w:r w:rsidR="00423642">
        <w:rPr>
          <w:rFonts w:eastAsia="Calibri" w:cs="Times New Roman"/>
          <w:b/>
          <w:iCs/>
          <w:color w:val="314364"/>
          <w:szCs w:val="18"/>
        </w:rPr>
        <w:t>8</w:t>
      </w:r>
      <w:r w:rsidRPr="0083385B">
        <w:rPr>
          <w:rFonts w:eastAsia="Calibri" w:cs="Times New Roman"/>
          <w:b/>
          <w:iCs/>
          <w:color w:val="314364"/>
          <w:szCs w:val="18"/>
        </w:rPr>
        <w:t xml:space="preserve">: Výdavky </w:t>
      </w:r>
      <w:r>
        <w:rPr>
          <w:rFonts w:eastAsia="Calibri" w:cs="Times New Roman"/>
          <w:b/>
          <w:iCs/>
          <w:color w:val="314364"/>
          <w:szCs w:val="18"/>
        </w:rPr>
        <w:t>štátneho rozpočtu</w:t>
      </w:r>
      <w:r w:rsidRPr="0083385B">
        <w:rPr>
          <w:rFonts w:eastAsia="Calibri" w:cs="Times New Roman"/>
          <w:b/>
          <w:iCs/>
          <w:color w:val="314364"/>
          <w:szCs w:val="18"/>
        </w:rPr>
        <w:t xml:space="preserve"> podľa </w:t>
      </w:r>
      <w:r>
        <w:rPr>
          <w:rFonts w:eastAsia="Calibri" w:cs="Times New Roman"/>
          <w:b/>
          <w:iCs/>
          <w:color w:val="314364"/>
          <w:szCs w:val="18"/>
        </w:rPr>
        <w:t>funkčnej</w:t>
      </w:r>
      <w:r w:rsidRPr="0083385B">
        <w:rPr>
          <w:rFonts w:eastAsia="Calibri" w:cs="Times New Roman"/>
          <w:b/>
          <w:iCs/>
          <w:color w:val="314364"/>
          <w:szCs w:val="18"/>
        </w:rPr>
        <w:t xml:space="preserve"> klasifikácie </w:t>
      </w:r>
      <w:r>
        <w:rPr>
          <w:rFonts w:eastAsia="Calibri" w:cs="Times New Roman"/>
          <w:b/>
          <w:iCs/>
          <w:color w:val="314364"/>
          <w:szCs w:val="18"/>
        </w:rPr>
        <w:t xml:space="preserve">COFOG </w:t>
      </w:r>
      <w:r w:rsidRPr="0083385B">
        <w:rPr>
          <w:rFonts w:eastAsia="Calibri" w:cs="Times New Roman"/>
          <w:b/>
          <w:iCs/>
          <w:color w:val="314364"/>
          <w:szCs w:val="18"/>
        </w:rPr>
        <w:t>(v mil. eur)</w:t>
      </w:r>
    </w:p>
    <w:tbl>
      <w:tblPr>
        <w:tblW w:w="5000" w:type="pct"/>
        <w:tblBorders>
          <w:bottom w:val="single" w:sz="4" w:space="0" w:color="314364" w:themeColor="text2"/>
        </w:tblBorders>
        <w:tblCellMar>
          <w:left w:w="70" w:type="dxa"/>
          <w:right w:w="70" w:type="dxa"/>
        </w:tblCellMar>
        <w:tblLook w:val="04A0" w:firstRow="1" w:lastRow="0" w:firstColumn="1" w:lastColumn="0" w:noHBand="0" w:noVBand="1"/>
      </w:tblPr>
      <w:tblGrid>
        <w:gridCol w:w="3485"/>
        <w:gridCol w:w="887"/>
        <w:gridCol w:w="903"/>
        <w:gridCol w:w="1087"/>
        <w:gridCol w:w="1313"/>
        <w:gridCol w:w="1395"/>
      </w:tblGrid>
      <w:tr w:rsidR="00A93D2D" w:rsidRPr="00D1081E" w14:paraId="252D6D24" w14:textId="77777777" w:rsidTr="001813E9">
        <w:trPr>
          <w:trHeight w:val="283"/>
        </w:trPr>
        <w:tc>
          <w:tcPr>
            <w:tcW w:w="1921" w:type="pct"/>
            <w:shd w:val="clear" w:color="auto" w:fill="314364"/>
            <w:noWrap/>
            <w:vAlign w:val="center"/>
            <w:hideMark/>
          </w:tcPr>
          <w:p w14:paraId="47EDCD89" w14:textId="77777777" w:rsidR="00A93D2D" w:rsidRPr="00380979" w:rsidRDefault="00A93D2D" w:rsidP="001813E9">
            <w:pPr>
              <w:spacing w:after="0"/>
              <w:jc w:val="left"/>
              <w:rPr>
                <w:rFonts w:eastAsia="Times New Roman" w:cs="Segoe UI"/>
                <w:b/>
                <w:bCs/>
                <w:color w:val="FFFFFF" w:themeColor="background1"/>
                <w:sz w:val="18"/>
                <w:szCs w:val="18"/>
                <w:lang w:eastAsia="sk-SK"/>
              </w:rPr>
            </w:pPr>
            <w:r w:rsidRPr="00380979">
              <w:rPr>
                <w:rFonts w:eastAsia="Times New Roman" w:cs="Segoe UI"/>
                <w:b/>
                <w:bCs/>
                <w:color w:val="FFFFFF" w:themeColor="background1"/>
                <w:sz w:val="18"/>
                <w:szCs w:val="18"/>
                <w:lang w:eastAsia="sk-SK"/>
              </w:rPr>
              <w:t>Ukazovateľ (v mil. eur)</w:t>
            </w:r>
          </w:p>
        </w:tc>
        <w:tc>
          <w:tcPr>
            <w:tcW w:w="489" w:type="pct"/>
            <w:shd w:val="clear" w:color="auto" w:fill="314364"/>
            <w:noWrap/>
            <w:vAlign w:val="center"/>
            <w:hideMark/>
          </w:tcPr>
          <w:p w14:paraId="08F2D9F0" w14:textId="77777777" w:rsidR="00A93D2D" w:rsidRPr="00380979" w:rsidRDefault="00A93D2D" w:rsidP="001813E9">
            <w:pPr>
              <w:spacing w:after="0"/>
              <w:jc w:val="right"/>
              <w:rPr>
                <w:rFonts w:eastAsia="Times New Roman" w:cs="Segoe UI"/>
                <w:b/>
                <w:bCs/>
                <w:color w:val="FFFFFF" w:themeColor="background1"/>
                <w:sz w:val="18"/>
                <w:szCs w:val="18"/>
                <w:lang w:eastAsia="sk-SK"/>
              </w:rPr>
            </w:pPr>
            <w:r w:rsidRPr="00380979">
              <w:rPr>
                <w:rFonts w:eastAsia="Times New Roman" w:cs="Segoe UI"/>
                <w:b/>
                <w:bCs/>
                <w:color w:val="FFFFFF" w:themeColor="background1"/>
                <w:sz w:val="18"/>
                <w:szCs w:val="18"/>
                <w:lang w:eastAsia="sk-SK"/>
              </w:rPr>
              <w:t>S 2022</w:t>
            </w:r>
          </w:p>
        </w:tc>
        <w:tc>
          <w:tcPr>
            <w:tcW w:w="498" w:type="pct"/>
            <w:shd w:val="clear" w:color="auto" w:fill="314364"/>
            <w:vAlign w:val="center"/>
            <w:hideMark/>
          </w:tcPr>
          <w:p w14:paraId="679F8581" w14:textId="77777777" w:rsidR="00A93D2D" w:rsidRPr="00380979" w:rsidRDefault="00A93D2D" w:rsidP="001813E9">
            <w:pPr>
              <w:spacing w:after="0"/>
              <w:jc w:val="right"/>
              <w:rPr>
                <w:rFonts w:eastAsia="Times New Roman" w:cs="Segoe UI"/>
                <w:b/>
                <w:bCs/>
                <w:color w:val="FFFFFF" w:themeColor="background1"/>
                <w:sz w:val="18"/>
                <w:szCs w:val="18"/>
                <w:lang w:eastAsia="sk-SK"/>
              </w:rPr>
            </w:pPr>
            <w:r w:rsidRPr="00380979">
              <w:rPr>
                <w:rFonts w:eastAsia="Times New Roman" w:cs="Segoe UI"/>
                <w:b/>
                <w:bCs/>
                <w:color w:val="FFFFFF" w:themeColor="background1"/>
                <w:sz w:val="18"/>
                <w:szCs w:val="18"/>
                <w:lang w:eastAsia="sk-SK"/>
              </w:rPr>
              <w:t>R 2023</w:t>
            </w:r>
          </w:p>
        </w:tc>
        <w:tc>
          <w:tcPr>
            <w:tcW w:w="599" w:type="pct"/>
            <w:shd w:val="clear" w:color="auto" w:fill="314364"/>
            <w:vAlign w:val="center"/>
            <w:hideMark/>
          </w:tcPr>
          <w:p w14:paraId="6DD1A457" w14:textId="77777777" w:rsidR="00A93D2D" w:rsidRPr="00380979" w:rsidRDefault="00A93D2D" w:rsidP="001813E9">
            <w:pPr>
              <w:spacing w:after="0"/>
              <w:jc w:val="right"/>
              <w:rPr>
                <w:rFonts w:eastAsia="Times New Roman" w:cs="Segoe UI"/>
                <w:b/>
                <w:bCs/>
                <w:color w:val="FFFFFF" w:themeColor="background1"/>
                <w:sz w:val="18"/>
                <w:szCs w:val="18"/>
                <w:lang w:eastAsia="sk-SK"/>
              </w:rPr>
            </w:pPr>
            <w:r w:rsidRPr="00380979">
              <w:rPr>
                <w:rFonts w:eastAsia="Times New Roman" w:cs="Segoe UI"/>
                <w:b/>
                <w:bCs/>
                <w:color w:val="FFFFFF" w:themeColor="background1"/>
                <w:sz w:val="18"/>
                <w:szCs w:val="18"/>
                <w:lang w:eastAsia="sk-SK"/>
              </w:rPr>
              <w:t>NR 2024</w:t>
            </w:r>
          </w:p>
        </w:tc>
        <w:tc>
          <w:tcPr>
            <w:tcW w:w="724" w:type="pct"/>
            <w:shd w:val="clear" w:color="auto" w:fill="314364"/>
            <w:vAlign w:val="center"/>
            <w:hideMark/>
          </w:tcPr>
          <w:p w14:paraId="1E9A8ED3" w14:textId="77777777" w:rsidR="00A93D2D" w:rsidRPr="00380979" w:rsidRDefault="00A93D2D" w:rsidP="001813E9">
            <w:pPr>
              <w:spacing w:after="0"/>
              <w:jc w:val="right"/>
              <w:rPr>
                <w:rFonts w:eastAsia="Times New Roman" w:cs="Segoe UI"/>
                <w:b/>
                <w:bCs/>
                <w:color w:val="FFFFFF" w:themeColor="background1"/>
                <w:sz w:val="18"/>
                <w:szCs w:val="18"/>
                <w:lang w:eastAsia="sk-SK"/>
              </w:rPr>
            </w:pPr>
            <w:r w:rsidRPr="00380979">
              <w:rPr>
                <w:rFonts w:eastAsia="Times New Roman" w:cs="Segoe UI"/>
                <w:b/>
                <w:bCs/>
                <w:color w:val="FFFFFF" w:themeColor="background1"/>
                <w:sz w:val="18"/>
                <w:szCs w:val="18"/>
                <w:lang w:eastAsia="sk-SK"/>
              </w:rPr>
              <w:t>2024-2023</w:t>
            </w:r>
          </w:p>
        </w:tc>
        <w:tc>
          <w:tcPr>
            <w:tcW w:w="769" w:type="pct"/>
            <w:shd w:val="clear" w:color="auto" w:fill="314364"/>
            <w:vAlign w:val="center"/>
            <w:hideMark/>
          </w:tcPr>
          <w:p w14:paraId="2A65F9D0" w14:textId="77777777" w:rsidR="00A93D2D" w:rsidRPr="00380979" w:rsidRDefault="00A93D2D" w:rsidP="001813E9">
            <w:pPr>
              <w:spacing w:after="0"/>
              <w:jc w:val="right"/>
              <w:rPr>
                <w:rFonts w:eastAsia="Times New Roman" w:cs="Segoe UI"/>
                <w:b/>
                <w:bCs/>
                <w:color w:val="FFFFFF" w:themeColor="background1"/>
                <w:sz w:val="18"/>
                <w:szCs w:val="18"/>
                <w:lang w:eastAsia="sk-SK"/>
              </w:rPr>
            </w:pPr>
            <w:r w:rsidRPr="00380979">
              <w:rPr>
                <w:rFonts w:eastAsia="Times New Roman" w:cs="Segoe UI"/>
                <w:b/>
                <w:bCs/>
                <w:color w:val="FFFFFF" w:themeColor="background1"/>
                <w:sz w:val="18"/>
                <w:szCs w:val="18"/>
                <w:lang w:eastAsia="sk-SK"/>
              </w:rPr>
              <w:t>2024/2023</w:t>
            </w:r>
          </w:p>
        </w:tc>
      </w:tr>
      <w:tr w:rsidR="00A93D2D" w:rsidRPr="00D1081E" w14:paraId="3C1A7177" w14:textId="77777777" w:rsidTr="001813E9">
        <w:trPr>
          <w:trHeight w:val="283"/>
        </w:trPr>
        <w:tc>
          <w:tcPr>
            <w:tcW w:w="1921" w:type="pct"/>
            <w:shd w:val="clear" w:color="auto" w:fill="auto"/>
            <w:noWrap/>
            <w:vAlign w:val="center"/>
          </w:tcPr>
          <w:p w14:paraId="5AC0C9FB" w14:textId="77777777" w:rsidR="00A93D2D" w:rsidRPr="00380979" w:rsidRDefault="00A93D2D" w:rsidP="001813E9">
            <w:pPr>
              <w:spacing w:after="0"/>
              <w:jc w:val="left"/>
              <w:rPr>
                <w:rFonts w:eastAsia="Times New Roman" w:cs="Segoe UI"/>
                <w:bCs/>
                <w:sz w:val="18"/>
                <w:szCs w:val="18"/>
                <w:lang w:eastAsia="sk-SK"/>
              </w:rPr>
            </w:pPr>
            <w:r w:rsidRPr="00380979">
              <w:rPr>
                <w:rFonts w:eastAsia="Times New Roman" w:cs="Segoe UI"/>
                <w:bCs/>
                <w:sz w:val="18"/>
                <w:szCs w:val="18"/>
                <w:lang w:eastAsia="sk-SK"/>
              </w:rPr>
              <w:t>Všeobecné verejné služby</w:t>
            </w:r>
          </w:p>
        </w:tc>
        <w:tc>
          <w:tcPr>
            <w:tcW w:w="489" w:type="pct"/>
            <w:shd w:val="clear" w:color="auto" w:fill="auto"/>
            <w:noWrap/>
            <w:vAlign w:val="center"/>
          </w:tcPr>
          <w:p w14:paraId="31117C19" w14:textId="77777777" w:rsidR="00A93D2D" w:rsidRPr="00380979" w:rsidRDefault="00A93D2D" w:rsidP="001813E9">
            <w:pPr>
              <w:spacing w:after="0"/>
              <w:jc w:val="right"/>
              <w:rPr>
                <w:rFonts w:eastAsia="Times New Roman" w:cs="Segoe UI"/>
                <w:bCs/>
                <w:sz w:val="18"/>
                <w:szCs w:val="18"/>
                <w:lang w:eastAsia="sk-SK"/>
              </w:rPr>
            </w:pPr>
            <w:r w:rsidRPr="00380979">
              <w:rPr>
                <w:rFonts w:eastAsia="Times New Roman" w:cs="Segoe UI"/>
                <w:bCs/>
                <w:sz w:val="18"/>
                <w:szCs w:val="18"/>
                <w:lang w:eastAsia="sk-SK"/>
              </w:rPr>
              <w:t>4 850</w:t>
            </w:r>
          </w:p>
        </w:tc>
        <w:tc>
          <w:tcPr>
            <w:tcW w:w="498" w:type="pct"/>
            <w:shd w:val="clear" w:color="auto" w:fill="auto"/>
            <w:vAlign w:val="center"/>
          </w:tcPr>
          <w:p w14:paraId="06D2A3BA" w14:textId="77777777" w:rsidR="00A93D2D" w:rsidRPr="00380979" w:rsidRDefault="00A93D2D" w:rsidP="001813E9">
            <w:pPr>
              <w:spacing w:after="0"/>
              <w:jc w:val="right"/>
              <w:rPr>
                <w:rFonts w:eastAsia="Times New Roman" w:cs="Segoe UI"/>
                <w:color w:val="000000"/>
                <w:sz w:val="18"/>
                <w:szCs w:val="18"/>
                <w:lang w:eastAsia="sk-SK"/>
              </w:rPr>
            </w:pPr>
            <w:r w:rsidRPr="00380979">
              <w:rPr>
                <w:rFonts w:eastAsia="Times New Roman" w:cs="Segoe UI"/>
                <w:color w:val="000000"/>
                <w:sz w:val="18"/>
                <w:szCs w:val="18"/>
                <w:lang w:eastAsia="sk-SK"/>
              </w:rPr>
              <w:t xml:space="preserve">8 571 </w:t>
            </w:r>
          </w:p>
        </w:tc>
        <w:tc>
          <w:tcPr>
            <w:tcW w:w="599" w:type="pct"/>
            <w:shd w:val="clear" w:color="auto" w:fill="auto"/>
            <w:vAlign w:val="center"/>
          </w:tcPr>
          <w:p w14:paraId="59DFC579" w14:textId="77777777" w:rsidR="00A93D2D" w:rsidRPr="00380979" w:rsidRDefault="00A93D2D" w:rsidP="001813E9">
            <w:pPr>
              <w:spacing w:after="0"/>
              <w:jc w:val="right"/>
              <w:rPr>
                <w:rFonts w:eastAsia="Times New Roman" w:cs="Segoe UI"/>
                <w:bCs/>
                <w:color w:val="000000"/>
                <w:sz w:val="18"/>
                <w:szCs w:val="18"/>
                <w:lang w:eastAsia="sk-SK"/>
              </w:rPr>
            </w:pPr>
            <w:r>
              <w:rPr>
                <w:rFonts w:eastAsia="Times New Roman" w:cs="Segoe UI"/>
                <w:bCs/>
                <w:color w:val="000000"/>
                <w:sz w:val="18"/>
                <w:szCs w:val="18"/>
                <w:lang w:eastAsia="sk-SK"/>
              </w:rPr>
              <w:t>6 431</w:t>
            </w:r>
          </w:p>
        </w:tc>
        <w:tc>
          <w:tcPr>
            <w:tcW w:w="724" w:type="pct"/>
            <w:shd w:val="clear" w:color="auto" w:fill="auto"/>
            <w:vAlign w:val="center"/>
          </w:tcPr>
          <w:p w14:paraId="78A7A7EB" w14:textId="77777777" w:rsidR="00A93D2D" w:rsidRPr="00380979" w:rsidRDefault="00A93D2D" w:rsidP="001813E9">
            <w:pPr>
              <w:spacing w:after="0"/>
              <w:jc w:val="right"/>
              <w:rPr>
                <w:rFonts w:eastAsia="Times New Roman" w:cs="Segoe UI"/>
                <w:color w:val="000000"/>
                <w:sz w:val="18"/>
                <w:szCs w:val="18"/>
                <w:lang w:eastAsia="sk-SK"/>
              </w:rPr>
            </w:pPr>
            <w:r>
              <w:rPr>
                <w:rFonts w:eastAsia="Times New Roman" w:cs="Segoe UI"/>
                <w:color w:val="000000"/>
                <w:sz w:val="18"/>
                <w:szCs w:val="18"/>
                <w:lang w:eastAsia="sk-SK"/>
              </w:rPr>
              <w:t>-2 140</w:t>
            </w:r>
          </w:p>
        </w:tc>
        <w:tc>
          <w:tcPr>
            <w:tcW w:w="769" w:type="pct"/>
            <w:shd w:val="clear" w:color="auto" w:fill="auto"/>
            <w:vAlign w:val="center"/>
          </w:tcPr>
          <w:p w14:paraId="52E1D0F7" w14:textId="77777777" w:rsidR="00A93D2D" w:rsidRPr="00380979" w:rsidRDefault="00A93D2D" w:rsidP="001813E9">
            <w:pPr>
              <w:spacing w:after="0"/>
              <w:jc w:val="right"/>
              <w:rPr>
                <w:rFonts w:eastAsia="Times New Roman" w:cs="Segoe UI"/>
                <w:color w:val="000000"/>
                <w:sz w:val="18"/>
                <w:szCs w:val="18"/>
                <w:lang w:eastAsia="sk-SK"/>
              </w:rPr>
            </w:pPr>
            <w:r>
              <w:rPr>
                <w:rFonts w:eastAsia="Times New Roman" w:cs="Segoe UI"/>
                <w:color w:val="000000"/>
                <w:sz w:val="18"/>
                <w:szCs w:val="18"/>
                <w:lang w:eastAsia="sk-SK"/>
              </w:rPr>
              <w:t>75,0 %</w:t>
            </w:r>
          </w:p>
        </w:tc>
      </w:tr>
      <w:tr w:rsidR="00A93D2D" w:rsidRPr="00D1081E" w14:paraId="4860C246" w14:textId="77777777" w:rsidTr="001813E9">
        <w:trPr>
          <w:trHeight w:val="283"/>
        </w:trPr>
        <w:tc>
          <w:tcPr>
            <w:tcW w:w="1921" w:type="pct"/>
            <w:shd w:val="clear" w:color="auto" w:fill="auto"/>
            <w:noWrap/>
            <w:vAlign w:val="center"/>
          </w:tcPr>
          <w:p w14:paraId="5D7FC4FC" w14:textId="77777777" w:rsidR="00A93D2D" w:rsidRPr="00380979" w:rsidRDefault="00A93D2D" w:rsidP="001813E9">
            <w:pPr>
              <w:spacing w:after="0"/>
              <w:jc w:val="left"/>
              <w:rPr>
                <w:rFonts w:eastAsia="Times New Roman" w:cs="Segoe UI"/>
                <w:bCs/>
                <w:sz w:val="18"/>
                <w:szCs w:val="18"/>
                <w:lang w:eastAsia="sk-SK"/>
              </w:rPr>
            </w:pPr>
            <w:r w:rsidRPr="00380979">
              <w:rPr>
                <w:rFonts w:eastAsia="Times New Roman" w:cs="Segoe UI"/>
                <w:bCs/>
                <w:sz w:val="18"/>
                <w:szCs w:val="18"/>
                <w:lang w:eastAsia="sk-SK"/>
              </w:rPr>
              <w:t>Obrana</w:t>
            </w:r>
          </w:p>
        </w:tc>
        <w:tc>
          <w:tcPr>
            <w:tcW w:w="489" w:type="pct"/>
            <w:shd w:val="clear" w:color="auto" w:fill="auto"/>
            <w:noWrap/>
            <w:vAlign w:val="center"/>
          </w:tcPr>
          <w:p w14:paraId="09B4E0D3" w14:textId="77777777" w:rsidR="00A93D2D" w:rsidRPr="00380979" w:rsidRDefault="00A93D2D" w:rsidP="001813E9">
            <w:pPr>
              <w:spacing w:after="0"/>
              <w:jc w:val="right"/>
              <w:rPr>
                <w:rFonts w:eastAsia="Times New Roman" w:cs="Segoe UI"/>
                <w:bCs/>
                <w:sz w:val="18"/>
                <w:szCs w:val="18"/>
                <w:lang w:eastAsia="sk-SK"/>
              </w:rPr>
            </w:pPr>
            <w:r w:rsidRPr="00380979">
              <w:rPr>
                <w:rFonts w:eastAsia="Times New Roman" w:cs="Segoe UI"/>
                <w:bCs/>
                <w:sz w:val="18"/>
                <w:szCs w:val="18"/>
                <w:lang w:eastAsia="sk-SK"/>
              </w:rPr>
              <w:t>1 930</w:t>
            </w:r>
          </w:p>
        </w:tc>
        <w:tc>
          <w:tcPr>
            <w:tcW w:w="498" w:type="pct"/>
            <w:shd w:val="clear" w:color="auto" w:fill="auto"/>
            <w:vAlign w:val="center"/>
          </w:tcPr>
          <w:p w14:paraId="7B21B9FE" w14:textId="77777777" w:rsidR="00A93D2D" w:rsidRPr="00380979" w:rsidRDefault="00A93D2D" w:rsidP="001813E9">
            <w:pPr>
              <w:spacing w:after="0"/>
              <w:jc w:val="right"/>
              <w:rPr>
                <w:rFonts w:eastAsia="Times New Roman" w:cs="Segoe UI"/>
                <w:color w:val="000000"/>
                <w:sz w:val="18"/>
                <w:szCs w:val="18"/>
                <w:lang w:eastAsia="sk-SK"/>
              </w:rPr>
            </w:pPr>
            <w:r w:rsidRPr="00380979">
              <w:rPr>
                <w:rFonts w:eastAsia="Times New Roman" w:cs="Segoe UI"/>
                <w:color w:val="000000"/>
                <w:sz w:val="18"/>
                <w:szCs w:val="18"/>
                <w:lang w:eastAsia="sk-SK"/>
              </w:rPr>
              <w:t xml:space="preserve">1 980 </w:t>
            </w:r>
          </w:p>
        </w:tc>
        <w:tc>
          <w:tcPr>
            <w:tcW w:w="599" w:type="pct"/>
            <w:shd w:val="clear" w:color="auto" w:fill="auto"/>
            <w:vAlign w:val="center"/>
          </w:tcPr>
          <w:p w14:paraId="57E94014" w14:textId="77777777" w:rsidR="00A93D2D" w:rsidRPr="00380979" w:rsidRDefault="00A93D2D" w:rsidP="001813E9">
            <w:pPr>
              <w:spacing w:after="0"/>
              <w:jc w:val="right"/>
              <w:rPr>
                <w:rFonts w:eastAsia="Times New Roman" w:cs="Segoe UI"/>
                <w:bCs/>
                <w:color w:val="000000"/>
                <w:sz w:val="18"/>
                <w:szCs w:val="18"/>
                <w:lang w:eastAsia="sk-SK"/>
              </w:rPr>
            </w:pPr>
            <w:r>
              <w:rPr>
                <w:rFonts w:eastAsia="Times New Roman" w:cs="Segoe UI"/>
                <w:bCs/>
                <w:color w:val="000000"/>
                <w:sz w:val="18"/>
                <w:szCs w:val="18"/>
                <w:lang w:eastAsia="sk-SK"/>
              </w:rPr>
              <w:t>2 481</w:t>
            </w:r>
          </w:p>
        </w:tc>
        <w:tc>
          <w:tcPr>
            <w:tcW w:w="724" w:type="pct"/>
            <w:shd w:val="clear" w:color="auto" w:fill="auto"/>
            <w:vAlign w:val="center"/>
          </w:tcPr>
          <w:p w14:paraId="2A4C3461" w14:textId="77777777" w:rsidR="00A93D2D" w:rsidRPr="00380979" w:rsidRDefault="00A93D2D" w:rsidP="001813E9">
            <w:pPr>
              <w:spacing w:after="0"/>
              <w:jc w:val="right"/>
              <w:rPr>
                <w:rFonts w:eastAsia="Times New Roman" w:cs="Segoe UI"/>
                <w:color w:val="000000"/>
                <w:sz w:val="18"/>
                <w:szCs w:val="18"/>
                <w:lang w:eastAsia="sk-SK"/>
              </w:rPr>
            </w:pPr>
            <w:r>
              <w:rPr>
                <w:rFonts w:eastAsia="Times New Roman" w:cs="Segoe UI"/>
                <w:color w:val="000000"/>
                <w:sz w:val="18"/>
                <w:szCs w:val="18"/>
                <w:lang w:eastAsia="sk-SK"/>
              </w:rPr>
              <w:t>502</w:t>
            </w:r>
          </w:p>
        </w:tc>
        <w:tc>
          <w:tcPr>
            <w:tcW w:w="769" w:type="pct"/>
            <w:shd w:val="clear" w:color="auto" w:fill="auto"/>
            <w:vAlign w:val="center"/>
          </w:tcPr>
          <w:p w14:paraId="48824368" w14:textId="77777777" w:rsidR="00A93D2D" w:rsidRPr="00380979" w:rsidRDefault="00A93D2D" w:rsidP="001813E9">
            <w:pPr>
              <w:spacing w:after="0"/>
              <w:jc w:val="right"/>
              <w:rPr>
                <w:rFonts w:eastAsia="Times New Roman" w:cs="Segoe UI"/>
                <w:color w:val="000000"/>
                <w:sz w:val="18"/>
                <w:szCs w:val="18"/>
                <w:lang w:eastAsia="sk-SK"/>
              </w:rPr>
            </w:pPr>
            <w:r>
              <w:rPr>
                <w:rFonts w:eastAsia="Times New Roman" w:cs="Segoe UI"/>
                <w:color w:val="000000"/>
                <w:sz w:val="18"/>
                <w:szCs w:val="18"/>
                <w:lang w:eastAsia="sk-SK"/>
              </w:rPr>
              <w:t>125,3 %</w:t>
            </w:r>
          </w:p>
        </w:tc>
      </w:tr>
      <w:tr w:rsidR="00A93D2D" w:rsidRPr="00D1081E" w14:paraId="72B6FC50" w14:textId="77777777" w:rsidTr="001813E9">
        <w:trPr>
          <w:trHeight w:val="283"/>
        </w:trPr>
        <w:tc>
          <w:tcPr>
            <w:tcW w:w="1921" w:type="pct"/>
            <w:shd w:val="clear" w:color="auto" w:fill="auto"/>
            <w:noWrap/>
            <w:vAlign w:val="center"/>
          </w:tcPr>
          <w:p w14:paraId="4309DAEF" w14:textId="77777777" w:rsidR="00A93D2D" w:rsidRPr="00380979" w:rsidRDefault="00A93D2D" w:rsidP="001813E9">
            <w:pPr>
              <w:spacing w:after="0"/>
              <w:jc w:val="left"/>
              <w:rPr>
                <w:rFonts w:eastAsia="Times New Roman" w:cs="Segoe UI"/>
                <w:bCs/>
                <w:sz w:val="18"/>
                <w:szCs w:val="18"/>
                <w:lang w:eastAsia="sk-SK"/>
              </w:rPr>
            </w:pPr>
            <w:r w:rsidRPr="00380979">
              <w:rPr>
                <w:rFonts w:eastAsia="Times New Roman" w:cs="Segoe UI"/>
                <w:bCs/>
                <w:sz w:val="18"/>
                <w:szCs w:val="18"/>
                <w:lang w:eastAsia="sk-SK"/>
              </w:rPr>
              <w:t>Verejný poriadok a bezpečnosť</w:t>
            </w:r>
          </w:p>
        </w:tc>
        <w:tc>
          <w:tcPr>
            <w:tcW w:w="489" w:type="pct"/>
            <w:shd w:val="clear" w:color="auto" w:fill="auto"/>
            <w:noWrap/>
            <w:vAlign w:val="center"/>
          </w:tcPr>
          <w:p w14:paraId="6C20E50E" w14:textId="77777777" w:rsidR="00A93D2D" w:rsidRPr="00380979" w:rsidRDefault="00A93D2D" w:rsidP="001813E9">
            <w:pPr>
              <w:spacing w:after="0"/>
              <w:jc w:val="right"/>
              <w:rPr>
                <w:rFonts w:eastAsia="Times New Roman" w:cs="Segoe UI"/>
                <w:bCs/>
                <w:sz w:val="18"/>
                <w:szCs w:val="18"/>
                <w:lang w:eastAsia="sk-SK"/>
              </w:rPr>
            </w:pPr>
            <w:r w:rsidRPr="00380979">
              <w:rPr>
                <w:rFonts w:eastAsia="Times New Roman" w:cs="Segoe UI"/>
                <w:bCs/>
                <w:sz w:val="18"/>
                <w:szCs w:val="18"/>
                <w:lang w:eastAsia="sk-SK"/>
              </w:rPr>
              <w:t>2 359</w:t>
            </w:r>
          </w:p>
        </w:tc>
        <w:tc>
          <w:tcPr>
            <w:tcW w:w="498" w:type="pct"/>
            <w:shd w:val="clear" w:color="auto" w:fill="auto"/>
            <w:vAlign w:val="center"/>
          </w:tcPr>
          <w:p w14:paraId="450028F2" w14:textId="77777777" w:rsidR="00A93D2D" w:rsidRPr="00380979" w:rsidRDefault="00A93D2D" w:rsidP="001813E9">
            <w:pPr>
              <w:spacing w:after="0"/>
              <w:jc w:val="right"/>
              <w:rPr>
                <w:rFonts w:eastAsia="Times New Roman" w:cs="Segoe UI"/>
                <w:color w:val="000000"/>
                <w:sz w:val="18"/>
                <w:szCs w:val="18"/>
                <w:lang w:eastAsia="sk-SK"/>
              </w:rPr>
            </w:pPr>
            <w:r w:rsidRPr="00380979">
              <w:rPr>
                <w:rFonts w:eastAsia="Times New Roman" w:cs="Segoe UI"/>
                <w:color w:val="000000"/>
                <w:sz w:val="18"/>
                <w:szCs w:val="18"/>
                <w:lang w:eastAsia="sk-SK"/>
              </w:rPr>
              <w:t xml:space="preserve">2 646 </w:t>
            </w:r>
          </w:p>
        </w:tc>
        <w:tc>
          <w:tcPr>
            <w:tcW w:w="599" w:type="pct"/>
            <w:shd w:val="clear" w:color="auto" w:fill="auto"/>
            <w:vAlign w:val="center"/>
          </w:tcPr>
          <w:p w14:paraId="322FA441" w14:textId="77777777" w:rsidR="00A93D2D" w:rsidRPr="00380979" w:rsidRDefault="00A93D2D" w:rsidP="001813E9">
            <w:pPr>
              <w:spacing w:after="0"/>
              <w:jc w:val="right"/>
              <w:rPr>
                <w:rFonts w:eastAsia="Times New Roman" w:cs="Segoe UI"/>
                <w:bCs/>
                <w:color w:val="000000"/>
                <w:sz w:val="18"/>
                <w:szCs w:val="18"/>
                <w:lang w:eastAsia="sk-SK"/>
              </w:rPr>
            </w:pPr>
            <w:r>
              <w:rPr>
                <w:rFonts w:eastAsia="Times New Roman" w:cs="Segoe UI"/>
                <w:bCs/>
                <w:color w:val="000000"/>
                <w:sz w:val="18"/>
                <w:szCs w:val="18"/>
                <w:lang w:eastAsia="sk-SK"/>
              </w:rPr>
              <w:t>2 668</w:t>
            </w:r>
          </w:p>
        </w:tc>
        <w:tc>
          <w:tcPr>
            <w:tcW w:w="724" w:type="pct"/>
            <w:shd w:val="clear" w:color="auto" w:fill="auto"/>
            <w:vAlign w:val="center"/>
          </w:tcPr>
          <w:p w14:paraId="68BD315F" w14:textId="77777777" w:rsidR="00A93D2D" w:rsidRPr="00380979" w:rsidRDefault="00A93D2D" w:rsidP="001813E9">
            <w:pPr>
              <w:spacing w:after="0"/>
              <w:jc w:val="right"/>
              <w:rPr>
                <w:rFonts w:eastAsia="Times New Roman" w:cs="Segoe UI"/>
                <w:color w:val="000000"/>
                <w:sz w:val="18"/>
                <w:szCs w:val="18"/>
                <w:lang w:eastAsia="sk-SK"/>
              </w:rPr>
            </w:pPr>
            <w:r>
              <w:rPr>
                <w:rFonts w:eastAsia="Times New Roman" w:cs="Segoe UI"/>
                <w:color w:val="000000"/>
                <w:sz w:val="18"/>
                <w:szCs w:val="18"/>
                <w:lang w:eastAsia="sk-SK"/>
              </w:rPr>
              <w:t>21</w:t>
            </w:r>
          </w:p>
        </w:tc>
        <w:tc>
          <w:tcPr>
            <w:tcW w:w="769" w:type="pct"/>
            <w:shd w:val="clear" w:color="auto" w:fill="auto"/>
            <w:vAlign w:val="center"/>
          </w:tcPr>
          <w:p w14:paraId="3D1BE899" w14:textId="77777777" w:rsidR="00A93D2D" w:rsidRPr="00380979" w:rsidRDefault="00A93D2D" w:rsidP="001813E9">
            <w:pPr>
              <w:spacing w:after="0"/>
              <w:jc w:val="right"/>
              <w:rPr>
                <w:rFonts w:eastAsia="Times New Roman" w:cs="Segoe UI"/>
                <w:color w:val="000000"/>
                <w:sz w:val="18"/>
                <w:szCs w:val="18"/>
                <w:lang w:eastAsia="sk-SK"/>
              </w:rPr>
            </w:pPr>
            <w:r>
              <w:rPr>
                <w:rFonts w:eastAsia="Times New Roman" w:cs="Segoe UI"/>
                <w:color w:val="000000"/>
                <w:sz w:val="18"/>
                <w:szCs w:val="18"/>
                <w:lang w:eastAsia="sk-SK"/>
              </w:rPr>
              <w:t>100,8 %</w:t>
            </w:r>
          </w:p>
        </w:tc>
      </w:tr>
      <w:tr w:rsidR="00A93D2D" w:rsidRPr="00D1081E" w14:paraId="4D20A026" w14:textId="77777777" w:rsidTr="001813E9">
        <w:trPr>
          <w:trHeight w:val="283"/>
        </w:trPr>
        <w:tc>
          <w:tcPr>
            <w:tcW w:w="1921" w:type="pct"/>
            <w:shd w:val="clear" w:color="auto" w:fill="auto"/>
            <w:noWrap/>
            <w:vAlign w:val="center"/>
          </w:tcPr>
          <w:p w14:paraId="70FA74E2" w14:textId="77777777" w:rsidR="00A93D2D" w:rsidRPr="00380979" w:rsidRDefault="00A93D2D" w:rsidP="001813E9">
            <w:pPr>
              <w:spacing w:after="0"/>
              <w:jc w:val="left"/>
              <w:rPr>
                <w:rFonts w:eastAsia="Times New Roman" w:cs="Segoe UI"/>
                <w:bCs/>
                <w:sz w:val="18"/>
                <w:szCs w:val="18"/>
                <w:lang w:eastAsia="sk-SK"/>
              </w:rPr>
            </w:pPr>
            <w:r w:rsidRPr="00380979">
              <w:rPr>
                <w:rFonts w:eastAsia="Times New Roman" w:cs="Segoe UI"/>
                <w:bCs/>
                <w:sz w:val="18"/>
                <w:szCs w:val="18"/>
                <w:lang w:eastAsia="sk-SK"/>
              </w:rPr>
              <w:t>Ekonomická oblasť</w:t>
            </w:r>
          </w:p>
        </w:tc>
        <w:tc>
          <w:tcPr>
            <w:tcW w:w="489" w:type="pct"/>
            <w:shd w:val="clear" w:color="auto" w:fill="auto"/>
            <w:noWrap/>
            <w:vAlign w:val="center"/>
          </w:tcPr>
          <w:p w14:paraId="5362EAA0" w14:textId="77777777" w:rsidR="00A93D2D" w:rsidRPr="00380979" w:rsidRDefault="00A93D2D" w:rsidP="001813E9">
            <w:pPr>
              <w:spacing w:after="0"/>
              <w:jc w:val="right"/>
              <w:rPr>
                <w:rFonts w:eastAsia="Times New Roman" w:cs="Segoe UI"/>
                <w:bCs/>
                <w:sz w:val="18"/>
                <w:szCs w:val="18"/>
                <w:lang w:eastAsia="sk-SK"/>
              </w:rPr>
            </w:pPr>
            <w:r w:rsidRPr="00380979">
              <w:rPr>
                <w:rFonts w:eastAsia="Times New Roman" w:cs="Segoe UI"/>
                <w:bCs/>
                <w:sz w:val="18"/>
                <w:szCs w:val="18"/>
                <w:lang w:eastAsia="sk-SK"/>
              </w:rPr>
              <w:t>4 291</w:t>
            </w:r>
          </w:p>
        </w:tc>
        <w:tc>
          <w:tcPr>
            <w:tcW w:w="498" w:type="pct"/>
            <w:shd w:val="clear" w:color="auto" w:fill="auto"/>
            <w:vAlign w:val="center"/>
          </w:tcPr>
          <w:p w14:paraId="14CFE4F4" w14:textId="77777777" w:rsidR="00A93D2D" w:rsidRPr="00380979" w:rsidRDefault="00A93D2D" w:rsidP="001813E9">
            <w:pPr>
              <w:spacing w:after="0"/>
              <w:jc w:val="right"/>
              <w:rPr>
                <w:rFonts w:eastAsia="Times New Roman" w:cs="Segoe UI"/>
                <w:color w:val="000000"/>
                <w:sz w:val="18"/>
                <w:szCs w:val="18"/>
                <w:lang w:eastAsia="sk-SK"/>
              </w:rPr>
            </w:pPr>
            <w:r w:rsidRPr="00380979">
              <w:rPr>
                <w:rFonts w:eastAsia="Times New Roman" w:cs="Segoe UI"/>
                <w:color w:val="000000"/>
                <w:sz w:val="18"/>
                <w:szCs w:val="18"/>
                <w:lang w:eastAsia="sk-SK"/>
              </w:rPr>
              <w:t xml:space="preserve">9 508 </w:t>
            </w:r>
          </w:p>
        </w:tc>
        <w:tc>
          <w:tcPr>
            <w:tcW w:w="599" w:type="pct"/>
            <w:shd w:val="clear" w:color="auto" w:fill="auto"/>
            <w:vAlign w:val="center"/>
          </w:tcPr>
          <w:p w14:paraId="068F1C8A" w14:textId="77777777" w:rsidR="00A93D2D" w:rsidRPr="00380979" w:rsidRDefault="00A93D2D" w:rsidP="001813E9">
            <w:pPr>
              <w:spacing w:after="0"/>
              <w:jc w:val="right"/>
              <w:rPr>
                <w:rFonts w:eastAsia="Times New Roman" w:cs="Segoe UI"/>
                <w:bCs/>
                <w:color w:val="000000"/>
                <w:sz w:val="18"/>
                <w:szCs w:val="18"/>
                <w:lang w:eastAsia="sk-SK"/>
              </w:rPr>
            </w:pPr>
            <w:r>
              <w:rPr>
                <w:rFonts w:eastAsia="Times New Roman" w:cs="Segoe UI"/>
                <w:bCs/>
                <w:color w:val="000000"/>
                <w:sz w:val="18"/>
                <w:szCs w:val="18"/>
                <w:lang w:eastAsia="sk-SK"/>
              </w:rPr>
              <w:t>4 763</w:t>
            </w:r>
          </w:p>
        </w:tc>
        <w:tc>
          <w:tcPr>
            <w:tcW w:w="724" w:type="pct"/>
            <w:shd w:val="clear" w:color="auto" w:fill="auto"/>
            <w:vAlign w:val="center"/>
          </w:tcPr>
          <w:p w14:paraId="3B46A0F1" w14:textId="77777777" w:rsidR="00A93D2D" w:rsidRPr="00380979" w:rsidRDefault="00A93D2D" w:rsidP="001813E9">
            <w:pPr>
              <w:spacing w:after="0"/>
              <w:jc w:val="right"/>
              <w:rPr>
                <w:rFonts w:eastAsia="Times New Roman" w:cs="Segoe UI"/>
                <w:color w:val="000000"/>
                <w:sz w:val="18"/>
                <w:szCs w:val="18"/>
                <w:lang w:eastAsia="sk-SK"/>
              </w:rPr>
            </w:pPr>
            <w:r>
              <w:rPr>
                <w:rFonts w:eastAsia="Times New Roman" w:cs="Segoe UI"/>
                <w:color w:val="000000"/>
                <w:sz w:val="18"/>
                <w:szCs w:val="18"/>
                <w:lang w:eastAsia="sk-SK"/>
              </w:rPr>
              <w:t>-4 745</w:t>
            </w:r>
          </w:p>
        </w:tc>
        <w:tc>
          <w:tcPr>
            <w:tcW w:w="769" w:type="pct"/>
            <w:shd w:val="clear" w:color="auto" w:fill="auto"/>
            <w:vAlign w:val="center"/>
          </w:tcPr>
          <w:p w14:paraId="1F9909FB" w14:textId="77777777" w:rsidR="00A93D2D" w:rsidRPr="00380979" w:rsidRDefault="00A93D2D" w:rsidP="001813E9">
            <w:pPr>
              <w:spacing w:after="0"/>
              <w:jc w:val="right"/>
              <w:rPr>
                <w:rFonts w:eastAsia="Times New Roman" w:cs="Segoe UI"/>
                <w:color w:val="000000"/>
                <w:sz w:val="18"/>
                <w:szCs w:val="18"/>
                <w:lang w:eastAsia="sk-SK"/>
              </w:rPr>
            </w:pPr>
            <w:r>
              <w:rPr>
                <w:rFonts w:eastAsia="Times New Roman" w:cs="Segoe UI"/>
                <w:color w:val="000000"/>
                <w:sz w:val="18"/>
                <w:szCs w:val="18"/>
                <w:lang w:eastAsia="sk-SK"/>
              </w:rPr>
              <w:t>50,1 %</w:t>
            </w:r>
          </w:p>
        </w:tc>
      </w:tr>
      <w:tr w:rsidR="00A93D2D" w:rsidRPr="00D1081E" w14:paraId="347F03E0" w14:textId="77777777" w:rsidTr="001813E9">
        <w:trPr>
          <w:trHeight w:val="283"/>
        </w:trPr>
        <w:tc>
          <w:tcPr>
            <w:tcW w:w="1921" w:type="pct"/>
            <w:shd w:val="clear" w:color="auto" w:fill="auto"/>
            <w:noWrap/>
            <w:vAlign w:val="center"/>
          </w:tcPr>
          <w:p w14:paraId="77ACB3F5" w14:textId="77777777" w:rsidR="00A93D2D" w:rsidRPr="00380979" w:rsidRDefault="00A93D2D" w:rsidP="001813E9">
            <w:pPr>
              <w:spacing w:after="0"/>
              <w:jc w:val="left"/>
              <w:rPr>
                <w:rFonts w:eastAsia="Times New Roman" w:cs="Segoe UI"/>
                <w:bCs/>
                <w:sz w:val="18"/>
                <w:szCs w:val="18"/>
                <w:lang w:eastAsia="sk-SK"/>
              </w:rPr>
            </w:pPr>
            <w:r w:rsidRPr="00380979">
              <w:rPr>
                <w:rFonts w:eastAsia="Times New Roman" w:cs="Segoe UI"/>
                <w:bCs/>
                <w:sz w:val="18"/>
                <w:szCs w:val="18"/>
                <w:lang w:eastAsia="sk-SK"/>
              </w:rPr>
              <w:t>Ochrana životného prostredia</w:t>
            </w:r>
          </w:p>
        </w:tc>
        <w:tc>
          <w:tcPr>
            <w:tcW w:w="489" w:type="pct"/>
            <w:shd w:val="clear" w:color="auto" w:fill="auto"/>
            <w:noWrap/>
            <w:vAlign w:val="center"/>
          </w:tcPr>
          <w:p w14:paraId="3780BC42" w14:textId="77777777" w:rsidR="00A93D2D" w:rsidRPr="00380979" w:rsidRDefault="00A93D2D" w:rsidP="001813E9">
            <w:pPr>
              <w:spacing w:after="0"/>
              <w:jc w:val="right"/>
              <w:rPr>
                <w:rFonts w:eastAsia="Times New Roman" w:cs="Segoe UI"/>
                <w:bCs/>
                <w:sz w:val="18"/>
                <w:szCs w:val="18"/>
                <w:lang w:eastAsia="sk-SK"/>
              </w:rPr>
            </w:pPr>
            <w:r w:rsidRPr="00380979">
              <w:rPr>
                <w:rFonts w:eastAsia="Times New Roman" w:cs="Segoe UI"/>
                <w:bCs/>
                <w:sz w:val="18"/>
                <w:szCs w:val="18"/>
                <w:lang w:eastAsia="sk-SK"/>
              </w:rPr>
              <w:t>438</w:t>
            </w:r>
          </w:p>
        </w:tc>
        <w:tc>
          <w:tcPr>
            <w:tcW w:w="498" w:type="pct"/>
            <w:shd w:val="clear" w:color="auto" w:fill="auto"/>
            <w:vAlign w:val="center"/>
          </w:tcPr>
          <w:p w14:paraId="60C30C5D" w14:textId="77777777" w:rsidR="00A93D2D" w:rsidRPr="00380979" w:rsidRDefault="00A93D2D" w:rsidP="001813E9">
            <w:pPr>
              <w:spacing w:after="0"/>
              <w:jc w:val="right"/>
              <w:rPr>
                <w:rFonts w:eastAsia="Times New Roman" w:cs="Segoe UI"/>
                <w:color w:val="000000"/>
                <w:sz w:val="18"/>
                <w:szCs w:val="18"/>
                <w:lang w:eastAsia="sk-SK"/>
              </w:rPr>
            </w:pPr>
            <w:r w:rsidRPr="00380979">
              <w:rPr>
                <w:rFonts w:eastAsia="Times New Roman" w:cs="Segoe UI"/>
                <w:color w:val="000000"/>
                <w:sz w:val="18"/>
                <w:szCs w:val="18"/>
                <w:lang w:eastAsia="sk-SK"/>
              </w:rPr>
              <w:t xml:space="preserve">1 490 </w:t>
            </w:r>
          </w:p>
        </w:tc>
        <w:tc>
          <w:tcPr>
            <w:tcW w:w="599" w:type="pct"/>
            <w:shd w:val="clear" w:color="auto" w:fill="auto"/>
            <w:vAlign w:val="center"/>
          </w:tcPr>
          <w:p w14:paraId="35BE2434" w14:textId="77777777" w:rsidR="00A93D2D" w:rsidRPr="00380979" w:rsidRDefault="00A93D2D" w:rsidP="001813E9">
            <w:pPr>
              <w:spacing w:after="0"/>
              <w:jc w:val="right"/>
              <w:rPr>
                <w:rFonts w:eastAsia="Times New Roman" w:cs="Segoe UI"/>
                <w:bCs/>
                <w:color w:val="000000"/>
                <w:sz w:val="18"/>
                <w:szCs w:val="18"/>
                <w:lang w:eastAsia="sk-SK"/>
              </w:rPr>
            </w:pPr>
            <w:r>
              <w:rPr>
                <w:rFonts w:eastAsia="Times New Roman" w:cs="Segoe UI"/>
                <w:bCs/>
                <w:color w:val="000000"/>
                <w:sz w:val="18"/>
                <w:szCs w:val="18"/>
                <w:lang w:eastAsia="sk-SK"/>
              </w:rPr>
              <w:t>266</w:t>
            </w:r>
          </w:p>
        </w:tc>
        <w:tc>
          <w:tcPr>
            <w:tcW w:w="724" w:type="pct"/>
            <w:shd w:val="clear" w:color="auto" w:fill="auto"/>
            <w:vAlign w:val="center"/>
          </w:tcPr>
          <w:p w14:paraId="5A7F9F41" w14:textId="77777777" w:rsidR="00A93D2D" w:rsidRPr="00380979" w:rsidRDefault="00A93D2D" w:rsidP="001813E9">
            <w:pPr>
              <w:spacing w:after="0"/>
              <w:jc w:val="right"/>
              <w:rPr>
                <w:rFonts w:eastAsia="Times New Roman" w:cs="Segoe UI"/>
                <w:color w:val="000000"/>
                <w:sz w:val="18"/>
                <w:szCs w:val="18"/>
                <w:lang w:eastAsia="sk-SK"/>
              </w:rPr>
            </w:pPr>
            <w:r>
              <w:rPr>
                <w:rFonts w:eastAsia="Times New Roman" w:cs="Segoe UI"/>
                <w:color w:val="000000"/>
                <w:sz w:val="18"/>
                <w:szCs w:val="18"/>
                <w:lang w:eastAsia="sk-SK"/>
              </w:rPr>
              <w:t>-1 224</w:t>
            </w:r>
          </w:p>
        </w:tc>
        <w:tc>
          <w:tcPr>
            <w:tcW w:w="769" w:type="pct"/>
            <w:shd w:val="clear" w:color="auto" w:fill="auto"/>
            <w:vAlign w:val="center"/>
          </w:tcPr>
          <w:p w14:paraId="6D0D5B93" w14:textId="77777777" w:rsidR="00A93D2D" w:rsidRPr="00380979" w:rsidRDefault="00A93D2D" w:rsidP="001813E9">
            <w:pPr>
              <w:spacing w:after="0"/>
              <w:jc w:val="right"/>
              <w:rPr>
                <w:rFonts w:eastAsia="Times New Roman" w:cs="Segoe UI"/>
                <w:color w:val="000000"/>
                <w:sz w:val="18"/>
                <w:szCs w:val="18"/>
                <w:lang w:eastAsia="sk-SK"/>
              </w:rPr>
            </w:pPr>
            <w:r>
              <w:rPr>
                <w:rFonts w:eastAsia="Times New Roman" w:cs="Segoe UI"/>
                <w:color w:val="000000"/>
                <w:sz w:val="18"/>
                <w:szCs w:val="18"/>
                <w:lang w:eastAsia="sk-SK"/>
              </w:rPr>
              <w:t>17,8 %</w:t>
            </w:r>
          </w:p>
        </w:tc>
      </w:tr>
      <w:tr w:rsidR="00A93D2D" w:rsidRPr="00D1081E" w14:paraId="2E9CBE80" w14:textId="77777777" w:rsidTr="001813E9">
        <w:trPr>
          <w:trHeight w:val="283"/>
        </w:trPr>
        <w:tc>
          <w:tcPr>
            <w:tcW w:w="1921" w:type="pct"/>
            <w:shd w:val="clear" w:color="auto" w:fill="auto"/>
            <w:noWrap/>
            <w:vAlign w:val="center"/>
          </w:tcPr>
          <w:p w14:paraId="07C46A64" w14:textId="77777777" w:rsidR="00A93D2D" w:rsidRPr="00380979" w:rsidRDefault="00A93D2D" w:rsidP="001813E9">
            <w:pPr>
              <w:spacing w:after="0"/>
              <w:jc w:val="left"/>
              <w:rPr>
                <w:rFonts w:eastAsia="Times New Roman" w:cs="Segoe UI"/>
                <w:bCs/>
                <w:sz w:val="18"/>
                <w:szCs w:val="18"/>
                <w:lang w:eastAsia="sk-SK"/>
              </w:rPr>
            </w:pPr>
            <w:r w:rsidRPr="00380979">
              <w:rPr>
                <w:rFonts w:eastAsia="Times New Roman" w:cs="Segoe UI"/>
                <w:bCs/>
                <w:sz w:val="18"/>
                <w:szCs w:val="18"/>
                <w:lang w:eastAsia="sk-SK"/>
              </w:rPr>
              <w:t>Bývanie a občianska vybavenosť</w:t>
            </w:r>
          </w:p>
        </w:tc>
        <w:tc>
          <w:tcPr>
            <w:tcW w:w="489" w:type="pct"/>
            <w:shd w:val="clear" w:color="auto" w:fill="auto"/>
            <w:noWrap/>
            <w:vAlign w:val="center"/>
          </w:tcPr>
          <w:p w14:paraId="153232C8" w14:textId="77777777" w:rsidR="00A93D2D" w:rsidRPr="00380979" w:rsidRDefault="00A93D2D" w:rsidP="001813E9">
            <w:pPr>
              <w:spacing w:after="0"/>
              <w:jc w:val="right"/>
              <w:rPr>
                <w:rFonts w:eastAsia="Times New Roman" w:cs="Segoe UI"/>
                <w:bCs/>
                <w:sz w:val="18"/>
                <w:szCs w:val="18"/>
                <w:lang w:eastAsia="sk-SK"/>
              </w:rPr>
            </w:pPr>
            <w:r w:rsidRPr="00380979">
              <w:rPr>
                <w:rFonts w:eastAsia="Times New Roman" w:cs="Segoe UI"/>
                <w:bCs/>
                <w:sz w:val="18"/>
                <w:szCs w:val="18"/>
                <w:lang w:eastAsia="sk-SK"/>
              </w:rPr>
              <w:t>103</w:t>
            </w:r>
          </w:p>
        </w:tc>
        <w:tc>
          <w:tcPr>
            <w:tcW w:w="498" w:type="pct"/>
            <w:shd w:val="clear" w:color="auto" w:fill="auto"/>
            <w:vAlign w:val="center"/>
          </w:tcPr>
          <w:p w14:paraId="41D2DBD4" w14:textId="77777777" w:rsidR="00A93D2D" w:rsidRPr="00380979" w:rsidRDefault="00A93D2D" w:rsidP="001813E9">
            <w:pPr>
              <w:spacing w:after="0"/>
              <w:jc w:val="right"/>
              <w:rPr>
                <w:rFonts w:eastAsia="Times New Roman" w:cs="Segoe UI"/>
                <w:color w:val="000000"/>
                <w:sz w:val="18"/>
                <w:szCs w:val="18"/>
                <w:lang w:eastAsia="sk-SK"/>
              </w:rPr>
            </w:pPr>
            <w:r w:rsidRPr="00380979">
              <w:rPr>
                <w:rFonts w:eastAsia="Times New Roman" w:cs="Segoe UI"/>
                <w:color w:val="000000"/>
                <w:sz w:val="18"/>
                <w:szCs w:val="18"/>
                <w:lang w:eastAsia="sk-SK"/>
              </w:rPr>
              <w:t xml:space="preserve">469 </w:t>
            </w:r>
          </w:p>
        </w:tc>
        <w:tc>
          <w:tcPr>
            <w:tcW w:w="599" w:type="pct"/>
            <w:shd w:val="clear" w:color="auto" w:fill="auto"/>
            <w:vAlign w:val="center"/>
          </w:tcPr>
          <w:p w14:paraId="51481E32" w14:textId="77777777" w:rsidR="00A93D2D" w:rsidRPr="00380979" w:rsidRDefault="00A93D2D" w:rsidP="001813E9">
            <w:pPr>
              <w:spacing w:after="0"/>
              <w:jc w:val="right"/>
              <w:rPr>
                <w:rFonts w:eastAsia="Times New Roman" w:cs="Segoe UI"/>
                <w:bCs/>
                <w:color w:val="000000"/>
                <w:sz w:val="18"/>
                <w:szCs w:val="18"/>
                <w:lang w:eastAsia="sk-SK"/>
              </w:rPr>
            </w:pPr>
            <w:r>
              <w:rPr>
                <w:rFonts w:eastAsia="Times New Roman" w:cs="Segoe UI"/>
                <w:bCs/>
                <w:color w:val="000000"/>
                <w:sz w:val="18"/>
                <w:szCs w:val="18"/>
                <w:lang w:eastAsia="sk-SK"/>
              </w:rPr>
              <w:t>443</w:t>
            </w:r>
          </w:p>
        </w:tc>
        <w:tc>
          <w:tcPr>
            <w:tcW w:w="724" w:type="pct"/>
            <w:shd w:val="clear" w:color="auto" w:fill="auto"/>
            <w:vAlign w:val="center"/>
          </w:tcPr>
          <w:p w14:paraId="56BB3742" w14:textId="77777777" w:rsidR="00A93D2D" w:rsidRPr="00380979" w:rsidRDefault="00A93D2D" w:rsidP="001813E9">
            <w:pPr>
              <w:spacing w:after="0"/>
              <w:jc w:val="right"/>
              <w:rPr>
                <w:rFonts w:eastAsia="Times New Roman" w:cs="Segoe UI"/>
                <w:color w:val="000000"/>
                <w:sz w:val="18"/>
                <w:szCs w:val="18"/>
                <w:lang w:eastAsia="sk-SK"/>
              </w:rPr>
            </w:pPr>
            <w:r>
              <w:rPr>
                <w:rFonts w:eastAsia="Times New Roman" w:cs="Segoe UI"/>
                <w:color w:val="000000"/>
                <w:sz w:val="18"/>
                <w:szCs w:val="18"/>
                <w:lang w:eastAsia="sk-SK"/>
              </w:rPr>
              <w:t>-26</w:t>
            </w:r>
          </w:p>
        </w:tc>
        <w:tc>
          <w:tcPr>
            <w:tcW w:w="769" w:type="pct"/>
            <w:shd w:val="clear" w:color="auto" w:fill="auto"/>
            <w:vAlign w:val="center"/>
          </w:tcPr>
          <w:p w14:paraId="6743C9AC" w14:textId="77777777" w:rsidR="00A93D2D" w:rsidRPr="00380979" w:rsidRDefault="00A93D2D" w:rsidP="001813E9">
            <w:pPr>
              <w:spacing w:after="0"/>
              <w:jc w:val="right"/>
              <w:rPr>
                <w:rFonts w:eastAsia="Times New Roman" w:cs="Segoe UI"/>
                <w:color w:val="000000"/>
                <w:sz w:val="18"/>
                <w:szCs w:val="18"/>
                <w:lang w:eastAsia="sk-SK"/>
              </w:rPr>
            </w:pPr>
            <w:r>
              <w:rPr>
                <w:rFonts w:eastAsia="Times New Roman" w:cs="Segoe UI"/>
                <w:color w:val="000000"/>
                <w:sz w:val="18"/>
                <w:szCs w:val="18"/>
                <w:lang w:eastAsia="sk-SK"/>
              </w:rPr>
              <w:t>94,4 %</w:t>
            </w:r>
          </w:p>
        </w:tc>
      </w:tr>
      <w:tr w:rsidR="00A93D2D" w:rsidRPr="00D1081E" w14:paraId="7CE15060" w14:textId="77777777" w:rsidTr="001813E9">
        <w:trPr>
          <w:trHeight w:val="283"/>
        </w:trPr>
        <w:tc>
          <w:tcPr>
            <w:tcW w:w="1921" w:type="pct"/>
            <w:shd w:val="clear" w:color="auto" w:fill="auto"/>
            <w:noWrap/>
            <w:vAlign w:val="center"/>
          </w:tcPr>
          <w:p w14:paraId="4E45075F" w14:textId="77777777" w:rsidR="00A93D2D" w:rsidRPr="00380979" w:rsidRDefault="00A93D2D" w:rsidP="001813E9">
            <w:pPr>
              <w:spacing w:after="0"/>
              <w:jc w:val="left"/>
              <w:rPr>
                <w:rFonts w:eastAsia="Times New Roman" w:cs="Segoe UI"/>
                <w:bCs/>
                <w:sz w:val="18"/>
                <w:szCs w:val="18"/>
                <w:lang w:eastAsia="sk-SK"/>
              </w:rPr>
            </w:pPr>
            <w:r w:rsidRPr="00380979">
              <w:rPr>
                <w:rFonts w:eastAsia="Times New Roman" w:cs="Segoe UI"/>
                <w:bCs/>
                <w:sz w:val="18"/>
                <w:szCs w:val="18"/>
                <w:lang w:eastAsia="sk-SK"/>
              </w:rPr>
              <w:t>Zdravotníctvo</w:t>
            </w:r>
          </w:p>
        </w:tc>
        <w:tc>
          <w:tcPr>
            <w:tcW w:w="489" w:type="pct"/>
            <w:shd w:val="clear" w:color="auto" w:fill="auto"/>
            <w:noWrap/>
            <w:vAlign w:val="center"/>
          </w:tcPr>
          <w:p w14:paraId="49389D4E" w14:textId="77777777" w:rsidR="00A93D2D" w:rsidRPr="00380979" w:rsidRDefault="00A93D2D" w:rsidP="001813E9">
            <w:pPr>
              <w:spacing w:after="0"/>
              <w:jc w:val="right"/>
              <w:rPr>
                <w:rFonts w:eastAsia="Times New Roman" w:cs="Segoe UI"/>
                <w:bCs/>
                <w:sz w:val="18"/>
                <w:szCs w:val="18"/>
                <w:lang w:eastAsia="sk-SK"/>
              </w:rPr>
            </w:pPr>
            <w:r w:rsidRPr="00380979">
              <w:rPr>
                <w:rFonts w:eastAsia="Times New Roman" w:cs="Segoe UI"/>
                <w:bCs/>
                <w:sz w:val="18"/>
                <w:szCs w:val="18"/>
                <w:lang w:eastAsia="sk-SK"/>
              </w:rPr>
              <w:t>894</w:t>
            </w:r>
          </w:p>
        </w:tc>
        <w:tc>
          <w:tcPr>
            <w:tcW w:w="498" w:type="pct"/>
            <w:shd w:val="clear" w:color="auto" w:fill="auto"/>
            <w:vAlign w:val="center"/>
          </w:tcPr>
          <w:p w14:paraId="1BF7925A" w14:textId="77777777" w:rsidR="00A93D2D" w:rsidRPr="00380979" w:rsidRDefault="00A93D2D" w:rsidP="001813E9">
            <w:pPr>
              <w:spacing w:after="0"/>
              <w:jc w:val="right"/>
              <w:rPr>
                <w:rFonts w:eastAsia="Times New Roman" w:cs="Segoe UI"/>
                <w:color w:val="000000"/>
                <w:sz w:val="18"/>
                <w:szCs w:val="18"/>
                <w:lang w:eastAsia="sk-SK"/>
              </w:rPr>
            </w:pPr>
            <w:r w:rsidRPr="00380979">
              <w:rPr>
                <w:rFonts w:eastAsia="Times New Roman" w:cs="Segoe UI"/>
                <w:color w:val="000000"/>
                <w:sz w:val="18"/>
                <w:szCs w:val="18"/>
                <w:lang w:eastAsia="sk-SK"/>
              </w:rPr>
              <w:t xml:space="preserve">956 </w:t>
            </w:r>
          </w:p>
        </w:tc>
        <w:tc>
          <w:tcPr>
            <w:tcW w:w="599" w:type="pct"/>
            <w:shd w:val="clear" w:color="auto" w:fill="auto"/>
            <w:vAlign w:val="center"/>
          </w:tcPr>
          <w:p w14:paraId="03B65872" w14:textId="77777777" w:rsidR="00A93D2D" w:rsidRPr="00380979" w:rsidRDefault="00A93D2D" w:rsidP="001813E9">
            <w:pPr>
              <w:spacing w:after="0"/>
              <w:jc w:val="right"/>
              <w:rPr>
                <w:rFonts w:eastAsia="Times New Roman" w:cs="Segoe UI"/>
                <w:bCs/>
                <w:color w:val="000000"/>
                <w:sz w:val="18"/>
                <w:szCs w:val="18"/>
                <w:lang w:eastAsia="sk-SK"/>
              </w:rPr>
            </w:pPr>
            <w:r>
              <w:rPr>
                <w:rFonts w:eastAsia="Times New Roman" w:cs="Segoe UI"/>
                <w:bCs/>
                <w:color w:val="000000"/>
                <w:sz w:val="18"/>
                <w:szCs w:val="18"/>
                <w:lang w:eastAsia="sk-SK"/>
              </w:rPr>
              <w:t>576</w:t>
            </w:r>
          </w:p>
        </w:tc>
        <w:tc>
          <w:tcPr>
            <w:tcW w:w="724" w:type="pct"/>
            <w:shd w:val="clear" w:color="auto" w:fill="auto"/>
            <w:vAlign w:val="center"/>
          </w:tcPr>
          <w:p w14:paraId="056BC76A" w14:textId="77777777" w:rsidR="00A93D2D" w:rsidRPr="00380979" w:rsidRDefault="00A93D2D" w:rsidP="001813E9">
            <w:pPr>
              <w:spacing w:after="0"/>
              <w:jc w:val="right"/>
              <w:rPr>
                <w:rFonts w:eastAsia="Times New Roman" w:cs="Segoe UI"/>
                <w:color w:val="000000"/>
                <w:sz w:val="18"/>
                <w:szCs w:val="18"/>
                <w:lang w:eastAsia="sk-SK"/>
              </w:rPr>
            </w:pPr>
            <w:r>
              <w:rPr>
                <w:rFonts w:eastAsia="Times New Roman" w:cs="Segoe UI"/>
                <w:color w:val="000000"/>
                <w:sz w:val="18"/>
                <w:szCs w:val="18"/>
                <w:lang w:eastAsia="sk-SK"/>
              </w:rPr>
              <w:t>-380</w:t>
            </w:r>
          </w:p>
        </w:tc>
        <w:tc>
          <w:tcPr>
            <w:tcW w:w="769" w:type="pct"/>
            <w:shd w:val="clear" w:color="auto" w:fill="auto"/>
            <w:vAlign w:val="center"/>
          </w:tcPr>
          <w:p w14:paraId="12CDD140" w14:textId="77777777" w:rsidR="00A93D2D" w:rsidRPr="00380979" w:rsidRDefault="00A93D2D" w:rsidP="001813E9">
            <w:pPr>
              <w:spacing w:after="0"/>
              <w:jc w:val="right"/>
              <w:rPr>
                <w:rFonts w:eastAsia="Times New Roman" w:cs="Segoe UI"/>
                <w:color w:val="000000"/>
                <w:sz w:val="18"/>
                <w:szCs w:val="18"/>
                <w:lang w:eastAsia="sk-SK"/>
              </w:rPr>
            </w:pPr>
            <w:r>
              <w:rPr>
                <w:rFonts w:eastAsia="Times New Roman" w:cs="Segoe UI"/>
                <w:color w:val="000000"/>
                <w:sz w:val="18"/>
                <w:szCs w:val="18"/>
                <w:lang w:eastAsia="sk-SK"/>
              </w:rPr>
              <w:t>60,2 %</w:t>
            </w:r>
          </w:p>
        </w:tc>
      </w:tr>
      <w:tr w:rsidR="00A93D2D" w:rsidRPr="00D1081E" w14:paraId="05C87BA5" w14:textId="77777777" w:rsidTr="001813E9">
        <w:trPr>
          <w:trHeight w:val="283"/>
        </w:trPr>
        <w:tc>
          <w:tcPr>
            <w:tcW w:w="1921" w:type="pct"/>
            <w:shd w:val="clear" w:color="auto" w:fill="auto"/>
            <w:noWrap/>
            <w:vAlign w:val="center"/>
          </w:tcPr>
          <w:p w14:paraId="6AD561B1" w14:textId="77777777" w:rsidR="00A93D2D" w:rsidRPr="00380979" w:rsidRDefault="00A93D2D" w:rsidP="001813E9">
            <w:pPr>
              <w:spacing w:after="0"/>
              <w:jc w:val="left"/>
              <w:rPr>
                <w:rFonts w:eastAsia="Times New Roman" w:cs="Segoe UI"/>
                <w:bCs/>
                <w:sz w:val="18"/>
                <w:szCs w:val="18"/>
                <w:lang w:eastAsia="sk-SK"/>
              </w:rPr>
            </w:pPr>
            <w:r w:rsidRPr="00380979">
              <w:rPr>
                <w:rFonts w:eastAsia="Times New Roman" w:cs="Segoe UI"/>
                <w:bCs/>
                <w:sz w:val="18"/>
                <w:szCs w:val="18"/>
                <w:lang w:eastAsia="sk-SK"/>
              </w:rPr>
              <w:t>Rekreácia, kultúra a náboženstvo</w:t>
            </w:r>
          </w:p>
        </w:tc>
        <w:tc>
          <w:tcPr>
            <w:tcW w:w="489" w:type="pct"/>
            <w:shd w:val="clear" w:color="auto" w:fill="auto"/>
            <w:noWrap/>
            <w:vAlign w:val="center"/>
          </w:tcPr>
          <w:p w14:paraId="1711B605" w14:textId="77777777" w:rsidR="00A93D2D" w:rsidRPr="00380979" w:rsidRDefault="00A93D2D" w:rsidP="001813E9">
            <w:pPr>
              <w:spacing w:after="0"/>
              <w:jc w:val="right"/>
              <w:rPr>
                <w:rFonts w:eastAsia="Times New Roman" w:cs="Segoe UI"/>
                <w:bCs/>
                <w:sz w:val="18"/>
                <w:szCs w:val="18"/>
                <w:lang w:eastAsia="sk-SK"/>
              </w:rPr>
            </w:pPr>
            <w:r w:rsidRPr="00380979">
              <w:rPr>
                <w:rFonts w:eastAsia="Times New Roman" w:cs="Segoe UI"/>
                <w:bCs/>
                <w:sz w:val="18"/>
                <w:szCs w:val="18"/>
                <w:lang w:eastAsia="sk-SK"/>
              </w:rPr>
              <w:t>528</w:t>
            </w:r>
          </w:p>
        </w:tc>
        <w:tc>
          <w:tcPr>
            <w:tcW w:w="498" w:type="pct"/>
            <w:shd w:val="clear" w:color="auto" w:fill="auto"/>
            <w:vAlign w:val="center"/>
          </w:tcPr>
          <w:p w14:paraId="1D8094E4" w14:textId="77777777" w:rsidR="00A93D2D" w:rsidRPr="00380979" w:rsidRDefault="00A93D2D" w:rsidP="001813E9">
            <w:pPr>
              <w:spacing w:after="0"/>
              <w:jc w:val="right"/>
              <w:rPr>
                <w:rFonts w:eastAsia="Times New Roman" w:cs="Segoe UI"/>
                <w:color w:val="000000"/>
                <w:sz w:val="18"/>
                <w:szCs w:val="18"/>
                <w:lang w:eastAsia="sk-SK"/>
              </w:rPr>
            </w:pPr>
            <w:r w:rsidRPr="00380979">
              <w:rPr>
                <w:rFonts w:eastAsia="Times New Roman" w:cs="Segoe UI"/>
                <w:color w:val="000000"/>
                <w:sz w:val="18"/>
                <w:szCs w:val="18"/>
                <w:lang w:eastAsia="sk-SK"/>
              </w:rPr>
              <w:t xml:space="preserve">471 </w:t>
            </w:r>
          </w:p>
        </w:tc>
        <w:tc>
          <w:tcPr>
            <w:tcW w:w="599" w:type="pct"/>
            <w:shd w:val="clear" w:color="auto" w:fill="auto"/>
            <w:vAlign w:val="center"/>
          </w:tcPr>
          <w:p w14:paraId="68DCB5B5" w14:textId="77777777" w:rsidR="00A93D2D" w:rsidRPr="00380979" w:rsidRDefault="00A93D2D" w:rsidP="001813E9">
            <w:pPr>
              <w:spacing w:after="0"/>
              <w:jc w:val="right"/>
              <w:rPr>
                <w:rFonts w:eastAsia="Times New Roman" w:cs="Segoe UI"/>
                <w:bCs/>
                <w:color w:val="000000"/>
                <w:sz w:val="18"/>
                <w:szCs w:val="18"/>
                <w:lang w:eastAsia="sk-SK"/>
              </w:rPr>
            </w:pPr>
            <w:r>
              <w:rPr>
                <w:rFonts w:eastAsia="Times New Roman" w:cs="Segoe UI"/>
                <w:bCs/>
                <w:color w:val="000000"/>
                <w:sz w:val="18"/>
                <w:szCs w:val="18"/>
                <w:lang w:eastAsia="sk-SK"/>
              </w:rPr>
              <w:t>597</w:t>
            </w:r>
          </w:p>
        </w:tc>
        <w:tc>
          <w:tcPr>
            <w:tcW w:w="724" w:type="pct"/>
            <w:shd w:val="clear" w:color="auto" w:fill="auto"/>
            <w:vAlign w:val="center"/>
          </w:tcPr>
          <w:p w14:paraId="7633DA82" w14:textId="77777777" w:rsidR="00A93D2D" w:rsidRPr="00380979" w:rsidRDefault="00A93D2D" w:rsidP="001813E9">
            <w:pPr>
              <w:spacing w:after="0"/>
              <w:jc w:val="right"/>
              <w:rPr>
                <w:rFonts w:eastAsia="Times New Roman" w:cs="Segoe UI"/>
                <w:color w:val="000000"/>
                <w:sz w:val="18"/>
                <w:szCs w:val="18"/>
                <w:lang w:eastAsia="sk-SK"/>
              </w:rPr>
            </w:pPr>
            <w:r>
              <w:rPr>
                <w:rFonts w:eastAsia="Times New Roman" w:cs="Segoe UI"/>
                <w:color w:val="000000"/>
                <w:sz w:val="18"/>
                <w:szCs w:val="18"/>
                <w:lang w:eastAsia="sk-SK"/>
              </w:rPr>
              <w:t>126</w:t>
            </w:r>
          </w:p>
        </w:tc>
        <w:tc>
          <w:tcPr>
            <w:tcW w:w="769" w:type="pct"/>
            <w:shd w:val="clear" w:color="auto" w:fill="auto"/>
            <w:vAlign w:val="center"/>
          </w:tcPr>
          <w:p w14:paraId="3E52B3CC" w14:textId="77777777" w:rsidR="00A93D2D" w:rsidRPr="00380979" w:rsidRDefault="00A93D2D" w:rsidP="001813E9">
            <w:pPr>
              <w:spacing w:after="0"/>
              <w:jc w:val="right"/>
              <w:rPr>
                <w:rFonts w:eastAsia="Times New Roman" w:cs="Segoe UI"/>
                <w:color w:val="000000"/>
                <w:sz w:val="18"/>
                <w:szCs w:val="18"/>
                <w:lang w:eastAsia="sk-SK"/>
              </w:rPr>
            </w:pPr>
            <w:r>
              <w:rPr>
                <w:rFonts w:eastAsia="Times New Roman" w:cs="Segoe UI"/>
                <w:color w:val="000000"/>
                <w:sz w:val="18"/>
                <w:szCs w:val="18"/>
                <w:lang w:eastAsia="sk-SK"/>
              </w:rPr>
              <w:t>126,8 %</w:t>
            </w:r>
          </w:p>
        </w:tc>
      </w:tr>
      <w:tr w:rsidR="00A93D2D" w:rsidRPr="00D1081E" w14:paraId="1D15CAF1" w14:textId="77777777" w:rsidTr="001813E9">
        <w:trPr>
          <w:trHeight w:val="283"/>
        </w:trPr>
        <w:tc>
          <w:tcPr>
            <w:tcW w:w="1921" w:type="pct"/>
            <w:shd w:val="clear" w:color="auto" w:fill="auto"/>
            <w:noWrap/>
            <w:vAlign w:val="center"/>
          </w:tcPr>
          <w:p w14:paraId="773C16F2" w14:textId="77777777" w:rsidR="00A93D2D" w:rsidRPr="00380979" w:rsidRDefault="00A93D2D" w:rsidP="001813E9">
            <w:pPr>
              <w:spacing w:after="0"/>
              <w:jc w:val="left"/>
              <w:rPr>
                <w:rFonts w:eastAsia="Times New Roman" w:cs="Segoe UI"/>
                <w:bCs/>
                <w:sz w:val="18"/>
                <w:szCs w:val="18"/>
                <w:lang w:eastAsia="sk-SK"/>
              </w:rPr>
            </w:pPr>
            <w:r w:rsidRPr="00380979">
              <w:rPr>
                <w:rFonts w:eastAsia="Times New Roman" w:cs="Segoe UI"/>
                <w:bCs/>
                <w:sz w:val="18"/>
                <w:szCs w:val="18"/>
                <w:lang w:eastAsia="sk-SK"/>
              </w:rPr>
              <w:t>Vzdelávanie</w:t>
            </w:r>
          </w:p>
        </w:tc>
        <w:tc>
          <w:tcPr>
            <w:tcW w:w="489" w:type="pct"/>
            <w:shd w:val="clear" w:color="auto" w:fill="auto"/>
            <w:noWrap/>
            <w:vAlign w:val="center"/>
          </w:tcPr>
          <w:p w14:paraId="57492FFC" w14:textId="77777777" w:rsidR="00A93D2D" w:rsidRPr="00380979" w:rsidRDefault="00A93D2D" w:rsidP="001813E9">
            <w:pPr>
              <w:spacing w:after="0"/>
              <w:jc w:val="right"/>
              <w:rPr>
                <w:rFonts w:eastAsia="Times New Roman" w:cs="Segoe UI"/>
                <w:bCs/>
                <w:sz w:val="18"/>
                <w:szCs w:val="18"/>
                <w:lang w:eastAsia="sk-SK"/>
              </w:rPr>
            </w:pPr>
            <w:r w:rsidRPr="00380979">
              <w:rPr>
                <w:rFonts w:eastAsia="Times New Roman" w:cs="Segoe UI"/>
                <w:bCs/>
                <w:sz w:val="18"/>
                <w:szCs w:val="18"/>
                <w:lang w:eastAsia="sk-SK"/>
              </w:rPr>
              <w:t>3 027</w:t>
            </w:r>
          </w:p>
        </w:tc>
        <w:tc>
          <w:tcPr>
            <w:tcW w:w="498" w:type="pct"/>
            <w:shd w:val="clear" w:color="auto" w:fill="auto"/>
            <w:vAlign w:val="center"/>
          </w:tcPr>
          <w:p w14:paraId="2DC2A9F2" w14:textId="77777777" w:rsidR="00A93D2D" w:rsidRPr="00380979" w:rsidRDefault="00A93D2D" w:rsidP="001813E9">
            <w:pPr>
              <w:spacing w:after="0"/>
              <w:jc w:val="right"/>
              <w:rPr>
                <w:rFonts w:eastAsia="Times New Roman" w:cs="Segoe UI"/>
                <w:color w:val="000000"/>
                <w:sz w:val="18"/>
                <w:szCs w:val="18"/>
                <w:lang w:eastAsia="sk-SK"/>
              </w:rPr>
            </w:pPr>
            <w:r w:rsidRPr="00380979">
              <w:rPr>
                <w:rFonts w:eastAsia="Times New Roman" w:cs="Segoe UI"/>
                <w:color w:val="000000"/>
                <w:sz w:val="18"/>
                <w:szCs w:val="18"/>
                <w:lang w:eastAsia="sk-SK"/>
              </w:rPr>
              <w:t xml:space="preserve">3 607 </w:t>
            </w:r>
          </w:p>
        </w:tc>
        <w:tc>
          <w:tcPr>
            <w:tcW w:w="599" w:type="pct"/>
            <w:shd w:val="clear" w:color="auto" w:fill="auto"/>
            <w:vAlign w:val="center"/>
          </w:tcPr>
          <w:p w14:paraId="1FFE62C3" w14:textId="77777777" w:rsidR="00A93D2D" w:rsidRPr="00380979" w:rsidRDefault="00A93D2D" w:rsidP="001813E9">
            <w:pPr>
              <w:spacing w:after="0"/>
              <w:jc w:val="right"/>
              <w:rPr>
                <w:rFonts w:eastAsia="Times New Roman" w:cs="Segoe UI"/>
                <w:bCs/>
                <w:color w:val="000000"/>
                <w:sz w:val="18"/>
                <w:szCs w:val="18"/>
                <w:lang w:eastAsia="sk-SK"/>
              </w:rPr>
            </w:pPr>
            <w:r>
              <w:rPr>
                <w:rFonts w:eastAsia="Times New Roman" w:cs="Segoe UI"/>
                <w:bCs/>
                <w:color w:val="000000"/>
                <w:sz w:val="18"/>
                <w:szCs w:val="18"/>
                <w:lang w:eastAsia="sk-SK"/>
              </w:rPr>
              <w:t>3 914</w:t>
            </w:r>
          </w:p>
        </w:tc>
        <w:tc>
          <w:tcPr>
            <w:tcW w:w="724" w:type="pct"/>
            <w:shd w:val="clear" w:color="auto" w:fill="auto"/>
            <w:vAlign w:val="center"/>
          </w:tcPr>
          <w:p w14:paraId="7D1F8F01" w14:textId="77777777" w:rsidR="00A93D2D" w:rsidRPr="00380979" w:rsidRDefault="00A93D2D" w:rsidP="001813E9">
            <w:pPr>
              <w:spacing w:after="0"/>
              <w:jc w:val="right"/>
              <w:rPr>
                <w:rFonts w:eastAsia="Times New Roman" w:cs="Segoe UI"/>
                <w:color w:val="000000"/>
                <w:sz w:val="18"/>
                <w:szCs w:val="18"/>
                <w:lang w:eastAsia="sk-SK"/>
              </w:rPr>
            </w:pPr>
            <w:r>
              <w:rPr>
                <w:rFonts w:eastAsia="Times New Roman" w:cs="Segoe UI"/>
                <w:color w:val="000000"/>
                <w:sz w:val="18"/>
                <w:szCs w:val="18"/>
                <w:lang w:eastAsia="sk-SK"/>
              </w:rPr>
              <w:t>307</w:t>
            </w:r>
          </w:p>
        </w:tc>
        <w:tc>
          <w:tcPr>
            <w:tcW w:w="769" w:type="pct"/>
            <w:shd w:val="clear" w:color="auto" w:fill="auto"/>
            <w:vAlign w:val="center"/>
          </w:tcPr>
          <w:p w14:paraId="3EBE1419" w14:textId="77777777" w:rsidR="00A93D2D" w:rsidRPr="00380979" w:rsidRDefault="00A93D2D" w:rsidP="001813E9">
            <w:pPr>
              <w:spacing w:after="0"/>
              <w:jc w:val="right"/>
              <w:rPr>
                <w:rFonts w:eastAsia="Times New Roman" w:cs="Segoe UI"/>
                <w:color w:val="000000"/>
                <w:sz w:val="18"/>
                <w:szCs w:val="18"/>
                <w:lang w:eastAsia="sk-SK"/>
              </w:rPr>
            </w:pPr>
            <w:r>
              <w:rPr>
                <w:rFonts w:eastAsia="Times New Roman" w:cs="Segoe UI"/>
                <w:color w:val="000000"/>
                <w:sz w:val="18"/>
                <w:szCs w:val="18"/>
                <w:lang w:eastAsia="sk-SK"/>
              </w:rPr>
              <w:t>108,5 %</w:t>
            </w:r>
          </w:p>
        </w:tc>
      </w:tr>
      <w:tr w:rsidR="00A93D2D" w:rsidRPr="00D1081E" w14:paraId="5F360338" w14:textId="77777777" w:rsidTr="001813E9">
        <w:trPr>
          <w:trHeight w:val="283"/>
        </w:trPr>
        <w:tc>
          <w:tcPr>
            <w:tcW w:w="1921" w:type="pct"/>
            <w:shd w:val="clear" w:color="auto" w:fill="auto"/>
            <w:noWrap/>
            <w:vAlign w:val="center"/>
          </w:tcPr>
          <w:p w14:paraId="68173A71" w14:textId="77777777" w:rsidR="00A93D2D" w:rsidRPr="00380979" w:rsidRDefault="00A93D2D" w:rsidP="001813E9">
            <w:pPr>
              <w:spacing w:after="0"/>
              <w:jc w:val="left"/>
              <w:rPr>
                <w:rFonts w:eastAsia="Times New Roman" w:cs="Segoe UI"/>
                <w:bCs/>
                <w:sz w:val="18"/>
                <w:szCs w:val="18"/>
                <w:lang w:eastAsia="sk-SK"/>
              </w:rPr>
            </w:pPr>
            <w:r w:rsidRPr="00380979">
              <w:rPr>
                <w:rFonts w:eastAsia="Times New Roman" w:cs="Segoe UI"/>
                <w:bCs/>
                <w:sz w:val="18"/>
                <w:szCs w:val="18"/>
                <w:lang w:eastAsia="sk-SK"/>
              </w:rPr>
              <w:t>Sociálne zabezpečenie</w:t>
            </w:r>
          </w:p>
        </w:tc>
        <w:tc>
          <w:tcPr>
            <w:tcW w:w="489" w:type="pct"/>
            <w:shd w:val="clear" w:color="auto" w:fill="auto"/>
            <w:noWrap/>
            <w:vAlign w:val="center"/>
          </w:tcPr>
          <w:p w14:paraId="5E29F869" w14:textId="77777777" w:rsidR="00A93D2D" w:rsidRPr="00380979" w:rsidRDefault="00A93D2D" w:rsidP="001813E9">
            <w:pPr>
              <w:spacing w:after="0"/>
              <w:jc w:val="right"/>
              <w:rPr>
                <w:rFonts w:eastAsia="Times New Roman" w:cs="Segoe UI"/>
                <w:bCs/>
                <w:sz w:val="18"/>
                <w:szCs w:val="18"/>
                <w:lang w:eastAsia="sk-SK"/>
              </w:rPr>
            </w:pPr>
            <w:r w:rsidRPr="00380979">
              <w:rPr>
                <w:rFonts w:eastAsia="Times New Roman" w:cs="Segoe UI"/>
                <w:bCs/>
                <w:sz w:val="18"/>
                <w:szCs w:val="18"/>
                <w:lang w:eastAsia="sk-SK"/>
              </w:rPr>
              <w:t>5 134</w:t>
            </w:r>
          </w:p>
        </w:tc>
        <w:tc>
          <w:tcPr>
            <w:tcW w:w="498" w:type="pct"/>
            <w:shd w:val="clear" w:color="auto" w:fill="auto"/>
            <w:vAlign w:val="center"/>
          </w:tcPr>
          <w:p w14:paraId="0B2BBB8D" w14:textId="77777777" w:rsidR="00A93D2D" w:rsidRPr="00380979" w:rsidRDefault="00A93D2D" w:rsidP="001813E9">
            <w:pPr>
              <w:spacing w:after="0"/>
              <w:jc w:val="right"/>
              <w:rPr>
                <w:rFonts w:eastAsia="Times New Roman" w:cs="Segoe UI"/>
                <w:color w:val="000000"/>
                <w:sz w:val="18"/>
                <w:szCs w:val="18"/>
                <w:lang w:eastAsia="sk-SK"/>
              </w:rPr>
            </w:pPr>
            <w:r w:rsidRPr="00380979">
              <w:rPr>
                <w:rFonts w:eastAsia="Times New Roman" w:cs="Segoe UI"/>
                <w:color w:val="000000"/>
                <w:sz w:val="18"/>
                <w:szCs w:val="18"/>
                <w:lang w:eastAsia="sk-SK"/>
              </w:rPr>
              <w:t xml:space="preserve">5 343 </w:t>
            </w:r>
          </w:p>
        </w:tc>
        <w:tc>
          <w:tcPr>
            <w:tcW w:w="599" w:type="pct"/>
            <w:shd w:val="clear" w:color="auto" w:fill="auto"/>
            <w:vAlign w:val="center"/>
          </w:tcPr>
          <w:p w14:paraId="27C6B6D0" w14:textId="77777777" w:rsidR="00A93D2D" w:rsidRPr="00380979" w:rsidRDefault="00A93D2D" w:rsidP="001813E9">
            <w:pPr>
              <w:spacing w:after="0"/>
              <w:jc w:val="right"/>
              <w:rPr>
                <w:rFonts w:eastAsia="Times New Roman" w:cs="Segoe UI"/>
                <w:bCs/>
                <w:color w:val="000000"/>
                <w:sz w:val="18"/>
                <w:szCs w:val="18"/>
                <w:lang w:eastAsia="sk-SK"/>
              </w:rPr>
            </w:pPr>
            <w:r>
              <w:rPr>
                <w:rFonts w:eastAsia="Times New Roman" w:cs="Segoe UI"/>
                <w:bCs/>
                <w:color w:val="000000"/>
                <w:sz w:val="18"/>
                <w:szCs w:val="18"/>
                <w:lang w:eastAsia="sk-SK"/>
              </w:rPr>
              <w:t>8 180</w:t>
            </w:r>
          </w:p>
        </w:tc>
        <w:tc>
          <w:tcPr>
            <w:tcW w:w="724" w:type="pct"/>
            <w:shd w:val="clear" w:color="auto" w:fill="auto"/>
            <w:vAlign w:val="center"/>
          </w:tcPr>
          <w:p w14:paraId="0D6011F2" w14:textId="77777777" w:rsidR="00A93D2D" w:rsidRPr="00380979" w:rsidRDefault="00A93D2D" w:rsidP="001813E9">
            <w:pPr>
              <w:spacing w:after="0"/>
              <w:jc w:val="right"/>
              <w:rPr>
                <w:rFonts w:eastAsia="Times New Roman" w:cs="Segoe UI"/>
                <w:color w:val="000000"/>
                <w:sz w:val="18"/>
                <w:szCs w:val="18"/>
                <w:lang w:eastAsia="sk-SK"/>
              </w:rPr>
            </w:pPr>
            <w:r>
              <w:rPr>
                <w:rFonts w:eastAsia="Times New Roman" w:cs="Segoe UI"/>
                <w:color w:val="000000"/>
                <w:sz w:val="18"/>
                <w:szCs w:val="18"/>
                <w:lang w:eastAsia="sk-SK"/>
              </w:rPr>
              <w:t>2 837</w:t>
            </w:r>
          </w:p>
        </w:tc>
        <w:tc>
          <w:tcPr>
            <w:tcW w:w="769" w:type="pct"/>
            <w:shd w:val="clear" w:color="auto" w:fill="auto"/>
            <w:vAlign w:val="center"/>
          </w:tcPr>
          <w:p w14:paraId="399D3639" w14:textId="77777777" w:rsidR="00A93D2D" w:rsidRPr="00380979" w:rsidRDefault="00A93D2D" w:rsidP="001813E9">
            <w:pPr>
              <w:spacing w:after="0"/>
              <w:jc w:val="right"/>
              <w:rPr>
                <w:rFonts w:eastAsia="Times New Roman" w:cs="Segoe UI"/>
                <w:color w:val="000000"/>
                <w:sz w:val="18"/>
                <w:szCs w:val="18"/>
                <w:lang w:eastAsia="sk-SK"/>
              </w:rPr>
            </w:pPr>
            <w:r>
              <w:rPr>
                <w:rFonts w:eastAsia="Times New Roman" w:cs="Segoe UI"/>
                <w:color w:val="000000"/>
                <w:sz w:val="18"/>
                <w:szCs w:val="18"/>
                <w:lang w:eastAsia="sk-SK"/>
              </w:rPr>
              <w:t>153,1 %</w:t>
            </w:r>
          </w:p>
        </w:tc>
      </w:tr>
      <w:tr w:rsidR="00A93D2D" w:rsidRPr="00D1081E" w14:paraId="2D00FB7A" w14:textId="77777777" w:rsidTr="001813E9">
        <w:trPr>
          <w:trHeight w:val="283"/>
        </w:trPr>
        <w:tc>
          <w:tcPr>
            <w:tcW w:w="1921" w:type="pct"/>
            <w:shd w:val="clear" w:color="auto" w:fill="auto"/>
            <w:noWrap/>
            <w:vAlign w:val="center"/>
          </w:tcPr>
          <w:p w14:paraId="3626655E" w14:textId="77777777" w:rsidR="00A93D2D" w:rsidRPr="00380979" w:rsidRDefault="00A93D2D" w:rsidP="001813E9">
            <w:pPr>
              <w:spacing w:after="0"/>
              <w:jc w:val="left"/>
              <w:rPr>
                <w:rFonts w:eastAsia="Times New Roman" w:cs="Segoe UI"/>
                <w:b/>
                <w:bCs/>
                <w:sz w:val="18"/>
                <w:szCs w:val="18"/>
                <w:lang w:eastAsia="sk-SK"/>
              </w:rPr>
            </w:pPr>
            <w:r w:rsidRPr="00380979">
              <w:rPr>
                <w:rFonts w:eastAsia="Times New Roman" w:cs="Segoe UI"/>
                <w:b/>
                <w:bCs/>
                <w:sz w:val="18"/>
                <w:szCs w:val="18"/>
                <w:lang w:eastAsia="sk-SK"/>
              </w:rPr>
              <w:t>SPOLU</w:t>
            </w:r>
          </w:p>
        </w:tc>
        <w:tc>
          <w:tcPr>
            <w:tcW w:w="489" w:type="pct"/>
            <w:shd w:val="clear" w:color="auto" w:fill="auto"/>
            <w:noWrap/>
            <w:vAlign w:val="center"/>
          </w:tcPr>
          <w:p w14:paraId="7A0BA1CF" w14:textId="77777777" w:rsidR="00A93D2D" w:rsidRPr="00380979" w:rsidRDefault="00A93D2D" w:rsidP="001813E9">
            <w:pPr>
              <w:spacing w:after="0"/>
              <w:jc w:val="right"/>
              <w:rPr>
                <w:rFonts w:eastAsia="Times New Roman" w:cs="Segoe UI"/>
                <w:b/>
                <w:bCs/>
                <w:sz w:val="18"/>
                <w:szCs w:val="18"/>
                <w:lang w:eastAsia="sk-SK"/>
              </w:rPr>
            </w:pPr>
            <w:r w:rsidRPr="00380979">
              <w:rPr>
                <w:rFonts w:eastAsia="Times New Roman" w:cs="Segoe UI"/>
                <w:b/>
                <w:bCs/>
                <w:sz w:val="18"/>
                <w:szCs w:val="18"/>
                <w:lang w:eastAsia="sk-SK"/>
              </w:rPr>
              <w:t>23 555</w:t>
            </w:r>
          </w:p>
        </w:tc>
        <w:tc>
          <w:tcPr>
            <w:tcW w:w="498" w:type="pct"/>
            <w:shd w:val="clear" w:color="auto" w:fill="auto"/>
            <w:vAlign w:val="center"/>
          </w:tcPr>
          <w:p w14:paraId="2B4B7A29" w14:textId="77777777" w:rsidR="00A93D2D" w:rsidRPr="00380979" w:rsidRDefault="00A93D2D" w:rsidP="001813E9">
            <w:pPr>
              <w:spacing w:after="0"/>
              <w:jc w:val="right"/>
              <w:rPr>
                <w:rFonts w:eastAsia="Times New Roman" w:cs="Segoe UI"/>
                <w:b/>
                <w:color w:val="000000"/>
                <w:sz w:val="18"/>
                <w:szCs w:val="18"/>
                <w:lang w:eastAsia="sk-SK"/>
              </w:rPr>
            </w:pPr>
            <w:r w:rsidRPr="00380979">
              <w:rPr>
                <w:rFonts w:eastAsia="Times New Roman" w:cs="Segoe UI"/>
                <w:b/>
                <w:color w:val="000000"/>
                <w:sz w:val="18"/>
                <w:szCs w:val="18"/>
                <w:lang w:eastAsia="sk-SK"/>
              </w:rPr>
              <w:t xml:space="preserve">35 041 </w:t>
            </w:r>
          </w:p>
        </w:tc>
        <w:tc>
          <w:tcPr>
            <w:tcW w:w="599" w:type="pct"/>
            <w:shd w:val="clear" w:color="auto" w:fill="auto"/>
            <w:vAlign w:val="center"/>
          </w:tcPr>
          <w:p w14:paraId="099A4965" w14:textId="77777777" w:rsidR="00A93D2D" w:rsidRPr="00380979" w:rsidRDefault="00A93D2D" w:rsidP="001813E9">
            <w:pPr>
              <w:spacing w:after="0"/>
              <w:jc w:val="right"/>
              <w:rPr>
                <w:rFonts w:eastAsia="Times New Roman" w:cs="Segoe UI"/>
                <w:b/>
                <w:bCs/>
                <w:color w:val="000000"/>
                <w:sz w:val="18"/>
                <w:szCs w:val="18"/>
                <w:lang w:eastAsia="sk-SK"/>
              </w:rPr>
            </w:pPr>
            <w:r>
              <w:rPr>
                <w:rFonts w:eastAsia="Times New Roman" w:cs="Segoe UI"/>
                <w:b/>
                <w:bCs/>
                <w:color w:val="000000"/>
                <w:sz w:val="18"/>
                <w:szCs w:val="18"/>
                <w:lang w:eastAsia="sk-SK"/>
              </w:rPr>
              <w:t>30 318</w:t>
            </w:r>
          </w:p>
        </w:tc>
        <w:tc>
          <w:tcPr>
            <w:tcW w:w="724" w:type="pct"/>
            <w:shd w:val="clear" w:color="auto" w:fill="auto"/>
            <w:vAlign w:val="center"/>
          </w:tcPr>
          <w:p w14:paraId="7EFE5AA4" w14:textId="77777777" w:rsidR="00A93D2D" w:rsidRPr="00380979" w:rsidRDefault="00A93D2D" w:rsidP="001813E9">
            <w:pPr>
              <w:spacing w:after="0"/>
              <w:jc w:val="right"/>
              <w:rPr>
                <w:rFonts w:eastAsia="Times New Roman" w:cs="Segoe UI"/>
                <w:b/>
                <w:bCs/>
                <w:color w:val="000000"/>
                <w:sz w:val="18"/>
                <w:szCs w:val="18"/>
                <w:lang w:eastAsia="sk-SK"/>
              </w:rPr>
            </w:pPr>
            <w:r>
              <w:rPr>
                <w:rFonts w:eastAsia="Times New Roman" w:cs="Segoe UI"/>
                <w:b/>
                <w:bCs/>
                <w:color w:val="000000"/>
                <w:sz w:val="18"/>
                <w:szCs w:val="18"/>
                <w:lang w:eastAsia="sk-SK"/>
              </w:rPr>
              <w:t>-4 723</w:t>
            </w:r>
          </w:p>
        </w:tc>
        <w:tc>
          <w:tcPr>
            <w:tcW w:w="769" w:type="pct"/>
            <w:shd w:val="clear" w:color="auto" w:fill="auto"/>
            <w:vAlign w:val="center"/>
          </w:tcPr>
          <w:p w14:paraId="7EE83332" w14:textId="77777777" w:rsidR="00A93D2D" w:rsidRPr="00380979" w:rsidRDefault="00A93D2D" w:rsidP="001813E9">
            <w:pPr>
              <w:spacing w:after="0"/>
              <w:jc w:val="right"/>
              <w:rPr>
                <w:rFonts w:eastAsia="Times New Roman" w:cs="Segoe UI"/>
                <w:b/>
                <w:bCs/>
                <w:color w:val="000000"/>
                <w:sz w:val="18"/>
                <w:szCs w:val="18"/>
                <w:lang w:eastAsia="sk-SK"/>
              </w:rPr>
            </w:pPr>
            <w:r>
              <w:rPr>
                <w:rFonts w:eastAsia="Times New Roman" w:cs="Segoe UI"/>
                <w:b/>
                <w:bCs/>
                <w:color w:val="000000"/>
                <w:sz w:val="18"/>
                <w:szCs w:val="18"/>
                <w:lang w:eastAsia="sk-SK"/>
              </w:rPr>
              <w:t>86,5 %</w:t>
            </w:r>
          </w:p>
        </w:tc>
      </w:tr>
    </w:tbl>
    <w:p w14:paraId="19BC49F8" w14:textId="77777777" w:rsidR="00A93D2D" w:rsidRPr="0083385B" w:rsidRDefault="00A93D2D" w:rsidP="00A93D2D">
      <w:pPr>
        <w:pStyle w:val="Bezriadkovania"/>
        <w:spacing w:after="120" w:line="276" w:lineRule="auto"/>
        <w:jc w:val="both"/>
        <w:rPr>
          <w:rFonts w:ascii="Segoe UI" w:eastAsia="Calibri" w:hAnsi="Segoe UI" w:cs="Times New Roman"/>
          <w:i/>
          <w:color w:val="314364"/>
          <w:sz w:val="16"/>
          <w:lang w:eastAsia="en-US"/>
        </w:rPr>
      </w:pPr>
      <w:r w:rsidRPr="0083385B">
        <w:rPr>
          <w:rFonts w:ascii="Segoe UI" w:eastAsia="Calibri" w:hAnsi="Segoe UI" w:cs="Times New Roman"/>
          <w:i/>
          <w:color w:val="314364"/>
          <w:sz w:val="16"/>
          <w:lang w:eastAsia="en-US"/>
        </w:rPr>
        <w:t>Zdroj: MF SR</w:t>
      </w:r>
    </w:p>
    <w:p w14:paraId="457A8A40" w14:textId="4A52D7B8" w:rsidR="0091328B" w:rsidRDefault="009104BE" w:rsidP="009104BE">
      <w:r>
        <w:t xml:space="preserve">Jednou z hlavných krátkodobých priorít vlády v PVV je vytvorenie nového Ministerstva cestovného ruchu a športu SR s cieľom posilniť a zefektívniť využívanie verejných zdrojov a potenciálu v cestovnom ruchu. </w:t>
      </w:r>
      <w:r w:rsidR="006E064F">
        <w:t xml:space="preserve">V návrhu rozpočtu </w:t>
      </w:r>
      <w:r>
        <w:t xml:space="preserve">však </w:t>
      </w:r>
      <w:r w:rsidR="006E064F">
        <w:t xml:space="preserve">nie je </w:t>
      </w:r>
      <w:r w:rsidR="00744FAC">
        <w:t>dostatočne zdôvodnen</w:t>
      </w:r>
      <w:r>
        <w:t xml:space="preserve">é, prečo potrebuje vláda na zefektívnenie využívania verejných zdrojov vytvárať nové ministerstvo, ktoré bude potrebovať na zabezpečenie </w:t>
      </w:r>
      <w:r>
        <w:lastRenderedPageBreak/>
        <w:t xml:space="preserve">činnosti ďalšie finančné prostriedky zo ŠR. Na jednej strane tak vláda zaviazala jednotlivé rozpočtové kapitoly ako aj ich príspevkové organizácie viazaním výdavkov na úrovni 5 % a na druhej </w:t>
      </w:r>
      <w:r w:rsidR="006E064F">
        <w:t xml:space="preserve">strane </w:t>
      </w:r>
      <w:r>
        <w:t>vytvára novú rozpočtovú kapitolu.</w:t>
      </w:r>
      <w:r w:rsidR="0091328B">
        <w:t xml:space="preserve"> </w:t>
      </w:r>
      <w:r w:rsidRPr="002C2148">
        <w:rPr>
          <w:b/>
        </w:rPr>
        <w:t>V</w:t>
      </w:r>
      <w:r w:rsidR="0091328B">
        <w:rPr>
          <w:b/>
        </w:rPr>
        <w:t xml:space="preserve"> návrhu </w:t>
      </w:r>
      <w:r w:rsidRPr="002C2148">
        <w:rPr>
          <w:b/>
        </w:rPr>
        <w:t>rozpočt</w:t>
      </w:r>
      <w:r w:rsidR="0091328B">
        <w:rPr>
          <w:b/>
        </w:rPr>
        <w:t>u</w:t>
      </w:r>
      <w:r w:rsidRPr="002C2148">
        <w:rPr>
          <w:b/>
        </w:rPr>
        <w:t xml:space="preserve"> </w:t>
      </w:r>
      <w:r w:rsidR="0091328B">
        <w:rPr>
          <w:b/>
        </w:rPr>
        <w:t>sa</w:t>
      </w:r>
      <w:r w:rsidRPr="002C2148">
        <w:rPr>
          <w:b/>
        </w:rPr>
        <w:t xml:space="preserve"> novému ministerstvu </w:t>
      </w:r>
      <w:r w:rsidR="0091328B">
        <w:rPr>
          <w:b/>
        </w:rPr>
        <w:t xml:space="preserve">venuje len </w:t>
      </w:r>
      <w:r w:rsidRPr="002C2148">
        <w:rPr>
          <w:b/>
        </w:rPr>
        <w:t>jedna veta a nie je jasné</w:t>
      </w:r>
      <w:r w:rsidR="0091328B">
        <w:rPr>
          <w:b/>
        </w:rPr>
        <w:t>,</w:t>
      </w:r>
      <w:r w:rsidRPr="002C2148">
        <w:rPr>
          <w:b/>
        </w:rPr>
        <w:t xml:space="preserve"> koľko</w:t>
      </w:r>
      <w:r w:rsidR="009D576B">
        <w:rPr>
          <w:b/>
        </w:rPr>
        <w:t xml:space="preserve"> zdrojov bude preň vyčlenených </w:t>
      </w:r>
      <w:r w:rsidRPr="002C2148">
        <w:rPr>
          <w:b/>
        </w:rPr>
        <w:t>a či pôjde o presun súčasných štátnych zamestnancov z iných kapitol alebo o prijatie nových.</w:t>
      </w:r>
      <w:r>
        <w:t xml:space="preserve"> Nové ministerstvo nemá v rozpočte vytvorený </w:t>
      </w:r>
      <w:r w:rsidR="0091328B">
        <w:t xml:space="preserve">ani </w:t>
      </w:r>
      <w:r>
        <w:t xml:space="preserve">programový rozpočet a rozpočtované výdavky naň sa tak nachádzajú v rámci kapitoly Všeobecná pokladničná správa (VPS), konkrétne v rozpočtových rezervách. </w:t>
      </w:r>
    </w:p>
    <w:p w14:paraId="1374B288" w14:textId="7338904E" w:rsidR="009104BE" w:rsidRDefault="0091328B" w:rsidP="009104BE">
      <w:r w:rsidRPr="0091328B">
        <w:rPr>
          <w:b/>
        </w:rPr>
        <w:t>Rozpočtové rezervy na rok 2024 predstavujú spolu takmer 2,5 mld. eur.</w:t>
      </w:r>
      <w:r>
        <w:t xml:space="preserve"> </w:t>
      </w:r>
      <w:r w:rsidR="00664F4D">
        <w:t xml:space="preserve">Najväčšiu časť tvorí rezerva súvisiaca s legislatívnymi zmenami, ktoré ešte nestihla nová vláda </w:t>
      </w:r>
      <w:r w:rsidR="00664F4D" w:rsidRPr="004D2725">
        <w:t>schváliť (</w:t>
      </w:r>
      <w:r w:rsidR="004D2725" w:rsidRPr="004D2725">
        <w:t xml:space="preserve">tabuľka </w:t>
      </w:r>
      <w:r w:rsidR="008C2695">
        <w:t>9</w:t>
      </w:r>
      <w:r w:rsidR="00664F4D" w:rsidRPr="004D2725">
        <w:t>).</w:t>
      </w:r>
      <w:r w:rsidR="00664F4D">
        <w:t xml:space="preserve"> </w:t>
      </w:r>
      <w:r w:rsidR="00906A59">
        <w:t>V tejto rezerve sa nachádza aj financovanie nového</w:t>
      </w:r>
      <w:r w:rsidR="00906A59" w:rsidRPr="00906A59">
        <w:t xml:space="preserve"> Ministerstv</w:t>
      </w:r>
      <w:r w:rsidR="00906A59">
        <w:t>a</w:t>
      </w:r>
      <w:r w:rsidR="00906A59" w:rsidRPr="00906A59">
        <w:t xml:space="preserve"> cestovného ruchu a športu SR spolu s finančným krytím výdavkov na zavedenie 13. dôchodku</w:t>
      </w:r>
      <w:r w:rsidR="00906A59">
        <w:t>.</w:t>
      </w:r>
      <w:r w:rsidR="00906A59" w:rsidRPr="00906A59">
        <w:t xml:space="preserve"> </w:t>
      </w:r>
      <w:r w:rsidR="00664F4D">
        <w:t xml:space="preserve">Čo sa týka </w:t>
      </w:r>
      <w:r w:rsidR="009104BE">
        <w:t>výdavk</w:t>
      </w:r>
      <w:r w:rsidR="00664F4D">
        <w:t>ov</w:t>
      </w:r>
      <w:r w:rsidR="009104BE">
        <w:t xml:space="preserve"> na kompenzačné opatrenia súvisiace s rastom cien energií na rok 2024</w:t>
      </w:r>
      <w:r w:rsidR="00664F4D">
        <w:t>, nie je jasné, prečo sa</w:t>
      </w:r>
      <w:r w:rsidR="009104BE">
        <w:t xml:space="preserve"> nachádzajú v rozpočtových rezervách </w:t>
      </w:r>
      <w:r w:rsidR="00664F4D">
        <w:t xml:space="preserve">kapitoly </w:t>
      </w:r>
      <w:r w:rsidR="009104BE">
        <w:t xml:space="preserve">VPS, keď hlavným poskytovateľom pomoci </w:t>
      </w:r>
      <w:r w:rsidR="00664F4D">
        <w:t xml:space="preserve">v súvislosti </w:t>
      </w:r>
      <w:r w:rsidR="009104BE">
        <w:t>s vysokými cenami energií bolo v roku 2023 Ministerstvo hospodárstva SR. Takéto kroky</w:t>
      </w:r>
      <w:r w:rsidR="00E755C9">
        <w:t xml:space="preserve"> znižujú transparentnosť a </w:t>
      </w:r>
      <w:r w:rsidR="009104BE">
        <w:t xml:space="preserve">vytvárajú tlak na zvyšovanie </w:t>
      </w:r>
      <w:r w:rsidR="00664F4D">
        <w:t xml:space="preserve">počtu </w:t>
      </w:r>
      <w:r w:rsidR="009104BE">
        <w:t xml:space="preserve">rozpočtových opatrení počas roka, na ktoré v praxi nemá dosah parlament. </w:t>
      </w:r>
    </w:p>
    <w:p w14:paraId="7EF1C5EC" w14:textId="0E0ACE45" w:rsidR="009104BE" w:rsidRDefault="004D2725" w:rsidP="009104BE">
      <w:pPr>
        <w:pStyle w:val="Popis"/>
        <w:keepNext/>
      </w:pPr>
      <w:r w:rsidRPr="004D2725">
        <w:t xml:space="preserve">Tabuľka </w:t>
      </w:r>
      <w:r w:rsidR="008C2695">
        <w:t>9</w:t>
      </w:r>
      <w:r w:rsidR="009104BE" w:rsidRPr="004D2725">
        <w:t>: Najväčšie</w:t>
      </w:r>
      <w:r w:rsidR="009104BE">
        <w:t xml:space="preserve"> rozpočtové rezervy (v mil. eur)</w:t>
      </w:r>
    </w:p>
    <w:tbl>
      <w:tblPr>
        <w:tblpPr w:leftFromText="141" w:rightFromText="141" w:vertAnchor="text" w:horzAnchor="margin" w:tblpXSpec="right" w:tblpY="118"/>
        <w:tblOverlap w:val="never"/>
        <w:tblW w:w="5000" w:type="pct"/>
        <w:tblCellMar>
          <w:top w:w="28" w:type="dxa"/>
        </w:tblCellMar>
        <w:tblLook w:val="04A0" w:firstRow="1" w:lastRow="0" w:firstColumn="1" w:lastColumn="0" w:noHBand="0" w:noVBand="1"/>
      </w:tblPr>
      <w:tblGrid>
        <w:gridCol w:w="5529"/>
        <w:gridCol w:w="989"/>
        <w:gridCol w:w="854"/>
        <w:gridCol w:w="854"/>
        <w:gridCol w:w="844"/>
      </w:tblGrid>
      <w:tr w:rsidR="00E755C9" w14:paraId="20803570" w14:textId="77777777" w:rsidTr="00061135">
        <w:trPr>
          <w:trHeight w:val="20"/>
        </w:trPr>
        <w:tc>
          <w:tcPr>
            <w:tcW w:w="3048" w:type="pct"/>
            <w:tcBorders>
              <w:bottom w:val="single" w:sz="4" w:space="0" w:color="314364"/>
            </w:tcBorders>
            <w:shd w:val="clear" w:color="auto" w:fill="314364"/>
            <w:vAlign w:val="center"/>
          </w:tcPr>
          <w:p w14:paraId="1C42E99F" w14:textId="77777777" w:rsidR="00E755C9" w:rsidRPr="0032280E" w:rsidRDefault="00E755C9" w:rsidP="0038031E">
            <w:pPr>
              <w:spacing w:after="0" w:line="259" w:lineRule="auto"/>
              <w:jc w:val="left"/>
              <w:rPr>
                <w:b/>
                <w:color w:val="FFFFFF" w:themeColor="background1"/>
                <w:sz w:val="18"/>
              </w:rPr>
            </w:pPr>
          </w:p>
        </w:tc>
        <w:tc>
          <w:tcPr>
            <w:tcW w:w="545" w:type="pct"/>
            <w:tcBorders>
              <w:bottom w:val="single" w:sz="4" w:space="0" w:color="314364"/>
            </w:tcBorders>
            <w:shd w:val="clear" w:color="auto" w:fill="314364"/>
          </w:tcPr>
          <w:p w14:paraId="649366EA" w14:textId="0E06BC16" w:rsidR="00E755C9" w:rsidRPr="00152FDF" w:rsidRDefault="00B05343" w:rsidP="0038031E">
            <w:pPr>
              <w:spacing w:after="0" w:line="259" w:lineRule="auto"/>
              <w:jc w:val="right"/>
              <w:rPr>
                <w:rFonts w:cs="Segoe UI"/>
                <w:b/>
                <w:color w:val="FFFFFF" w:themeColor="background1"/>
                <w:sz w:val="18"/>
                <w:szCs w:val="18"/>
              </w:rPr>
            </w:pPr>
            <w:r w:rsidRPr="00152FDF">
              <w:rPr>
                <w:rFonts w:cs="Segoe UI"/>
                <w:b/>
                <w:color w:val="FFFFFF" w:themeColor="background1"/>
                <w:sz w:val="18"/>
                <w:szCs w:val="18"/>
              </w:rPr>
              <w:t>2023 R</w:t>
            </w:r>
          </w:p>
        </w:tc>
        <w:tc>
          <w:tcPr>
            <w:tcW w:w="471" w:type="pct"/>
            <w:tcBorders>
              <w:bottom w:val="single" w:sz="4" w:space="0" w:color="314364"/>
            </w:tcBorders>
            <w:shd w:val="clear" w:color="auto" w:fill="314364"/>
            <w:vAlign w:val="center"/>
          </w:tcPr>
          <w:p w14:paraId="4E09280A" w14:textId="39CF6646" w:rsidR="00E755C9" w:rsidRPr="0032280E" w:rsidRDefault="00E755C9" w:rsidP="0038031E">
            <w:pPr>
              <w:spacing w:after="0" w:line="259" w:lineRule="auto"/>
              <w:jc w:val="right"/>
              <w:rPr>
                <w:b/>
                <w:color w:val="FFFFFF" w:themeColor="background1"/>
                <w:sz w:val="18"/>
              </w:rPr>
            </w:pPr>
            <w:r>
              <w:rPr>
                <w:b/>
                <w:color w:val="FFFFFF" w:themeColor="background1"/>
                <w:sz w:val="18"/>
              </w:rPr>
              <w:t>2023*</w:t>
            </w:r>
          </w:p>
        </w:tc>
        <w:tc>
          <w:tcPr>
            <w:tcW w:w="471" w:type="pct"/>
            <w:tcBorders>
              <w:bottom w:val="single" w:sz="4" w:space="0" w:color="314364"/>
            </w:tcBorders>
            <w:shd w:val="clear" w:color="auto" w:fill="314364"/>
            <w:vAlign w:val="center"/>
          </w:tcPr>
          <w:p w14:paraId="5051F913" w14:textId="48D5EA8A" w:rsidR="00E755C9" w:rsidRDefault="00E755C9" w:rsidP="0038031E">
            <w:pPr>
              <w:spacing w:after="0" w:line="259" w:lineRule="auto"/>
              <w:jc w:val="right"/>
              <w:rPr>
                <w:b/>
                <w:color w:val="FFFFFF" w:themeColor="background1"/>
                <w:sz w:val="18"/>
              </w:rPr>
            </w:pPr>
            <w:r>
              <w:rPr>
                <w:b/>
                <w:color w:val="FFFFFF" w:themeColor="background1"/>
                <w:sz w:val="18"/>
              </w:rPr>
              <w:t>2024</w:t>
            </w:r>
            <w:r w:rsidR="00152FDF">
              <w:rPr>
                <w:b/>
                <w:color w:val="FFFFFF" w:themeColor="background1"/>
                <w:sz w:val="18"/>
              </w:rPr>
              <w:t xml:space="preserve"> R</w:t>
            </w:r>
          </w:p>
        </w:tc>
        <w:tc>
          <w:tcPr>
            <w:tcW w:w="466" w:type="pct"/>
            <w:tcBorders>
              <w:bottom w:val="single" w:sz="4" w:space="0" w:color="314364"/>
            </w:tcBorders>
            <w:shd w:val="clear" w:color="auto" w:fill="314364"/>
            <w:vAlign w:val="center"/>
          </w:tcPr>
          <w:p w14:paraId="73CD27E3" w14:textId="67C8BE9A" w:rsidR="00E755C9" w:rsidRPr="0032280E" w:rsidRDefault="00E755C9" w:rsidP="0038031E">
            <w:pPr>
              <w:spacing w:after="0" w:line="259" w:lineRule="auto"/>
              <w:jc w:val="right"/>
              <w:rPr>
                <w:b/>
                <w:color w:val="FFFFFF" w:themeColor="background1"/>
                <w:sz w:val="18"/>
              </w:rPr>
            </w:pPr>
            <w:r>
              <w:rPr>
                <w:b/>
                <w:color w:val="FFFFFF" w:themeColor="background1"/>
                <w:sz w:val="18"/>
              </w:rPr>
              <w:t>2025</w:t>
            </w:r>
            <w:r w:rsidR="00152FDF">
              <w:rPr>
                <w:b/>
                <w:color w:val="FFFFFF" w:themeColor="background1"/>
                <w:sz w:val="18"/>
              </w:rPr>
              <w:t xml:space="preserve"> R</w:t>
            </w:r>
          </w:p>
        </w:tc>
      </w:tr>
      <w:tr w:rsidR="00E755C9" w14:paraId="0B929DE5" w14:textId="77777777" w:rsidTr="00061135">
        <w:trPr>
          <w:trHeight w:val="20"/>
        </w:trPr>
        <w:tc>
          <w:tcPr>
            <w:tcW w:w="3048" w:type="pct"/>
            <w:vAlign w:val="center"/>
          </w:tcPr>
          <w:p w14:paraId="718EDAD5" w14:textId="77777777" w:rsidR="00E755C9" w:rsidRPr="00120A92" w:rsidRDefault="00E755C9" w:rsidP="00E755C9">
            <w:pPr>
              <w:spacing w:after="0" w:line="259" w:lineRule="auto"/>
              <w:jc w:val="left"/>
              <w:rPr>
                <w:sz w:val="18"/>
              </w:rPr>
            </w:pPr>
            <w:r>
              <w:rPr>
                <w:sz w:val="18"/>
              </w:rPr>
              <w:t>Rezerva na riešenie vplyvov legislatívnych zmien</w:t>
            </w:r>
          </w:p>
        </w:tc>
        <w:tc>
          <w:tcPr>
            <w:tcW w:w="545" w:type="pct"/>
            <w:vAlign w:val="center"/>
          </w:tcPr>
          <w:p w14:paraId="00DB1AA6" w14:textId="4757CA5A" w:rsidR="00E755C9" w:rsidRPr="00152FDF" w:rsidRDefault="00B05343" w:rsidP="00B05343">
            <w:pPr>
              <w:spacing w:after="0" w:line="259" w:lineRule="auto"/>
              <w:jc w:val="right"/>
              <w:rPr>
                <w:rFonts w:cs="Segoe UI"/>
                <w:sz w:val="18"/>
                <w:szCs w:val="18"/>
              </w:rPr>
            </w:pPr>
            <w:r w:rsidRPr="00152FDF">
              <w:rPr>
                <w:rFonts w:eastAsia="Times New Roman" w:cs="Segoe UI"/>
                <w:sz w:val="18"/>
                <w:szCs w:val="18"/>
                <w:lang w:eastAsia="sk-SK"/>
              </w:rPr>
              <w:t>858,0</w:t>
            </w:r>
          </w:p>
        </w:tc>
        <w:tc>
          <w:tcPr>
            <w:tcW w:w="471" w:type="pct"/>
            <w:shd w:val="clear" w:color="auto" w:fill="auto"/>
            <w:vAlign w:val="center"/>
          </w:tcPr>
          <w:p w14:paraId="106E12B8" w14:textId="05E016E6" w:rsidR="00E755C9" w:rsidRPr="00120A92" w:rsidRDefault="00E755C9" w:rsidP="00E755C9">
            <w:pPr>
              <w:spacing w:after="0" w:line="259" w:lineRule="auto"/>
              <w:jc w:val="right"/>
              <w:rPr>
                <w:sz w:val="18"/>
              </w:rPr>
            </w:pPr>
            <w:r>
              <w:rPr>
                <w:sz w:val="18"/>
              </w:rPr>
              <w:t>42,2</w:t>
            </w:r>
          </w:p>
        </w:tc>
        <w:tc>
          <w:tcPr>
            <w:tcW w:w="471" w:type="pct"/>
            <w:vAlign w:val="center"/>
          </w:tcPr>
          <w:p w14:paraId="69D0E1B3" w14:textId="77777777" w:rsidR="00E755C9" w:rsidRPr="00120A92" w:rsidRDefault="00E755C9" w:rsidP="00E755C9">
            <w:pPr>
              <w:spacing w:after="0" w:line="259" w:lineRule="auto"/>
              <w:jc w:val="right"/>
              <w:rPr>
                <w:sz w:val="18"/>
              </w:rPr>
            </w:pPr>
            <w:r>
              <w:rPr>
                <w:sz w:val="18"/>
              </w:rPr>
              <w:t>1 231,7</w:t>
            </w:r>
          </w:p>
        </w:tc>
        <w:tc>
          <w:tcPr>
            <w:tcW w:w="466" w:type="pct"/>
            <w:vAlign w:val="center"/>
          </w:tcPr>
          <w:p w14:paraId="0D6F8D76" w14:textId="77777777" w:rsidR="00E755C9" w:rsidRPr="00120A92" w:rsidRDefault="00E755C9" w:rsidP="00E755C9">
            <w:pPr>
              <w:spacing w:after="0" w:line="259" w:lineRule="auto"/>
              <w:jc w:val="right"/>
              <w:rPr>
                <w:sz w:val="18"/>
              </w:rPr>
            </w:pPr>
            <w:r>
              <w:rPr>
                <w:sz w:val="18"/>
              </w:rPr>
              <w:t>1 027,3</w:t>
            </w:r>
          </w:p>
        </w:tc>
      </w:tr>
      <w:tr w:rsidR="00B05343" w:rsidRPr="00325BDA" w14:paraId="49950809" w14:textId="77777777" w:rsidTr="00061135">
        <w:trPr>
          <w:trHeight w:val="20"/>
        </w:trPr>
        <w:tc>
          <w:tcPr>
            <w:tcW w:w="3048" w:type="pct"/>
            <w:vAlign w:val="center"/>
          </w:tcPr>
          <w:p w14:paraId="12C00C3F" w14:textId="77777777" w:rsidR="00B05343" w:rsidRPr="00120A92" w:rsidRDefault="00B05343" w:rsidP="00B05343">
            <w:pPr>
              <w:spacing w:after="0" w:line="259" w:lineRule="auto"/>
              <w:jc w:val="left"/>
              <w:rPr>
                <w:sz w:val="18"/>
              </w:rPr>
            </w:pPr>
            <w:r>
              <w:rPr>
                <w:sz w:val="18"/>
              </w:rPr>
              <w:t>Rezerva na kompenzačné opatrenia súvisiace s rastom cien energií</w:t>
            </w:r>
          </w:p>
        </w:tc>
        <w:tc>
          <w:tcPr>
            <w:tcW w:w="545" w:type="pct"/>
            <w:vAlign w:val="center"/>
          </w:tcPr>
          <w:p w14:paraId="5F5B4126" w14:textId="537A2055" w:rsidR="00B05343" w:rsidRPr="00152FDF" w:rsidRDefault="00B05343" w:rsidP="00B05343">
            <w:pPr>
              <w:spacing w:after="0" w:line="259" w:lineRule="auto"/>
              <w:jc w:val="right"/>
              <w:rPr>
                <w:rFonts w:cs="Segoe UI"/>
                <w:sz w:val="18"/>
                <w:szCs w:val="18"/>
              </w:rPr>
            </w:pPr>
            <w:r w:rsidRPr="00152FDF">
              <w:rPr>
                <w:rFonts w:eastAsia="Times New Roman" w:cs="Segoe UI"/>
                <w:sz w:val="18"/>
                <w:szCs w:val="18"/>
                <w:lang w:eastAsia="sk-SK"/>
              </w:rPr>
              <w:t>860,0</w:t>
            </w:r>
          </w:p>
        </w:tc>
        <w:tc>
          <w:tcPr>
            <w:tcW w:w="471" w:type="pct"/>
            <w:shd w:val="clear" w:color="auto" w:fill="auto"/>
            <w:vAlign w:val="center"/>
          </w:tcPr>
          <w:p w14:paraId="6CA28D3F" w14:textId="709A0268" w:rsidR="00B05343" w:rsidRPr="00120A92" w:rsidRDefault="00B05343" w:rsidP="00B05343">
            <w:pPr>
              <w:spacing w:after="0" w:line="259" w:lineRule="auto"/>
              <w:jc w:val="right"/>
              <w:rPr>
                <w:sz w:val="18"/>
              </w:rPr>
            </w:pPr>
            <w:r>
              <w:rPr>
                <w:sz w:val="18"/>
              </w:rPr>
              <w:t>66,0</w:t>
            </w:r>
          </w:p>
        </w:tc>
        <w:tc>
          <w:tcPr>
            <w:tcW w:w="471" w:type="pct"/>
            <w:vAlign w:val="center"/>
          </w:tcPr>
          <w:p w14:paraId="3311AB37" w14:textId="77777777" w:rsidR="00B05343" w:rsidRPr="00120A92" w:rsidRDefault="00B05343" w:rsidP="00B05343">
            <w:pPr>
              <w:spacing w:after="0" w:line="259" w:lineRule="auto"/>
              <w:jc w:val="right"/>
              <w:rPr>
                <w:sz w:val="18"/>
              </w:rPr>
            </w:pPr>
            <w:r>
              <w:rPr>
                <w:sz w:val="18"/>
              </w:rPr>
              <w:t>800,0</w:t>
            </w:r>
          </w:p>
        </w:tc>
        <w:tc>
          <w:tcPr>
            <w:tcW w:w="466" w:type="pct"/>
            <w:vAlign w:val="center"/>
          </w:tcPr>
          <w:p w14:paraId="47E2243D" w14:textId="77777777" w:rsidR="00B05343" w:rsidRPr="00120A92" w:rsidRDefault="00B05343" w:rsidP="00B05343">
            <w:pPr>
              <w:spacing w:after="0" w:line="259" w:lineRule="auto"/>
              <w:jc w:val="right"/>
              <w:rPr>
                <w:sz w:val="18"/>
              </w:rPr>
            </w:pPr>
            <w:r>
              <w:rPr>
                <w:sz w:val="18"/>
              </w:rPr>
              <w:t>0,0</w:t>
            </w:r>
          </w:p>
        </w:tc>
      </w:tr>
      <w:tr w:rsidR="00B05343" w:rsidRPr="00325BDA" w14:paraId="1474DC73" w14:textId="77777777" w:rsidTr="00061135">
        <w:trPr>
          <w:trHeight w:val="20"/>
        </w:trPr>
        <w:tc>
          <w:tcPr>
            <w:tcW w:w="3048" w:type="pct"/>
            <w:vAlign w:val="center"/>
          </w:tcPr>
          <w:p w14:paraId="75620CDF" w14:textId="77777777" w:rsidR="00B05343" w:rsidRDefault="00B05343" w:rsidP="00B05343">
            <w:pPr>
              <w:spacing w:after="0" w:line="259" w:lineRule="auto"/>
              <w:jc w:val="left"/>
              <w:rPr>
                <w:sz w:val="18"/>
              </w:rPr>
            </w:pPr>
            <w:r>
              <w:rPr>
                <w:sz w:val="18"/>
              </w:rPr>
              <w:t>Rezerva na prostriedky EÚ a odvody EÚ</w:t>
            </w:r>
          </w:p>
        </w:tc>
        <w:tc>
          <w:tcPr>
            <w:tcW w:w="545" w:type="pct"/>
            <w:vAlign w:val="center"/>
          </w:tcPr>
          <w:p w14:paraId="6EDF0B55" w14:textId="60158335" w:rsidR="00B05343" w:rsidRPr="00152FDF" w:rsidRDefault="00B05343" w:rsidP="00B05343">
            <w:pPr>
              <w:spacing w:after="0" w:line="259" w:lineRule="auto"/>
              <w:jc w:val="right"/>
              <w:rPr>
                <w:rFonts w:cs="Segoe UI"/>
                <w:sz w:val="18"/>
                <w:szCs w:val="18"/>
              </w:rPr>
            </w:pPr>
            <w:r w:rsidRPr="00152FDF">
              <w:rPr>
                <w:rFonts w:eastAsia="Times New Roman" w:cs="Segoe UI"/>
                <w:sz w:val="18"/>
                <w:szCs w:val="18"/>
                <w:lang w:eastAsia="sk-SK"/>
              </w:rPr>
              <w:t>404,9</w:t>
            </w:r>
          </w:p>
        </w:tc>
        <w:tc>
          <w:tcPr>
            <w:tcW w:w="471" w:type="pct"/>
            <w:shd w:val="clear" w:color="auto" w:fill="auto"/>
            <w:vAlign w:val="center"/>
          </w:tcPr>
          <w:p w14:paraId="4D94AB6A" w14:textId="4ADF2D70" w:rsidR="00B05343" w:rsidRDefault="00B05343" w:rsidP="00B05343">
            <w:pPr>
              <w:spacing w:after="0" w:line="259" w:lineRule="auto"/>
              <w:jc w:val="right"/>
              <w:rPr>
                <w:sz w:val="18"/>
              </w:rPr>
            </w:pPr>
            <w:r>
              <w:rPr>
                <w:sz w:val="18"/>
              </w:rPr>
              <w:t>76,3</w:t>
            </w:r>
          </w:p>
        </w:tc>
        <w:tc>
          <w:tcPr>
            <w:tcW w:w="471" w:type="pct"/>
            <w:vAlign w:val="center"/>
          </w:tcPr>
          <w:p w14:paraId="5B80EAA1" w14:textId="77777777" w:rsidR="00B05343" w:rsidRDefault="00B05343" w:rsidP="00B05343">
            <w:pPr>
              <w:spacing w:after="0" w:line="259" w:lineRule="auto"/>
              <w:jc w:val="right"/>
              <w:rPr>
                <w:sz w:val="18"/>
              </w:rPr>
            </w:pPr>
            <w:r>
              <w:rPr>
                <w:sz w:val="18"/>
              </w:rPr>
              <w:t>249,4</w:t>
            </w:r>
          </w:p>
        </w:tc>
        <w:tc>
          <w:tcPr>
            <w:tcW w:w="466" w:type="pct"/>
            <w:vAlign w:val="center"/>
          </w:tcPr>
          <w:p w14:paraId="7BB61C9E" w14:textId="77777777" w:rsidR="00B05343" w:rsidRDefault="00B05343" w:rsidP="00B05343">
            <w:pPr>
              <w:spacing w:after="0" w:line="259" w:lineRule="auto"/>
              <w:jc w:val="right"/>
              <w:rPr>
                <w:sz w:val="18"/>
              </w:rPr>
            </w:pPr>
            <w:r>
              <w:rPr>
                <w:sz w:val="18"/>
              </w:rPr>
              <w:t>0,0</w:t>
            </w:r>
          </w:p>
        </w:tc>
      </w:tr>
      <w:tr w:rsidR="00B05343" w:rsidRPr="00325BDA" w14:paraId="63D14663" w14:textId="77777777" w:rsidTr="00061135">
        <w:trPr>
          <w:trHeight w:val="20"/>
        </w:trPr>
        <w:tc>
          <w:tcPr>
            <w:tcW w:w="3048" w:type="pct"/>
            <w:vAlign w:val="center"/>
          </w:tcPr>
          <w:p w14:paraId="6239F5C7" w14:textId="77777777" w:rsidR="00B05343" w:rsidRPr="00120A92" w:rsidRDefault="00B05343" w:rsidP="00B05343">
            <w:pPr>
              <w:spacing w:after="0" w:line="259" w:lineRule="auto"/>
              <w:ind w:right="-102"/>
              <w:jc w:val="left"/>
              <w:rPr>
                <w:sz w:val="18"/>
              </w:rPr>
            </w:pPr>
            <w:r>
              <w:rPr>
                <w:sz w:val="18"/>
              </w:rPr>
              <w:t>Rezerva na mzdy a poistné</w:t>
            </w:r>
          </w:p>
        </w:tc>
        <w:tc>
          <w:tcPr>
            <w:tcW w:w="545" w:type="pct"/>
            <w:vAlign w:val="center"/>
          </w:tcPr>
          <w:p w14:paraId="335CFBE0" w14:textId="01685E56" w:rsidR="00B05343" w:rsidRPr="00152FDF" w:rsidRDefault="00B05343" w:rsidP="00B05343">
            <w:pPr>
              <w:spacing w:after="0" w:line="259" w:lineRule="auto"/>
              <w:jc w:val="right"/>
              <w:rPr>
                <w:rFonts w:cs="Segoe UI"/>
                <w:sz w:val="18"/>
                <w:szCs w:val="18"/>
              </w:rPr>
            </w:pPr>
            <w:r w:rsidRPr="00152FDF">
              <w:rPr>
                <w:rFonts w:eastAsia="Times New Roman" w:cs="Segoe UI"/>
                <w:sz w:val="18"/>
                <w:szCs w:val="18"/>
                <w:lang w:eastAsia="sk-SK"/>
              </w:rPr>
              <w:t>187,7</w:t>
            </w:r>
          </w:p>
        </w:tc>
        <w:tc>
          <w:tcPr>
            <w:tcW w:w="471" w:type="pct"/>
            <w:shd w:val="clear" w:color="auto" w:fill="auto"/>
            <w:vAlign w:val="center"/>
          </w:tcPr>
          <w:p w14:paraId="6496B080" w14:textId="7DC2C06C" w:rsidR="00B05343" w:rsidRPr="00120A92" w:rsidRDefault="00B05343" w:rsidP="00B05343">
            <w:pPr>
              <w:spacing w:after="0" w:line="259" w:lineRule="auto"/>
              <w:jc w:val="right"/>
              <w:rPr>
                <w:sz w:val="18"/>
              </w:rPr>
            </w:pPr>
            <w:r>
              <w:rPr>
                <w:sz w:val="18"/>
              </w:rPr>
              <w:t>13,6</w:t>
            </w:r>
          </w:p>
        </w:tc>
        <w:tc>
          <w:tcPr>
            <w:tcW w:w="471" w:type="pct"/>
            <w:vAlign w:val="center"/>
          </w:tcPr>
          <w:p w14:paraId="03FE1D35" w14:textId="77777777" w:rsidR="00B05343" w:rsidRPr="00120A92" w:rsidRDefault="00B05343" w:rsidP="00B05343">
            <w:pPr>
              <w:spacing w:after="0" w:line="259" w:lineRule="auto"/>
              <w:jc w:val="right"/>
              <w:rPr>
                <w:sz w:val="18"/>
              </w:rPr>
            </w:pPr>
            <w:r>
              <w:rPr>
                <w:sz w:val="18"/>
              </w:rPr>
              <w:t>175,4</w:t>
            </w:r>
          </w:p>
        </w:tc>
        <w:tc>
          <w:tcPr>
            <w:tcW w:w="466" w:type="pct"/>
            <w:vAlign w:val="center"/>
          </w:tcPr>
          <w:p w14:paraId="46B333A6" w14:textId="77777777" w:rsidR="00B05343" w:rsidRPr="00120A92" w:rsidRDefault="00B05343" w:rsidP="00B05343">
            <w:pPr>
              <w:spacing w:after="0" w:line="259" w:lineRule="auto"/>
              <w:jc w:val="right"/>
              <w:rPr>
                <w:sz w:val="18"/>
              </w:rPr>
            </w:pPr>
            <w:r>
              <w:rPr>
                <w:sz w:val="18"/>
              </w:rPr>
              <w:t>397,3</w:t>
            </w:r>
          </w:p>
        </w:tc>
      </w:tr>
      <w:tr w:rsidR="00B05343" w:rsidRPr="00325BDA" w14:paraId="584F2599" w14:textId="77777777" w:rsidTr="00061135">
        <w:trPr>
          <w:trHeight w:val="20"/>
        </w:trPr>
        <w:tc>
          <w:tcPr>
            <w:tcW w:w="3048" w:type="pct"/>
            <w:tcBorders>
              <w:bottom w:val="single" w:sz="4" w:space="0" w:color="314364" w:themeColor="text2"/>
            </w:tcBorders>
            <w:vAlign w:val="center"/>
          </w:tcPr>
          <w:p w14:paraId="6E86310F" w14:textId="77777777" w:rsidR="00B05343" w:rsidRPr="002C2148" w:rsidRDefault="00B05343" w:rsidP="00B05343">
            <w:pPr>
              <w:spacing w:after="0" w:line="259" w:lineRule="auto"/>
              <w:jc w:val="left"/>
              <w:rPr>
                <w:b/>
                <w:sz w:val="18"/>
              </w:rPr>
            </w:pPr>
            <w:r w:rsidRPr="002C2148">
              <w:rPr>
                <w:b/>
                <w:sz w:val="18"/>
              </w:rPr>
              <w:t>Rozpočtové rezervy SPOLU</w:t>
            </w:r>
          </w:p>
        </w:tc>
        <w:tc>
          <w:tcPr>
            <w:tcW w:w="545" w:type="pct"/>
            <w:tcBorders>
              <w:bottom w:val="single" w:sz="4" w:space="0" w:color="314364" w:themeColor="text2"/>
            </w:tcBorders>
            <w:vAlign w:val="center"/>
          </w:tcPr>
          <w:p w14:paraId="1CCDC589" w14:textId="02FFD2FE" w:rsidR="00B05343" w:rsidRPr="00152FDF" w:rsidRDefault="00B05343" w:rsidP="00B05343">
            <w:pPr>
              <w:spacing w:after="0" w:line="259" w:lineRule="auto"/>
              <w:jc w:val="right"/>
              <w:rPr>
                <w:rFonts w:cs="Segoe UI"/>
                <w:b/>
                <w:sz w:val="18"/>
                <w:szCs w:val="18"/>
              </w:rPr>
            </w:pPr>
            <w:r w:rsidRPr="00152FDF">
              <w:rPr>
                <w:rFonts w:eastAsia="Times New Roman" w:cs="Segoe UI"/>
                <w:b/>
                <w:bCs/>
                <w:sz w:val="18"/>
                <w:szCs w:val="18"/>
                <w:lang w:eastAsia="sk-SK"/>
              </w:rPr>
              <w:t>2 446,6</w:t>
            </w:r>
          </w:p>
        </w:tc>
        <w:tc>
          <w:tcPr>
            <w:tcW w:w="471" w:type="pct"/>
            <w:tcBorders>
              <w:bottom w:val="single" w:sz="4" w:space="0" w:color="314364" w:themeColor="text2"/>
            </w:tcBorders>
            <w:shd w:val="clear" w:color="auto" w:fill="auto"/>
            <w:vAlign w:val="center"/>
          </w:tcPr>
          <w:p w14:paraId="2D14F846" w14:textId="113797F8" w:rsidR="00B05343" w:rsidRPr="002C2148" w:rsidRDefault="00B05343" w:rsidP="00B05343">
            <w:pPr>
              <w:spacing w:after="0" w:line="259" w:lineRule="auto"/>
              <w:jc w:val="right"/>
              <w:rPr>
                <w:b/>
                <w:sz w:val="18"/>
              </w:rPr>
            </w:pPr>
            <w:r>
              <w:rPr>
                <w:b/>
                <w:sz w:val="18"/>
              </w:rPr>
              <w:t>156,1</w:t>
            </w:r>
          </w:p>
        </w:tc>
        <w:tc>
          <w:tcPr>
            <w:tcW w:w="471" w:type="pct"/>
            <w:tcBorders>
              <w:bottom w:val="single" w:sz="4" w:space="0" w:color="314364" w:themeColor="text2"/>
            </w:tcBorders>
            <w:vAlign w:val="center"/>
          </w:tcPr>
          <w:p w14:paraId="18855798" w14:textId="77777777" w:rsidR="00B05343" w:rsidRPr="002C2148" w:rsidRDefault="00B05343" w:rsidP="00B05343">
            <w:pPr>
              <w:spacing w:after="0" w:line="259" w:lineRule="auto"/>
              <w:jc w:val="right"/>
              <w:rPr>
                <w:b/>
                <w:sz w:val="18"/>
              </w:rPr>
            </w:pPr>
            <w:r>
              <w:rPr>
                <w:b/>
                <w:sz w:val="18"/>
              </w:rPr>
              <w:t>2 492,5</w:t>
            </w:r>
          </w:p>
        </w:tc>
        <w:tc>
          <w:tcPr>
            <w:tcW w:w="466" w:type="pct"/>
            <w:tcBorders>
              <w:bottom w:val="single" w:sz="4" w:space="0" w:color="314364" w:themeColor="text2"/>
            </w:tcBorders>
            <w:vAlign w:val="center"/>
          </w:tcPr>
          <w:p w14:paraId="4E7E249B" w14:textId="77777777" w:rsidR="00B05343" w:rsidRPr="002C2148" w:rsidRDefault="00B05343" w:rsidP="00B05343">
            <w:pPr>
              <w:spacing w:after="0" w:line="259" w:lineRule="auto"/>
              <w:jc w:val="right"/>
              <w:rPr>
                <w:b/>
                <w:sz w:val="18"/>
              </w:rPr>
            </w:pPr>
            <w:r>
              <w:rPr>
                <w:b/>
                <w:sz w:val="18"/>
              </w:rPr>
              <w:t>1 460,6</w:t>
            </w:r>
          </w:p>
        </w:tc>
      </w:tr>
    </w:tbl>
    <w:p w14:paraId="6F624FDF" w14:textId="2C8FA782" w:rsidR="009104BE" w:rsidRDefault="009104BE" w:rsidP="009104BE">
      <w:pPr>
        <w:pStyle w:val="Zdroj"/>
      </w:pPr>
      <w:r>
        <w:t>Zdroj: Návrh RVS na roky 2024 až 2026; *očakávaná skutočnosť</w:t>
      </w:r>
    </w:p>
    <w:p w14:paraId="5F03FADE" w14:textId="422CFEE0" w:rsidR="002D6F02" w:rsidRPr="0079289C" w:rsidRDefault="002D6F02" w:rsidP="008C2695">
      <w:pPr>
        <w:pStyle w:val="Zdroj"/>
        <w:spacing w:line="276" w:lineRule="auto"/>
        <w:jc w:val="both"/>
        <w:rPr>
          <w:rFonts w:cs="Segoe UI"/>
          <w:b/>
          <w:i w:val="0"/>
          <w:color w:val="auto"/>
          <w:sz w:val="20"/>
          <w:szCs w:val="20"/>
        </w:rPr>
      </w:pPr>
      <w:r w:rsidRPr="0079289C">
        <w:rPr>
          <w:rFonts w:eastAsia="Calibri" w:cs="Segoe UI"/>
          <w:b/>
          <w:i w:val="0"/>
          <w:color w:val="auto"/>
          <w:sz w:val="20"/>
          <w:szCs w:val="20"/>
          <w:lang w:eastAsia="cs-CZ"/>
        </w:rPr>
        <w:t xml:space="preserve">V kapitole VPS sa rozpočtujú aj výdavky určené  na obsluhu štátneho dlhu, ktoré však nie sú v návrhu RVS </w:t>
      </w:r>
      <w:r w:rsidR="009D576B">
        <w:rPr>
          <w:rFonts w:eastAsia="Calibri" w:cs="Segoe UI"/>
          <w:b/>
          <w:i w:val="0"/>
          <w:color w:val="auto"/>
          <w:sz w:val="20"/>
          <w:szCs w:val="20"/>
          <w:lang w:eastAsia="cs-CZ"/>
        </w:rPr>
        <w:t>finančne</w:t>
      </w:r>
      <w:r w:rsidRPr="0079289C">
        <w:rPr>
          <w:rFonts w:eastAsia="Calibri" w:cs="Segoe UI"/>
          <w:b/>
          <w:i w:val="0"/>
          <w:color w:val="auto"/>
          <w:sz w:val="20"/>
          <w:szCs w:val="20"/>
          <w:lang w:eastAsia="cs-CZ"/>
        </w:rPr>
        <w:t xml:space="preserve"> vyjadrené, a to aj napriek tomu, že predstavujú jednu z rizikových oblastí financovania.</w:t>
      </w:r>
    </w:p>
    <w:p w14:paraId="5647D622" w14:textId="79372054" w:rsidR="00E119E5" w:rsidRPr="00E119E5" w:rsidRDefault="000D6E76" w:rsidP="000D631B">
      <w:pPr>
        <w:pStyle w:val="Nadpis2"/>
        <w:rPr>
          <w:rFonts w:eastAsia="Calibri"/>
        </w:rPr>
      </w:pPr>
      <w:bookmarkStart w:id="20" w:name="_Toc153784699"/>
      <w:r>
        <w:rPr>
          <w:rFonts w:eastAsia="Calibri"/>
        </w:rPr>
        <w:t>I</w:t>
      </w:r>
      <w:r w:rsidR="00E119E5" w:rsidRPr="00E119E5">
        <w:rPr>
          <w:rFonts w:eastAsia="Calibri"/>
        </w:rPr>
        <w:t xml:space="preserve">nvestície </w:t>
      </w:r>
      <w:r>
        <w:rPr>
          <w:rFonts w:eastAsia="Calibri"/>
        </w:rPr>
        <w:t>v</w:t>
      </w:r>
      <w:r w:rsidR="00E119E5" w:rsidRPr="00E119E5">
        <w:rPr>
          <w:rFonts w:eastAsia="Calibri"/>
        </w:rPr>
        <w:t xml:space="preserve"> rok</w:t>
      </w:r>
      <w:r>
        <w:rPr>
          <w:rFonts w:eastAsia="Calibri"/>
        </w:rPr>
        <w:t>u</w:t>
      </w:r>
      <w:r w:rsidR="00E119E5" w:rsidRPr="00E119E5">
        <w:rPr>
          <w:rFonts w:eastAsia="Calibri"/>
        </w:rPr>
        <w:t xml:space="preserve"> 2024</w:t>
      </w:r>
      <w:bookmarkEnd w:id="20"/>
    </w:p>
    <w:p w14:paraId="2C5832D5" w14:textId="605323FE" w:rsidR="008F6CAB" w:rsidRPr="008F6CAB" w:rsidRDefault="00D6774D" w:rsidP="008F6CAB">
      <w:pPr>
        <w:rPr>
          <w:rFonts w:eastAsia="Calibri" w:cs="Segoe UI"/>
          <w:szCs w:val="20"/>
        </w:rPr>
      </w:pPr>
      <w:r>
        <w:rPr>
          <w:rFonts w:eastAsia="Calibri" w:cs="Segoe UI"/>
          <w:b/>
          <w:szCs w:val="20"/>
        </w:rPr>
        <w:t>Celkové k</w:t>
      </w:r>
      <w:r w:rsidR="000D6E76" w:rsidRPr="000D6E76">
        <w:rPr>
          <w:rFonts w:eastAsia="Calibri" w:cs="Segoe UI"/>
          <w:b/>
          <w:szCs w:val="20"/>
        </w:rPr>
        <w:t xml:space="preserve">apitálové výdavky </w:t>
      </w:r>
      <w:r w:rsidR="00C021DA">
        <w:rPr>
          <w:rFonts w:eastAsia="Calibri" w:cs="Segoe UI"/>
          <w:b/>
          <w:szCs w:val="20"/>
        </w:rPr>
        <w:t>RVS</w:t>
      </w:r>
      <w:r w:rsidR="000D6E76" w:rsidRPr="000D6E76">
        <w:rPr>
          <w:rFonts w:eastAsia="Calibri" w:cs="Segoe UI"/>
          <w:b/>
          <w:szCs w:val="20"/>
        </w:rPr>
        <w:t xml:space="preserve"> v roku 2024 budú tvoriť 5,4 mld. eur</w:t>
      </w:r>
      <w:r w:rsidR="00DE3AF1">
        <w:rPr>
          <w:rFonts w:eastAsia="Calibri" w:cs="Segoe UI"/>
          <w:b/>
          <w:szCs w:val="20"/>
        </w:rPr>
        <w:t xml:space="preserve">, čo </w:t>
      </w:r>
      <w:r w:rsidR="009950D0">
        <w:rPr>
          <w:rFonts w:eastAsia="Calibri" w:cs="Segoe UI"/>
          <w:b/>
          <w:szCs w:val="20"/>
        </w:rPr>
        <w:t xml:space="preserve">je oproti očakávanej skutočnosti roku 2023 </w:t>
      </w:r>
      <w:r w:rsidR="009950D0" w:rsidRPr="009950D0">
        <w:rPr>
          <w:rFonts w:eastAsia="Calibri" w:cs="Segoe UI"/>
          <w:szCs w:val="20"/>
        </w:rPr>
        <w:t>(6,5 mld. eur)</w:t>
      </w:r>
      <w:r w:rsidR="009950D0">
        <w:rPr>
          <w:rFonts w:eastAsia="Calibri" w:cs="Segoe UI"/>
          <w:b/>
          <w:szCs w:val="20"/>
        </w:rPr>
        <w:t xml:space="preserve"> menej o takmer</w:t>
      </w:r>
      <w:r w:rsidR="003C5000">
        <w:rPr>
          <w:rFonts w:eastAsia="Calibri" w:cs="Segoe UI"/>
          <w:b/>
          <w:szCs w:val="20"/>
        </w:rPr>
        <w:t xml:space="preserve"> </w:t>
      </w:r>
      <w:r w:rsidR="009950D0">
        <w:rPr>
          <w:rFonts w:eastAsia="Calibri" w:cs="Segoe UI"/>
          <w:b/>
          <w:szCs w:val="20"/>
        </w:rPr>
        <w:t>17</w:t>
      </w:r>
      <w:r w:rsidR="00DE3AF1">
        <w:rPr>
          <w:rFonts w:eastAsia="Calibri" w:cs="Segoe UI"/>
          <w:b/>
          <w:szCs w:val="20"/>
        </w:rPr>
        <w:t xml:space="preserve"> %</w:t>
      </w:r>
      <w:r w:rsidR="000D6E76" w:rsidRPr="000D6E76">
        <w:rPr>
          <w:rFonts w:eastAsia="Calibri" w:cs="Segoe UI"/>
          <w:b/>
          <w:szCs w:val="20"/>
        </w:rPr>
        <w:t>.</w:t>
      </w:r>
      <w:r w:rsidR="000D6E76">
        <w:rPr>
          <w:rFonts w:eastAsia="Calibri" w:cs="Segoe UI"/>
          <w:szCs w:val="20"/>
        </w:rPr>
        <w:t xml:space="preserve"> </w:t>
      </w:r>
      <w:r w:rsidR="008F6CAB" w:rsidRPr="008F6CAB">
        <w:rPr>
          <w:rFonts w:eastAsia="Calibri" w:cs="Segoe UI"/>
          <w:szCs w:val="20"/>
        </w:rPr>
        <w:t>Zníženie kapitálových výdavkov v R</w:t>
      </w:r>
      <w:r w:rsidR="00C021DA">
        <w:rPr>
          <w:rFonts w:eastAsia="Calibri" w:cs="Segoe UI"/>
          <w:szCs w:val="20"/>
        </w:rPr>
        <w:t>VS</w:t>
      </w:r>
      <w:r w:rsidR="008F6CAB" w:rsidRPr="008F6CAB">
        <w:rPr>
          <w:rFonts w:eastAsia="Calibri" w:cs="Segoe UI"/>
          <w:szCs w:val="20"/>
        </w:rPr>
        <w:t xml:space="preserve"> znamená pomalšiu realizáciu projektov. Aby sa zabránilo zrušeniu a prepadnutiu finančných zdrojov, bude potrebné tieto úspory zachovať a p</w:t>
      </w:r>
      <w:r w:rsidR="000D6E76">
        <w:rPr>
          <w:rFonts w:eastAsia="Calibri" w:cs="Segoe UI"/>
          <w:szCs w:val="20"/>
        </w:rPr>
        <w:t>resunúť do nasledujúcich rokov.</w:t>
      </w:r>
      <w:r w:rsidR="004C7A3E">
        <w:rPr>
          <w:rFonts w:eastAsia="Calibri" w:cs="Segoe UI"/>
          <w:szCs w:val="20"/>
        </w:rPr>
        <w:t xml:space="preserve"> </w:t>
      </w:r>
      <w:r w:rsidR="008F6CAB" w:rsidRPr="00C8313A">
        <w:rPr>
          <w:rFonts w:eastAsia="Calibri" w:cs="Segoe UI"/>
          <w:b/>
          <w:szCs w:val="20"/>
        </w:rPr>
        <w:t xml:space="preserve">NKÚ SR </w:t>
      </w:r>
      <w:r w:rsidR="00C8313A">
        <w:rPr>
          <w:rFonts w:eastAsia="Calibri" w:cs="Segoe UI"/>
          <w:b/>
          <w:szCs w:val="20"/>
        </w:rPr>
        <w:t xml:space="preserve">hodnotí </w:t>
      </w:r>
      <w:r w:rsidR="008F6CAB" w:rsidRPr="00C8313A">
        <w:rPr>
          <w:rFonts w:eastAsia="Calibri" w:cs="Segoe UI"/>
          <w:b/>
          <w:szCs w:val="20"/>
        </w:rPr>
        <w:t>pozitívne, že kapitálové výdavky na investície už nie sú rozpočtované v kapitole VPS, ale priamo v kapitolách, ktoré ich budú čerpať v súlade so svojimi investičnými plánmi.</w:t>
      </w:r>
      <w:r w:rsidR="008F6CAB" w:rsidRPr="008F6CAB">
        <w:rPr>
          <w:rFonts w:eastAsia="Calibri" w:cs="Segoe UI"/>
          <w:szCs w:val="20"/>
        </w:rPr>
        <w:t xml:space="preserve"> Na</w:t>
      </w:r>
      <w:r w:rsidR="00C8313A">
        <w:rPr>
          <w:rFonts w:eastAsia="Calibri" w:cs="Segoe UI"/>
          <w:szCs w:val="20"/>
        </w:rPr>
        <w:t>ďalej</w:t>
      </w:r>
      <w:r w:rsidR="008F6CAB" w:rsidRPr="008F6CAB">
        <w:rPr>
          <w:rFonts w:eastAsia="Calibri" w:cs="Segoe UI"/>
          <w:szCs w:val="20"/>
        </w:rPr>
        <w:t xml:space="preserve"> platí, že všetky projekty od 1 mil. eur musia splniť povinnosti vyplývajúce z platnej legislatívy a to prejsť hodnotením ÚHP.</w:t>
      </w:r>
    </w:p>
    <w:p w14:paraId="5B3F16F4" w14:textId="5E1C8DA4" w:rsidR="008F6CAB" w:rsidRPr="008F6CAB" w:rsidRDefault="008F6CAB" w:rsidP="008F6CAB">
      <w:pPr>
        <w:rPr>
          <w:rFonts w:eastAsia="Calibri" w:cs="Segoe UI"/>
          <w:szCs w:val="20"/>
        </w:rPr>
      </w:pPr>
      <w:r w:rsidRPr="00C8313A">
        <w:rPr>
          <w:rFonts w:eastAsia="Calibri" w:cs="Segoe UI"/>
          <w:b/>
          <w:szCs w:val="20"/>
        </w:rPr>
        <w:t>V</w:t>
      </w:r>
      <w:r w:rsidR="00C8313A">
        <w:rPr>
          <w:rFonts w:eastAsia="Calibri" w:cs="Segoe UI"/>
          <w:b/>
          <w:szCs w:val="20"/>
        </w:rPr>
        <w:t xml:space="preserve"> návrhu</w:t>
      </w:r>
      <w:r w:rsidRPr="00C8313A">
        <w:rPr>
          <w:rFonts w:eastAsia="Calibri" w:cs="Segoe UI"/>
          <w:b/>
          <w:szCs w:val="20"/>
        </w:rPr>
        <w:t xml:space="preserve"> rozpočt</w:t>
      </w:r>
      <w:r w:rsidR="00C8313A">
        <w:rPr>
          <w:rFonts w:eastAsia="Calibri" w:cs="Segoe UI"/>
          <w:b/>
          <w:szCs w:val="20"/>
        </w:rPr>
        <w:t>u</w:t>
      </w:r>
      <w:r w:rsidRPr="00C8313A">
        <w:rPr>
          <w:rFonts w:eastAsia="Calibri" w:cs="Segoe UI"/>
          <w:b/>
          <w:szCs w:val="20"/>
        </w:rPr>
        <w:t xml:space="preserve"> nie je zverejnený zoznam najväčších investičných projektov, ktoré sa budú financovať v roku 2024</w:t>
      </w:r>
      <w:r w:rsidRPr="008F6CAB">
        <w:rPr>
          <w:rFonts w:eastAsia="Calibri" w:cs="Segoe UI"/>
          <w:szCs w:val="20"/>
        </w:rPr>
        <w:t xml:space="preserve">. Ten vychádzal z investičných plánov vybraných kapitol. NKÚ SR v minulosti </w:t>
      </w:r>
      <w:r w:rsidR="00C8313A">
        <w:rPr>
          <w:rFonts w:eastAsia="Calibri" w:cs="Segoe UI"/>
          <w:szCs w:val="20"/>
        </w:rPr>
        <w:t>odporúčal</w:t>
      </w:r>
      <w:r w:rsidRPr="008F6CAB">
        <w:rPr>
          <w:rFonts w:eastAsia="Calibri" w:cs="Segoe UI"/>
          <w:szCs w:val="20"/>
        </w:rPr>
        <w:t xml:space="preserve"> rozšíriť tento zoznam o všetky známe investičné projekty, ktoré sa majú v nasledujúcom období financovať. </w:t>
      </w:r>
    </w:p>
    <w:p w14:paraId="31D486D5" w14:textId="437F8777" w:rsidR="00C8313A" w:rsidRDefault="00C8313A" w:rsidP="00C8313A">
      <w:pPr>
        <w:rPr>
          <w:rFonts w:cs="Segoe UI"/>
          <w:szCs w:val="20"/>
        </w:rPr>
      </w:pPr>
      <w:r w:rsidRPr="00AC012C">
        <w:rPr>
          <w:rFonts w:cs="Segoe UI"/>
          <w:b/>
          <w:szCs w:val="20"/>
        </w:rPr>
        <w:t xml:space="preserve">Kapitálové výdavky </w:t>
      </w:r>
      <w:r w:rsidR="00A20C21">
        <w:rPr>
          <w:rFonts w:cs="Segoe UI"/>
          <w:b/>
          <w:szCs w:val="20"/>
        </w:rPr>
        <w:t xml:space="preserve">MO SR </w:t>
      </w:r>
      <w:r w:rsidRPr="00AC012C">
        <w:rPr>
          <w:rFonts w:cs="Segoe UI"/>
          <w:b/>
          <w:szCs w:val="20"/>
        </w:rPr>
        <w:t xml:space="preserve">plánované vo výške 920 mil. eur sú zo všetkých kapitol ŠR najvyššie a predstavujú takmer polovicu kapitálových výdavkov všetkých kapitol ŠR. </w:t>
      </w:r>
      <w:r>
        <w:rPr>
          <w:rFonts w:cs="Segoe UI"/>
          <w:szCs w:val="20"/>
        </w:rPr>
        <w:t xml:space="preserve">Najvýznamnejšiu časť týchto výdavkov tvoria výdavky na program rozvoja obrany (877 mil. eur, 95,3 </w:t>
      </w:r>
      <w:r>
        <w:rPr>
          <w:rFonts w:cs="Segoe UI"/>
          <w:szCs w:val="20"/>
          <w:lang w:val="en-US"/>
        </w:rPr>
        <w:t>%</w:t>
      </w:r>
      <w:r>
        <w:rPr>
          <w:rFonts w:cs="Segoe UI"/>
          <w:szCs w:val="20"/>
        </w:rPr>
        <w:t xml:space="preserve">). </w:t>
      </w:r>
      <w:r w:rsidRPr="00484B64">
        <w:rPr>
          <w:rFonts w:cs="Segoe UI"/>
          <w:szCs w:val="20"/>
        </w:rPr>
        <w:t xml:space="preserve">V rámci týchto výdavkov je najväčším </w:t>
      </w:r>
      <w:r w:rsidRPr="00756E19">
        <w:rPr>
          <w:rFonts w:cs="Segoe UI"/>
          <w:szCs w:val="20"/>
        </w:rPr>
        <w:t xml:space="preserve">program </w:t>
      </w:r>
      <w:r>
        <w:rPr>
          <w:rFonts w:cs="Segoe UI"/>
          <w:szCs w:val="20"/>
        </w:rPr>
        <w:t>r</w:t>
      </w:r>
      <w:r w:rsidRPr="00756E19">
        <w:rPr>
          <w:rFonts w:cs="Segoe UI"/>
          <w:szCs w:val="20"/>
        </w:rPr>
        <w:t>ozvoj</w:t>
      </w:r>
      <w:r>
        <w:rPr>
          <w:rFonts w:cs="Segoe UI"/>
          <w:szCs w:val="20"/>
        </w:rPr>
        <w:t>a</w:t>
      </w:r>
      <w:r w:rsidRPr="00756E19">
        <w:rPr>
          <w:rFonts w:cs="Segoe UI"/>
          <w:szCs w:val="20"/>
        </w:rPr>
        <w:t xml:space="preserve"> výzbroje, techniky a</w:t>
      </w:r>
      <w:r>
        <w:rPr>
          <w:rFonts w:cs="Segoe UI"/>
          <w:szCs w:val="20"/>
        </w:rPr>
        <w:t> </w:t>
      </w:r>
      <w:r w:rsidRPr="004D2725">
        <w:rPr>
          <w:rFonts w:cs="Segoe UI"/>
          <w:szCs w:val="20"/>
        </w:rPr>
        <w:t xml:space="preserve">materiálu (tabuľka </w:t>
      </w:r>
      <w:r w:rsidR="008C2695">
        <w:rPr>
          <w:rFonts w:cs="Segoe UI"/>
          <w:szCs w:val="20"/>
        </w:rPr>
        <w:t>10</w:t>
      </w:r>
      <w:r w:rsidRPr="004D2725">
        <w:rPr>
          <w:rFonts w:cs="Segoe UI"/>
          <w:szCs w:val="20"/>
        </w:rPr>
        <w:t>).</w:t>
      </w:r>
    </w:p>
    <w:p w14:paraId="4DD570AB" w14:textId="6E7D0E2E" w:rsidR="00EA3814" w:rsidRPr="00821C6A" w:rsidRDefault="004D2725" w:rsidP="00821C6A">
      <w:pPr>
        <w:keepNext/>
        <w:spacing w:after="0"/>
        <w:rPr>
          <w:rFonts w:eastAsia="Calibri" w:cs="Times New Roman"/>
          <w:b/>
          <w:iCs/>
          <w:color w:val="314364"/>
          <w:szCs w:val="18"/>
        </w:rPr>
      </w:pPr>
      <w:r>
        <w:rPr>
          <w:rFonts w:eastAsia="Calibri" w:cs="Times New Roman"/>
          <w:b/>
          <w:iCs/>
          <w:color w:val="314364"/>
          <w:szCs w:val="18"/>
        </w:rPr>
        <w:lastRenderedPageBreak/>
        <w:t xml:space="preserve">Tabuľka </w:t>
      </w:r>
      <w:r w:rsidR="008C2695">
        <w:rPr>
          <w:rFonts w:eastAsia="Calibri" w:cs="Times New Roman"/>
          <w:b/>
          <w:iCs/>
          <w:color w:val="314364"/>
          <w:szCs w:val="18"/>
        </w:rPr>
        <w:t>10</w:t>
      </w:r>
      <w:r w:rsidR="00800E63">
        <w:rPr>
          <w:rFonts w:eastAsia="Calibri" w:cs="Times New Roman"/>
          <w:b/>
          <w:iCs/>
          <w:color w:val="314364"/>
          <w:szCs w:val="18"/>
        </w:rPr>
        <w:t>:</w:t>
      </w:r>
      <w:r w:rsidR="00EA3814" w:rsidRPr="00821C6A">
        <w:rPr>
          <w:rFonts w:eastAsia="Calibri" w:cs="Times New Roman"/>
          <w:b/>
          <w:iCs/>
          <w:color w:val="314364"/>
          <w:szCs w:val="18"/>
        </w:rPr>
        <w:t xml:space="preserve"> Vývoj výdavkov</w:t>
      </w:r>
      <w:r w:rsidR="00A20C21">
        <w:rPr>
          <w:rFonts w:eastAsia="Calibri" w:cs="Times New Roman"/>
          <w:b/>
          <w:iCs/>
          <w:color w:val="314364"/>
          <w:szCs w:val="18"/>
        </w:rPr>
        <w:t xml:space="preserve"> na</w:t>
      </w:r>
      <w:r w:rsidR="00EA3814" w:rsidRPr="00821C6A">
        <w:rPr>
          <w:rFonts w:eastAsia="Calibri" w:cs="Times New Roman"/>
          <w:b/>
          <w:iCs/>
          <w:color w:val="314364"/>
          <w:szCs w:val="18"/>
        </w:rPr>
        <w:t xml:space="preserve"> rozvoj výzbroje, techniky a</w:t>
      </w:r>
      <w:r w:rsidR="00A20C21">
        <w:rPr>
          <w:rFonts w:eastAsia="Calibri" w:cs="Times New Roman"/>
          <w:b/>
          <w:iCs/>
          <w:color w:val="314364"/>
          <w:szCs w:val="18"/>
        </w:rPr>
        <w:t> </w:t>
      </w:r>
      <w:r w:rsidR="00EA3814" w:rsidRPr="00821C6A">
        <w:rPr>
          <w:rFonts w:eastAsia="Calibri" w:cs="Times New Roman"/>
          <w:b/>
          <w:iCs/>
          <w:color w:val="314364"/>
          <w:szCs w:val="18"/>
        </w:rPr>
        <w:t>materiálu</w:t>
      </w:r>
      <w:r w:rsidR="00A20C21">
        <w:rPr>
          <w:rFonts w:eastAsia="Calibri" w:cs="Times New Roman"/>
          <w:b/>
          <w:iCs/>
          <w:color w:val="314364"/>
          <w:szCs w:val="18"/>
        </w:rPr>
        <w:t xml:space="preserve"> (v mil. eur)</w:t>
      </w:r>
    </w:p>
    <w:tbl>
      <w:tblPr>
        <w:tblW w:w="5000" w:type="pct"/>
        <w:tblCellMar>
          <w:left w:w="70" w:type="dxa"/>
          <w:right w:w="70" w:type="dxa"/>
        </w:tblCellMar>
        <w:tblLook w:val="04A0" w:firstRow="1" w:lastRow="0" w:firstColumn="1" w:lastColumn="0" w:noHBand="0" w:noVBand="1"/>
      </w:tblPr>
      <w:tblGrid>
        <w:gridCol w:w="2888"/>
        <w:gridCol w:w="1519"/>
        <w:gridCol w:w="1479"/>
        <w:gridCol w:w="1457"/>
        <w:gridCol w:w="1727"/>
      </w:tblGrid>
      <w:tr w:rsidR="00EA3814" w:rsidRPr="008F3BDE" w14:paraId="335B550E" w14:textId="77777777" w:rsidTr="001813E9">
        <w:trPr>
          <w:trHeight w:val="283"/>
        </w:trPr>
        <w:tc>
          <w:tcPr>
            <w:tcW w:w="1622" w:type="pct"/>
            <w:tcBorders>
              <w:top w:val="nil"/>
              <w:left w:val="nil"/>
              <w:bottom w:val="nil"/>
              <w:right w:val="nil"/>
            </w:tcBorders>
            <w:shd w:val="clear" w:color="000000" w:fill="314364"/>
            <w:vAlign w:val="center"/>
            <w:hideMark/>
          </w:tcPr>
          <w:p w14:paraId="10502970" w14:textId="58E94FAB" w:rsidR="00EA3814" w:rsidRPr="008F3BDE" w:rsidRDefault="00EA3814" w:rsidP="00A20C21">
            <w:pPr>
              <w:spacing w:after="0"/>
              <w:jc w:val="left"/>
              <w:rPr>
                <w:rFonts w:eastAsia="Times New Roman" w:cs="Segoe UI"/>
                <w:b/>
                <w:bCs/>
                <w:color w:val="FFFFFF"/>
                <w:sz w:val="18"/>
                <w:szCs w:val="18"/>
                <w:lang w:eastAsia="sk-SK"/>
              </w:rPr>
            </w:pPr>
            <w:r w:rsidRPr="008F3BDE">
              <w:rPr>
                <w:rFonts w:eastAsia="Times New Roman" w:cs="Segoe UI"/>
                <w:b/>
                <w:bCs/>
                <w:color w:val="FFFFFF"/>
                <w:sz w:val="18"/>
                <w:szCs w:val="18"/>
                <w:lang w:eastAsia="sk-SK"/>
              </w:rPr>
              <w:t>Rozpočet</w:t>
            </w:r>
          </w:p>
        </w:tc>
        <w:tc>
          <w:tcPr>
            <w:tcW w:w="867" w:type="pct"/>
            <w:tcBorders>
              <w:top w:val="nil"/>
              <w:left w:val="nil"/>
              <w:bottom w:val="nil"/>
              <w:right w:val="nil"/>
            </w:tcBorders>
            <w:shd w:val="clear" w:color="000000" w:fill="314364"/>
            <w:noWrap/>
            <w:vAlign w:val="center"/>
            <w:hideMark/>
          </w:tcPr>
          <w:p w14:paraId="6E5274F1" w14:textId="77777777" w:rsidR="00EA3814" w:rsidRPr="008F3BDE" w:rsidRDefault="00EA3814" w:rsidP="001813E9">
            <w:pPr>
              <w:spacing w:after="0"/>
              <w:jc w:val="right"/>
              <w:rPr>
                <w:rFonts w:eastAsia="Times New Roman" w:cs="Segoe UI"/>
                <w:b/>
                <w:bCs/>
                <w:color w:val="FFFFFF"/>
                <w:sz w:val="18"/>
                <w:szCs w:val="18"/>
                <w:lang w:eastAsia="sk-SK"/>
              </w:rPr>
            </w:pPr>
            <w:r w:rsidRPr="008F3BDE">
              <w:rPr>
                <w:rFonts w:eastAsia="Times New Roman" w:cs="Segoe UI"/>
                <w:b/>
                <w:bCs/>
                <w:color w:val="FFFFFF"/>
                <w:sz w:val="18"/>
                <w:szCs w:val="18"/>
                <w:lang w:eastAsia="sk-SK"/>
              </w:rPr>
              <w:t>Schválený</w:t>
            </w:r>
          </w:p>
        </w:tc>
        <w:tc>
          <w:tcPr>
            <w:tcW w:w="845" w:type="pct"/>
            <w:tcBorders>
              <w:top w:val="nil"/>
              <w:left w:val="nil"/>
              <w:bottom w:val="nil"/>
              <w:right w:val="nil"/>
            </w:tcBorders>
            <w:shd w:val="clear" w:color="000000" w:fill="314364"/>
            <w:noWrap/>
            <w:vAlign w:val="center"/>
            <w:hideMark/>
          </w:tcPr>
          <w:p w14:paraId="6C5D37C9" w14:textId="77777777" w:rsidR="00EA3814" w:rsidRPr="008F3BDE" w:rsidRDefault="00EA3814" w:rsidP="001813E9">
            <w:pPr>
              <w:spacing w:after="0"/>
              <w:jc w:val="right"/>
              <w:rPr>
                <w:rFonts w:eastAsia="Times New Roman" w:cs="Segoe UI"/>
                <w:b/>
                <w:bCs/>
                <w:color w:val="FFFFFF"/>
                <w:sz w:val="18"/>
                <w:szCs w:val="18"/>
                <w:lang w:eastAsia="sk-SK"/>
              </w:rPr>
            </w:pPr>
            <w:r w:rsidRPr="008F3BDE">
              <w:rPr>
                <w:rFonts w:eastAsia="Times New Roman" w:cs="Segoe UI"/>
                <w:b/>
                <w:bCs/>
                <w:color w:val="FFFFFF"/>
                <w:sz w:val="18"/>
                <w:szCs w:val="18"/>
                <w:lang w:eastAsia="sk-SK"/>
              </w:rPr>
              <w:t>Aktuálny</w:t>
            </w:r>
          </w:p>
        </w:tc>
        <w:tc>
          <w:tcPr>
            <w:tcW w:w="833" w:type="pct"/>
            <w:tcBorders>
              <w:top w:val="nil"/>
              <w:left w:val="nil"/>
              <w:bottom w:val="nil"/>
              <w:right w:val="nil"/>
            </w:tcBorders>
            <w:shd w:val="clear" w:color="000000" w:fill="314364"/>
            <w:vAlign w:val="center"/>
            <w:hideMark/>
          </w:tcPr>
          <w:p w14:paraId="4F320C22" w14:textId="77777777" w:rsidR="00EA3814" w:rsidRPr="008F3BDE" w:rsidRDefault="00EA3814" w:rsidP="001813E9">
            <w:pPr>
              <w:spacing w:after="0"/>
              <w:jc w:val="right"/>
              <w:rPr>
                <w:rFonts w:eastAsia="Times New Roman" w:cs="Segoe UI"/>
                <w:b/>
                <w:bCs/>
                <w:color w:val="FFFFFF"/>
                <w:sz w:val="18"/>
                <w:szCs w:val="18"/>
                <w:lang w:eastAsia="sk-SK"/>
              </w:rPr>
            </w:pPr>
            <w:r w:rsidRPr="008F3BDE">
              <w:rPr>
                <w:rFonts w:eastAsia="Times New Roman" w:cs="Segoe UI"/>
                <w:b/>
                <w:bCs/>
                <w:color w:val="FFFFFF"/>
                <w:sz w:val="18"/>
                <w:szCs w:val="18"/>
                <w:lang w:eastAsia="sk-SK"/>
              </w:rPr>
              <w:t>Čerpanie</w:t>
            </w:r>
          </w:p>
        </w:tc>
        <w:tc>
          <w:tcPr>
            <w:tcW w:w="833" w:type="pct"/>
            <w:tcBorders>
              <w:top w:val="nil"/>
              <w:left w:val="nil"/>
              <w:bottom w:val="nil"/>
              <w:right w:val="nil"/>
            </w:tcBorders>
            <w:shd w:val="clear" w:color="000000" w:fill="314364"/>
            <w:vAlign w:val="center"/>
            <w:hideMark/>
          </w:tcPr>
          <w:p w14:paraId="4E0866C4" w14:textId="5B672B06" w:rsidR="00EA3814" w:rsidRPr="008F3BDE" w:rsidRDefault="00EA3814" w:rsidP="001813E9">
            <w:pPr>
              <w:spacing w:after="0"/>
              <w:jc w:val="right"/>
              <w:rPr>
                <w:rFonts w:eastAsia="Times New Roman" w:cs="Segoe UI"/>
                <w:b/>
                <w:bCs/>
                <w:color w:val="FFFFFF"/>
                <w:sz w:val="18"/>
                <w:szCs w:val="18"/>
                <w:lang w:eastAsia="sk-SK"/>
              </w:rPr>
            </w:pPr>
            <w:r w:rsidRPr="008F3BDE">
              <w:rPr>
                <w:rFonts w:eastAsia="Times New Roman" w:cs="Segoe UI"/>
                <w:b/>
                <w:bCs/>
                <w:color w:val="FFFFFF"/>
                <w:sz w:val="18"/>
                <w:szCs w:val="18"/>
                <w:lang w:eastAsia="sk-SK"/>
              </w:rPr>
              <w:t>Čerpanie</w:t>
            </w:r>
            <w:r w:rsidR="004C7A3E">
              <w:rPr>
                <w:rFonts w:eastAsia="Times New Roman" w:cs="Segoe UI"/>
                <w:b/>
                <w:bCs/>
                <w:color w:val="FFFFFF"/>
                <w:sz w:val="18"/>
                <w:szCs w:val="18"/>
                <w:lang w:eastAsia="sk-SK"/>
              </w:rPr>
              <w:t>/Aktuálny</w:t>
            </w:r>
          </w:p>
        </w:tc>
      </w:tr>
      <w:tr w:rsidR="00EA3814" w:rsidRPr="008F3BDE" w14:paraId="6E554533" w14:textId="77777777" w:rsidTr="001813E9">
        <w:trPr>
          <w:trHeight w:val="283"/>
        </w:trPr>
        <w:tc>
          <w:tcPr>
            <w:tcW w:w="1622" w:type="pct"/>
            <w:tcBorders>
              <w:top w:val="nil"/>
              <w:left w:val="nil"/>
              <w:bottom w:val="nil"/>
              <w:right w:val="nil"/>
            </w:tcBorders>
            <w:shd w:val="clear" w:color="auto" w:fill="auto"/>
            <w:noWrap/>
            <w:vAlign w:val="center"/>
            <w:hideMark/>
          </w:tcPr>
          <w:p w14:paraId="51DACA7C" w14:textId="77777777" w:rsidR="00EA3814" w:rsidRPr="00F15428" w:rsidRDefault="00EA3814" w:rsidP="001813E9">
            <w:pPr>
              <w:spacing w:after="0"/>
              <w:jc w:val="left"/>
              <w:rPr>
                <w:rFonts w:eastAsia="Times New Roman" w:cs="Segoe UI"/>
                <w:sz w:val="18"/>
                <w:szCs w:val="18"/>
                <w:lang w:eastAsia="sk-SK"/>
              </w:rPr>
            </w:pPr>
            <w:r w:rsidRPr="00F15428">
              <w:rPr>
                <w:rFonts w:eastAsia="Times New Roman" w:cs="Segoe UI"/>
                <w:sz w:val="18"/>
                <w:szCs w:val="18"/>
                <w:lang w:eastAsia="sk-SK"/>
              </w:rPr>
              <w:t>2018</w:t>
            </w:r>
          </w:p>
        </w:tc>
        <w:tc>
          <w:tcPr>
            <w:tcW w:w="867" w:type="pct"/>
            <w:tcBorders>
              <w:top w:val="nil"/>
              <w:left w:val="nil"/>
              <w:bottom w:val="nil"/>
              <w:right w:val="nil"/>
            </w:tcBorders>
            <w:shd w:val="clear" w:color="auto" w:fill="auto"/>
            <w:noWrap/>
            <w:vAlign w:val="center"/>
            <w:hideMark/>
          </w:tcPr>
          <w:p w14:paraId="5196CD10" w14:textId="77777777" w:rsidR="00EA3814" w:rsidRPr="00F15428" w:rsidRDefault="00EA3814" w:rsidP="001813E9">
            <w:pPr>
              <w:spacing w:after="0"/>
              <w:jc w:val="right"/>
              <w:rPr>
                <w:rFonts w:eastAsia="Times New Roman" w:cs="Segoe UI"/>
                <w:sz w:val="18"/>
                <w:szCs w:val="18"/>
                <w:lang w:eastAsia="sk-SK"/>
              </w:rPr>
            </w:pPr>
            <w:r w:rsidRPr="00F15428">
              <w:rPr>
                <w:rFonts w:eastAsia="Times New Roman" w:cs="Segoe UI"/>
                <w:sz w:val="18"/>
                <w:szCs w:val="18"/>
                <w:lang w:eastAsia="sk-SK"/>
              </w:rPr>
              <w:t>231,5</w:t>
            </w:r>
          </w:p>
        </w:tc>
        <w:tc>
          <w:tcPr>
            <w:tcW w:w="845" w:type="pct"/>
            <w:tcBorders>
              <w:top w:val="nil"/>
              <w:left w:val="nil"/>
              <w:bottom w:val="nil"/>
              <w:right w:val="nil"/>
            </w:tcBorders>
            <w:shd w:val="clear" w:color="auto" w:fill="auto"/>
            <w:noWrap/>
            <w:vAlign w:val="center"/>
            <w:hideMark/>
          </w:tcPr>
          <w:p w14:paraId="2145CCBC" w14:textId="77777777" w:rsidR="00EA3814" w:rsidRPr="00F15428" w:rsidRDefault="00EA3814" w:rsidP="001813E9">
            <w:pPr>
              <w:spacing w:after="0"/>
              <w:jc w:val="right"/>
              <w:rPr>
                <w:rFonts w:eastAsia="Times New Roman" w:cs="Segoe UI"/>
                <w:sz w:val="18"/>
                <w:szCs w:val="18"/>
                <w:lang w:eastAsia="sk-SK"/>
              </w:rPr>
            </w:pPr>
            <w:r w:rsidRPr="00F15428">
              <w:rPr>
                <w:rFonts w:eastAsia="Times New Roman" w:cs="Segoe UI"/>
                <w:sz w:val="18"/>
                <w:szCs w:val="18"/>
                <w:lang w:eastAsia="sk-SK"/>
              </w:rPr>
              <w:t>188,7</w:t>
            </w:r>
          </w:p>
        </w:tc>
        <w:tc>
          <w:tcPr>
            <w:tcW w:w="833" w:type="pct"/>
            <w:tcBorders>
              <w:top w:val="nil"/>
              <w:left w:val="nil"/>
              <w:bottom w:val="nil"/>
              <w:right w:val="nil"/>
            </w:tcBorders>
            <w:shd w:val="clear" w:color="auto" w:fill="auto"/>
            <w:vAlign w:val="center"/>
            <w:hideMark/>
          </w:tcPr>
          <w:p w14:paraId="0DCC0DAF" w14:textId="77777777" w:rsidR="00EA3814" w:rsidRPr="00F15428" w:rsidRDefault="00EA3814" w:rsidP="001813E9">
            <w:pPr>
              <w:spacing w:after="0"/>
              <w:jc w:val="right"/>
              <w:rPr>
                <w:rFonts w:eastAsia="Times New Roman" w:cs="Segoe UI"/>
                <w:sz w:val="18"/>
                <w:szCs w:val="18"/>
                <w:lang w:eastAsia="sk-SK"/>
              </w:rPr>
            </w:pPr>
            <w:r w:rsidRPr="00F15428">
              <w:rPr>
                <w:rFonts w:eastAsia="Times New Roman" w:cs="Segoe UI"/>
                <w:sz w:val="18"/>
                <w:szCs w:val="18"/>
                <w:lang w:eastAsia="sk-SK"/>
              </w:rPr>
              <w:t>192,8</w:t>
            </w:r>
          </w:p>
        </w:tc>
        <w:tc>
          <w:tcPr>
            <w:tcW w:w="833" w:type="pct"/>
            <w:tcBorders>
              <w:top w:val="nil"/>
              <w:left w:val="nil"/>
              <w:bottom w:val="nil"/>
              <w:right w:val="nil"/>
            </w:tcBorders>
            <w:shd w:val="clear" w:color="auto" w:fill="auto"/>
            <w:vAlign w:val="center"/>
            <w:hideMark/>
          </w:tcPr>
          <w:p w14:paraId="6835ADB1" w14:textId="77777777" w:rsidR="00EA3814" w:rsidRPr="00F15428" w:rsidRDefault="00EA3814" w:rsidP="001813E9">
            <w:pPr>
              <w:spacing w:after="0"/>
              <w:jc w:val="right"/>
              <w:rPr>
                <w:rFonts w:eastAsia="Times New Roman" w:cs="Segoe UI"/>
                <w:sz w:val="18"/>
                <w:szCs w:val="18"/>
                <w:lang w:eastAsia="sk-SK"/>
              </w:rPr>
            </w:pPr>
            <w:r w:rsidRPr="00F15428">
              <w:rPr>
                <w:rFonts w:eastAsia="Times New Roman" w:cs="Segoe UI"/>
                <w:sz w:val="18"/>
                <w:szCs w:val="18"/>
                <w:lang w:eastAsia="sk-SK"/>
              </w:rPr>
              <w:t>102</w:t>
            </w:r>
            <w:r>
              <w:rPr>
                <w:rFonts w:eastAsia="Times New Roman" w:cs="Segoe UI"/>
                <w:sz w:val="18"/>
                <w:szCs w:val="18"/>
                <w:lang w:eastAsia="sk-SK"/>
              </w:rPr>
              <w:t xml:space="preserve"> </w:t>
            </w:r>
            <w:r w:rsidRPr="00F15428">
              <w:rPr>
                <w:rFonts w:eastAsia="Times New Roman" w:cs="Segoe UI"/>
                <w:sz w:val="18"/>
                <w:szCs w:val="18"/>
                <w:lang w:eastAsia="sk-SK"/>
              </w:rPr>
              <w:t>%</w:t>
            </w:r>
          </w:p>
        </w:tc>
      </w:tr>
      <w:tr w:rsidR="00EA3814" w:rsidRPr="008F3BDE" w14:paraId="7EF76CDD" w14:textId="77777777" w:rsidTr="001813E9">
        <w:trPr>
          <w:trHeight w:val="283"/>
        </w:trPr>
        <w:tc>
          <w:tcPr>
            <w:tcW w:w="1622" w:type="pct"/>
            <w:tcBorders>
              <w:top w:val="nil"/>
              <w:left w:val="nil"/>
              <w:bottom w:val="nil"/>
              <w:right w:val="nil"/>
            </w:tcBorders>
            <w:shd w:val="clear" w:color="auto" w:fill="auto"/>
            <w:noWrap/>
            <w:vAlign w:val="center"/>
            <w:hideMark/>
          </w:tcPr>
          <w:p w14:paraId="584CB6ED" w14:textId="77777777" w:rsidR="00EA3814" w:rsidRPr="00F15428" w:rsidRDefault="00EA3814" w:rsidP="001813E9">
            <w:pPr>
              <w:spacing w:after="0"/>
              <w:jc w:val="left"/>
              <w:rPr>
                <w:rFonts w:eastAsia="Times New Roman" w:cs="Segoe UI"/>
                <w:sz w:val="18"/>
                <w:szCs w:val="18"/>
                <w:lang w:eastAsia="sk-SK"/>
              </w:rPr>
            </w:pPr>
            <w:r w:rsidRPr="00F15428">
              <w:rPr>
                <w:rFonts w:eastAsia="Times New Roman" w:cs="Segoe UI"/>
                <w:sz w:val="18"/>
                <w:szCs w:val="18"/>
                <w:lang w:eastAsia="sk-SK"/>
              </w:rPr>
              <w:t>2019</w:t>
            </w:r>
          </w:p>
        </w:tc>
        <w:tc>
          <w:tcPr>
            <w:tcW w:w="867" w:type="pct"/>
            <w:tcBorders>
              <w:top w:val="nil"/>
              <w:left w:val="nil"/>
              <w:bottom w:val="nil"/>
              <w:right w:val="nil"/>
            </w:tcBorders>
            <w:shd w:val="clear" w:color="auto" w:fill="auto"/>
            <w:noWrap/>
            <w:vAlign w:val="center"/>
            <w:hideMark/>
          </w:tcPr>
          <w:p w14:paraId="1212969D" w14:textId="77777777" w:rsidR="00EA3814" w:rsidRPr="00F15428" w:rsidRDefault="00EA3814" w:rsidP="001813E9">
            <w:pPr>
              <w:spacing w:after="0"/>
              <w:jc w:val="right"/>
              <w:rPr>
                <w:rFonts w:eastAsia="Times New Roman" w:cs="Segoe UI"/>
                <w:sz w:val="18"/>
                <w:szCs w:val="18"/>
                <w:lang w:eastAsia="sk-SK"/>
              </w:rPr>
            </w:pPr>
            <w:r w:rsidRPr="00F15428">
              <w:rPr>
                <w:rFonts w:eastAsia="Times New Roman" w:cs="Segoe UI"/>
                <w:sz w:val="18"/>
                <w:szCs w:val="18"/>
                <w:lang w:eastAsia="sk-SK"/>
              </w:rPr>
              <w:t>769</w:t>
            </w:r>
          </w:p>
        </w:tc>
        <w:tc>
          <w:tcPr>
            <w:tcW w:w="845" w:type="pct"/>
            <w:tcBorders>
              <w:top w:val="nil"/>
              <w:left w:val="nil"/>
              <w:bottom w:val="nil"/>
              <w:right w:val="nil"/>
            </w:tcBorders>
            <w:shd w:val="clear" w:color="auto" w:fill="auto"/>
            <w:noWrap/>
            <w:vAlign w:val="center"/>
            <w:hideMark/>
          </w:tcPr>
          <w:p w14:paraId="6E28C9D1" w14:textId="77777777" w:rsidR="00EA3814" w:rsidRPr="00F15428" w:rsidRDefault="00EA3814" w:rsidP="001813E9">
            <w:pPr>
              <w:spacing w:after="0"/>
              <w:jc w:val="right"/>
              <w:rPr>
                <w:rFonts w:eastAsia="Times New Roman" w:cs="Segoe UI"/>
                <w:sz w:val="18"/>
                <w:szCs w:val="18"/>
                <w:lang w:eastAsia="sk-SK"/>
              </w:rPr>
            </w:pPr>
            <w:r w:rsidRPr="00F15428">
              <w:rPr>
                <w:rFonts w:eastAsia="Times New Roman" w:cs="Segoe UI"/>
                <w:sz w:val="18"/>
                <w:szCs w:val="18"/>
                <w:lang w:eastAsia="sk-SK"/>
              </w:rPr>
              <w:t>596,8</w:t>
            </w:r>
          </w:p>
        </w:tc>
        <w:tc>
          <w:tcPr>
            <w:tcW w:w="833" w:type="pct"/>
            <w:tcBorders>
              <w:top w:val="nil"/>
              <w:left w:val="nil"/>
              <w:bottom w:val="nil"/>
              <w:right w:val="nil"/>
            </w:tcBorders>
            <w:shd w:val="clear" w:color="auto" w:fill="auto"/>
            <w:vAlign w:val="center"/>
            <w:hideMark/>
          </w:tcPr>
          <w:p w14:paraId="2DD34D64" w14:textId="77777777" w:rsidR="00EA3814" w:rsidRPr="00F15428" w:rsidRDefault="00EA3814" w:rsidP="001813E9">
            <w:pPr>
              <w:spacing w:after="0"/>
              <w:jc w:val="right"/>
              <w:rPr>
                <w:rFonts w:eastAsia="Times New Roman" w:cs="Segoe UI"/>
                <w:sz w:val="18"/>
                <w:szCs w:val="18"/>
                <w:lang w:eastAsia="sk-SK"/>
              </w:rPr>
            </w:pPr>
            <w:r w:rsidRPr="00F15428">
              <w:rPr>
                <w:rFonts w:eastAsia="Times New Roman" w:cs="Segoe UI"/>
                <w:sz w:val="18"/>
                <w:szCs w:val="18"/>
                <w:lang w:eastAsia="sk-SK"/>
              </w:rPr>
              <w:t>604,3</w:t>
            </w:r>
          </w:p>
        </w:tc>
        <w:tc>
          <w:tcPr>
            <w:tcW w:w="833" w:type="pct"/>
            <w:tcBorders>
              <w:top w:val="nil"/>
              <w:left w:val="nil"/>
              <w:bottom w:val="nil"/>
              <w:right w:val="nil"/>
            </w:tcBorders>
            <w:shd w:val="clear" w:color="auto" w:fill="auto"/>
            <w:vAlign w:val="center"/>
            <w:hideMark/>
          </w:tcPr>
          <w:p w14:paraId="1E4CAF8D" w14:textId="77777777" w:rsidR="00EA3814" w:rsidRPr="00F15428" w:rsidRDefault="00EA3814" w:rsidP="001813E9">
            <w:pPr>
              <w:spacing w:after="0"/>
              <w:jc w:val="right"/>
              <w:rPr>
                <w:rFonts w:eastAsia="Times New Roman" w:cs="Segoe UI"/>
                <w:sz w:val="18"/>
                <w:szCs w:val="18"/>
                <w:lang w:eastAsia="sk-SK"/>
              </w:rPr>
            </w:pPr>
            <w:r w:rsidRPr="00F15428">
              <w:rPr>
                <w:rFonts w:eastAsia="Times New Roman" w:cs="Segoe UI"/>
                <w:sz w:val="18"/>
                <w:szCs w:val="18"/>
                <w:lang w:eastAsia="sk-SK"/>
              </w:rPr>
              <w:t>101</w:t>
            </w:r>
            <w:r>
              <w:rPr>
                <w:rFonts w:eastAsia="Times New Roman" w:cs="Segoe UI"/>
                <w:sz w:val="18"/>
                <w:szCs w:val="18"/>
                <w:lang w:eastAsia="sk-SK"/>
              </w:rPr>
              <w:t xml:space="preserve"> </w:t>
            </w:r>
            <w:r w:rsidRPr="00F15428">
              <w:rPr>
                <w:rFonts w:eastAsia="Times New Roman" w:cs="Segoe UI"/>
                <w:sz w:val="18"/>
                <w:szCs w:val="18"/>
                <w:lang w:eastAsia="sk-SK"/>
              </w:rPr>
              <w:t>%</w:t>
            </w:r>
          </w:p>
        </w:tc>
      </w:tr>
      <w:tr w:rsidR="00EA3814" w:rsidRPr="008F3BDE" w14:paraId="50C18AF4" w14:textId="77777777" w:rsidTr="001813E9">
        <w:trPr>
          <w:trHeight w:val="283"/>
        </w:trPr>
        <w:tc>
          <w:tcPr>
            <w:tcW w:w="1622" w:type="pct"/>
            <w:tcBorders>
              <w:top w:val="nil"/>
              <w:left w:val="nil"/>
              <w:bottom w:val="nil"/>
              <w:right w:val="nil"/>
            </w:tcBorders>
            <w:shd w:val="clear" w:color="auto" w:fill="auto"/>
            <w:noWrap/>
            <w:vAlign w:val="center"/>
            <w:hideMark/>
          </w:tcPr>
          <w:p w14:paraId="751866C6" w14:textId="77777777" w:rsidR="00EA3814" w:rsidRPr="00F15428" w:rsidRDefault="00EA3814" w:rsidP="001813E9">
            <w:pPr>
              <w:spacing w:after="0"/>
              <w:jc w:val="left"/>
              <w:rPr>
                <w:rFonts w:eastAsia="Times New Roman" w:cs="Segoe UI"/>
                <w:sz w:val="18"/>
                <w:szCs w:val="18"/>
                <w:lang w:eastAsia="sk-SK"/>
              </w:rPr>
            </w:pPr>
            <w:r w:rsidRPr="00F15428">
              <w:rPr>
                <w:rFonts w:eastAsia="Times New Roman" w:cs="Segoe UI"/>
                <w:sz w:val="18"/>
                <w:szCs w:val="18"/>
                <w:lang w:eastAsia="sk-SK"/>
              </w:rPr>
              <w:t>2020</w:t>
            </w:r>
          </w:p>
        </w:tc>
        <w:tc>
          <w:tcPr>
            <w:tcW w:w="867" w:type="pct"/>
            <w:tcBorders>
              <w:top w:val="nil"/>
              <w:left w:val="nil"/>
              <w:bottom w:val="nil"/>
              <w:right w:val="nil"/>
            </w:tcBorders>
            <w:shd w:val="clear" w:color="auto" w:fill="auto"/>
            <w:noWrap/>
            <w:vAlign w:val="center"/>
            <w:hideMark/>
          </w:tcPr>
          <w:p w14:paraId="442BA9F3" w14:textId="77777777" w:rsidR="00EA3814" w:rsidRPr="00F15428" w:rsidRDefault="00EA3814" w:rsidP="001813E9">
            <w:pPr>
              <w:spacing w:after="0"/>
              <w:jc w:val="right"/>
              <w:rPr>
                <w:rFonts w:eastAsia="Times New Roman" w:cs="Segoe UI"/>
                <w:sz w:val="18"/>
                <w:szCs w:val="18"/>
                <w:lang w:eastAsia="sk-SK"/>
              </w:rPr>
            </w:pPr>
            <w:r w:rsidRPr="00F15428">
              <w:rPr>
                <w:rFonts w:eastAsia="Times New Roman" w:cs="Segoe UI"/>
                <w:sz w:val="18"/>
                <w:szCs w:val="18"/>
                <w:lang w:eastAsia="sk-SK"/>
              </w:rPr>
              <w:t>438,4</w:t>
            </w:r>
          </w:p>
        </w:tc>
        <w:tc>
          <w:tcPr>
            <w:tcW w:w="845" w:type="pct"/>
            <w:tcBorders>
              <w:top w:val="nil"/>
              <w:left w:val="nil"/>
              <w:bottom w:val="nil"/>
              <w:right w:val="nil"/>
            </w:tcBorders>
            <w:shd w:val="clear" w:color="auto" w:fill="auto"/>
            <w:noWrap/>
            <w:vAlign w:val="center"/>
            <w:hideMark/>
          </w:tcPr>
          <w:p w14:paraId="5A239808" w14:textId="77777777" w:rsidR="00EA3814" w:rsidRPr="00F15428" w:rsidRDefault="00EA3814" w:rsidP="001813E9">
            <w:pPr>
              <w:spacing w:after="0"/>
              <w:jc w:val="right"/>
              <w:rPr>
                <w:rFonts w:eastAsia="Times New Roman" w:cs="Segoe UI"/>
                <w:sz w:val="18"/>
                <w:szCs w:val="18"/>
                <w:lang w:eastAsia="sk-SK"/>
              </w:rPr>
            </w:pPr>
            <w:r w:rsidRPr="00F15428">
              <w:rPr>
                <w:rFonts w:eastAsia="Times New Roman" w:cs="Segoe UI"/>
                <w:sz w:val="18"/>
                <w:szCs w:val="18"/>
                <w:lang w:eastAsia="sk-SK"/>
              </w:rPr>
              <w:t>557,7</w:t>
            </w:r>
          </w:p>
        </w:tc>
        <w:tc>
          <w:tcPr>
            <w:tcW w:w="833" w:type="pct"/>
            <w:tcBorders>
              <w:top w:val="nil"/>
              <w:left w:val="nil"/>
              <w:bottom w:val="nil"/>
              <w:right w:val="nil"/>
            </w:tcBorders>
            <w:shd w:val="clear" w:color="auto" w:fill="auto"/>
            <w:vAlign w:val="center"/>
            <w:hideMark/>
          </w:tcPr>
          <w:p w14:paraId="228C530F" w14:textId="77777777" w:rsidR="00EA3814" w:rsidRPr="00F15428" w:rsidRDefault="00EA3814" w:rsidP="001813E9">
            <w:pPr>
              <w:spacing w:after="0"/>
              <w:jc w:val="right"/>
              <w:rPr>
                <w:rFonts w:eastAsia="Times New Roman" w:cs="Segoe UI"/>
                <w:sz w:val="18"/>
                <w:szCs w:val="18"/>
                <w:lang w:eastAsia="sk-SK"/>
              </w:rPr>
            </w:pPr>
            <w:r w:rsidRPr="00F15428">
              <w:rPr>
                <w:rFonts w:eastAsia="Times New Roman" w:cs="Segoe UI"/>
                <w:sz w:val="18"/>
                <w:szCs w:val="18"/>
                <w:lang w:eastAsia="sk-SK"/>
              </w:rPr>
              <w:t>560,6</w:t>
            </w:r>
          </w:p>
        </w:tc>
        <w:tc>
          <w:tcPr>
            <w:tcW w:w="833" w:type="pct"/>
            <w:tcBorders>
              <w:top w:val="nil"/>
              <w:left w:val="nil"/>
              <w:bottom w:val="nil"/>
              <w:right w:val="nil"/>
            </w:tcBorders>
            <w:shd w:val="clear" w:color="auto" w:fill="auto"/>
            <w:vAlign w:val="center"/>
            <w:hideMark/>
          </w:tcPr>
          <w:p w14:paraId="7C5B2C5B" w14:textId="77777777" w:rsidR="00EA3814" w:rsidRPr="00F15428" w:rsidRDefault="00EA3814" w:rsidP="001813E9">
            <w:pPr>
              <w:spacing w:after="0"/>
              <w:jc w:val="right"/>
              <w:rPr>
                <w:rFonts w:eastAsia="Times New Roman" w:cs="Segoe UI"/>
                <w:sz w:val="18"/>
                <w:szCs w:val="18"/>
                <w:lang w:eastAsia="sk-SK"/>
              </w:rPr>
            </w:pPr>
            <w:r w:rsidRPr="00F15428">
              <w:rPr>
                <w:rFonts w:eastAsia="Times New Roman" w:cs="Segoe UI"/>
                <w:sz w:val="18"/>
                <w:szCs w:val="18"/>
                <w:lang w:eastAsia="sk-SK"/>
              </w:rPr>
              <w:t>101</w:t>
            </w:r>
            <w:r>
              <w:rPr>
                <w:rFonts w:eastAsia="Times New Roman" w:cs="Segoe UI"/>
                <w:sz w:val="18"/>
                <w:szCs w:val="18"/>
                <w:lang w:eastAsia="sk-SK"/>
              </w:rPr>
              <w:t xml:space="preserve"> </w:t>
            </w:r>
            <w:r w:rsidRPr="00F15428">
              <w:rPr>
                <w:rFonts w:eastAsia="Times New Roman" w:cs="Segoe UI"/>
                <w:sz w:val="18"/>
                <w:szCs w:val="18"/>
                <w:lang w:eastAsia="sk-SK"/>
              </w:rPr>
              <w:t>%</w:t>
            </w:r>
          </w:p>
        </w:tc>
      </w:tr>
      <w:tr w:rsidR="00EA3814" w:rsidRPr="008F3BDE" w14:paraId="36F99BEE" w14:textId="77777777" w:rsidTr="001813E9">
        <w:trPr>
          <w:trHeight w:val="283"/>
        </w:trPr>
        <w:tc>
          <w:tcPr>
            <w:tcW w:w="1622" w:type="pct"/>
            <w:tcBorders>
              <w:top w:val="nil"/>
              <w:left w:val="nil"/>
              <w:bottom w:val="nil"/>
              <w:right w:val="nil"/>
            </w:tcBorders>
            <w:shd w:val="clear" w:color="auto" w:fill="auto"/>
            <w:noWrap/>
            <w:vAlign w:val="center"/>
            <w:hideMark/>
          </w:tcPr>
          <w:p w14:paraId="2BFCA20F" w14:textId="77777777" w:rsidR="00EA3814" w:rsidRPr="00F15428" w:rsidRDefault="00EA3814" w:rsidP="001813E9">
            <w:pPr>
              <w:spacing w:after="0"/>
              <w:jc w:val="left"/>
              <w:rPr>
                <w:rFonts w:eastAsia="Times New Roman" w:cs="Segoe UI"/>
                <w:sz w:val="18"/>
                <w:szCs w:val="18"/>
                <w:lang w:eastAsia="sk-SK"/>
              </w:rPr>
            </w:pPr>
            <w:r w:rsidRPr="00F15428">
              <w:rPr>
                <w:rFonts w:eastAsia="Times New Roman" w:cs="Segoe UI"/>
                <w:sz w:val="18"/>
                <w:szCs w:val="18"/>
                <w:lang w:eastAsia="sk-SK"/>
              </w:rPr>
              <w:t>2021</w:t>
            </w:r>
          </w:p>
        </w:tc>
        <w:tc>
          <w:tcPr>
            <w:tcW w:w="867" w:type="pct"/>
            <w:tcBorders>
              <w:top w:val="nil"/>
              <w:left w:val="nil"/>
              <w:bottom w:val="nil"/>
              <w:right w:val="nil"/>
            </w:tcBorders>
            <w:shd w:val="clear" w:color="auto" w:fill="auto"/>
            <w:noWrap/>
            <w:vAlign w:val="center"/>
            <w:hideMark/>
          </w:tcPr>
          <w:p w14:paraId="15E1F71D" w14:textId="77777777" w:rsidR="00EA3814" w:rsidRPr="00F15428" w:rsidRDefault="00EA3814" w:rsidP="001813E9">
            <w:pPr>
              <w:spacing w:after="0"/>
              <w:jc w:val="right"/>
              <w:rPr>
                <w:rFonts w:eastAsia="Times New Roman" w:cs="Segoe UI"/>
                <w:sz w:val="18"/>
                <w:szCs w:val="18"/>
                <w:lang w:eastAsia="sk-SK"/>
              </w:rPr>
            </w:pPr>
            <w:r w:rsidRPr="00F15428">
              <w:rPr>
                <w:rFonts w:eastAsia="Times New Roman" w:cs="Segoe UI"/>
                <w:sz w:val="18"/>
                <w:szCs w:val="18"/>
                <w:lang w:eastAsia="sk-SK"/>
              </w:rPr>
              <w:t>44,2</w:t>
            </w:r>
          </w:p>
        </w:tc>
        <w:tc>
          <w:tcPr>
            <w:tcW w:w="845" w:type="pct"/>
            <w:tcBorders>
              <w:top w:val="nil"/>
              <w:left w:val="nil"/>
              <w:bottom w:val="nil"/>
              <w:right w:val="nil"/>
            </w:tcBorders>
            <w:shd w:val="clear" w:color="auto" w:fill="auto"/>
            <w:noWrap/>
            <w:vAlign w:val="center"/>
            <w:hideMark/>
          </w:tcPr>
          <w:p w14:paraId="18D1C8F6" w14:textId="77777777" w:rsidR="00EA3814" w:rsidRPr="00F15428" w:rsidRDefault="00EA3814" w:rsidP="001813E9">
            <w:pPr>
              <w:spacing w:after="0"/>
              <w:jc w:val="right"/>
              <w:rPr>
                <w:rFonts w:eastAsia="Times New Roman" w:cs="Segoe UI"/>
                <w:sz w:val="18"/>
                <w:szCs w:val="18"/>
                <w:lang w:eastAsia="sk-SK"/>
              </w:rPr>
            </w:pPr>
            <w:r w:rsidRPr="00F15428">
              <w:rPr>
                <w:rFonts w:eastAsia="Times New Roman" w:cs="Segoe UI"/>
                <w:sz w:val="18"/>
                <w:szCs w:val="18"/>
                <w:lang w:eastAsia="sk-SK"/>
              </w:rPr>
              <w:t>545,4</w:t>
            </w:r>
          </w:p>
        </w:tc>
        <w:tc>
          <w:tcPr>
            <w:tcW w:w="833" w:type="pct"/>
            <w:tcBorders>
              <w:top w:val="nil"/>
              <w:left w:val="nil"/>
              <w:bottom w:val="nil"/>
              <w:right w:val="nil"/>
            </w:tcBorders>
            <w:shd w:val="clear" w:color="auto" w:fill="auto"/>
            <w:vAlign w:val="center"/>
            <w:hideMark/>
          </w:tcPr>
          <w:p w14:paraId="43174C66" w14:textId="77777777" w:rsidR="00EA3814" w:rsidRPr="00F15428" w:rsidRDefault="00EA3814" w:rsidP="001813E9">
            <w:pPr>
              <w:spacing w:after="0"/>
              <w:jc w:val="right"/>
              <w:rPr>
                <w:rFonts w:eastAsia="Times New Roman" w:cs="Segoe UI"/>
                <w:sz w:val="18"/>
                <w:szCs w:val="18"/>
                <w:lang w:eastAsia="sk-SK"/>
              </w:rPr>
            </w:pPr>
            <w:r w:rsidRPr="00F15428">
              <w:rPr>
                <w:rFonts w:eastAsia="Times New Roman" w:cs="Segoe UI"/>
                <w:sz w:val="18"/>
                <w:szCs w:val="18"/>
                <w:lang w:eastAsia="sk-SK"/>
              </w:rPr>
              <w:t>545,6</w:t>
            </w:r>
          </w:p>
        </w:tc>
        <w:tc>
          <w:tcPr>
            <w:tcW w:w="833" w:type="pct"/>
            <w:tcBorders>
              <w:top w:val="nil"/>
              <w:left w:val="nil"/>
              <w:bottom w:val="nil"/>
              <w:right w:val="nil"/>
            </w:tcBorders>
            <w:shd w:val="clear" w:color="auto" w:fill="auto"/>
            <w:vAlign w:val="center"/>
            <w:hideMark/>
          </w:tcPr>
          <w:p w14:paraId="6FDAC662" w14:textId="77777777" w:rsidR="00EA3814" w:rsidRPr="00F15428" w:rsidRDefault="00EA3814" w:rsidP="001813E9">
            <w:pPr>
              <w:spacing w:after="0"/>
              <w:jc w:val="right"/>
              <w:rPr>
                <w:rFonts w:eastAsia="Times New Roman" w:cs="Segoe UI"/>
                <w:sz w:val="18"/>
                <w:szCs w:val="18"/>
                <w:lang w:eastAsia="sk-SK"/>
              </w:rPr>
            </w:pPr>
            <w:r w:rsidRPr="00F15428">
              <w:rPr>
                <w:rFonts w:eastAsia="Times New Roman" w:cs="Segoe UI"/>
                <w:sz w:val="18"/>
                <w:szCs w:val="18"/>
                <w:lang w:eastAsia="sk-SK"/>
              </w:rPr>
              <w:t>100</w:t>
            </w:r>
            <w:r>
              <w:rPr>
                <w:rFonts w:eastAsia="Times New Roman" w:cs="Segoe UI"/>
                <w:sz w:val="18"/>
                <w:szCs w:val="18"/>
                <w:lang w:eastAsia="sk-SK"/>
              </w:rPr>
              <w:t xml:space="preserve"> </w:t>
            </w:r>
            <w:r w:rsidRPr="00F15428">
              <w:rPr>
                <w:rFonts w:eastAsia="Times New Roman" w:cs="Segoe UI"/>
                <w:sz w:val="18"/>
                <w:szCs w:val="18"/>
                <w:lang w:eastAsia="sk-SK"/>
              </w:rPr>
              <w:t>%</w:t>
            </w:r>
          </w:p>
        </w:tc>
      </w:tr>
      <w:tr w:rsidR="00EA3814" w:rsidRPr="008F3BDE" w14:paraId="0A369351" w14:textId="77777777" w:rsidTr="001813E9">
        <w:trPr>
          <w:trHeight w:val="283"/>
        </w:trPr>
        <w:tc>
          <w:tcPr>
            <w:tcW w:w="1622" w:type="pct"/>
            <w:tcBorders>
              <w:top w:val="nil"/>
              <w:left w:val="nil"/>
              <w:bottom w:val="nil"/>
              <w:right w:val="nil"/>
            </w:tcBorders>
            <w:shd w:val="clear" w:color="auto" w:fill="auto"/>
            <w:noWrap/>
            <w:vAlign w:val="center"/>
            <w:hideMark/>
          </w:tcPr>
          <w:p w14:paraId="20DFDCE5" w14:textId="77777777" w:rsidR="00EA3814" w:rsidRPr="00F15428" w:rsidRDefault="00EA3814" w:rsidP="001813E9">
            <w:pPr>
              <w:spacing w:after="0"/>
              <w:jc w:val="left"/>
              <w:rPr>
                <w:rFonts w:eastAsia="Times New Roman" w:cs="Segoe UI"/>
                <w:sz w:val="18"/>
                <w:szCs w:val="18"/>
                <w:lang w:eastAsia="sk-SK"/>
              </w:rPr>
            </w:pPr>
            <w:r w:rsidRPr="00F15428">
              <w:rPr>
                <w:rFonts w:eastAsia="Times New Roman" w:cs="Segoe UI"/>
                <w:sz w:val="18"/>
                <w:szCs w:val="18"/>
                <w:lang w:eastAsia="sk-SK"/>
              </w:rPr>
              <w:t>2022</w:t>
            </w:r>
          </w:p>
        </w:tc>
        <w:tc>
          <w:tcPr>
            <w:tcW w:w="867" w:type="pct"/>
            <w:tcBorders>
              <w:top w:val="nil"/>
              <w:left w:val="nil"/>
              <w:bottom w:val="nil"/>
              <w:right w:val="nil"/>
            </w:tcBorders>
            <w:shd w:val="clear" w:color="auto" w:fill="auto"/>
            <w:noWrap/>
            <w:vAlign w:val="center"/>
            <w:hideMark/>
          </w:tcPr>
          <w:p w14:paraId="4729F217" w14:textId="77777777" w:rsidR="00EA3814" w:rsidRPr="00F15428" w:rsidRDefault="00EA3814" w:rsidP="001813E9">
            <w:pPr>
              <w:spacing w:after="0"/>
              <w:jc w:val="right"/>
              <w:rPr>
                <w:rFonts w:eastAsia="Times New Roman" w:cs="Segoe UI"/>
                <w:sz w:val="18"/>
                <w:szCs w:val="18"/>
                <w:lang w:eastAsia="sk-SK"/>
              </w:rPr>
            </w:pPr>
            <w:r w:rsidRPr="00F15428">
              <w:rPr>
                <w:rFonts w:eastAsia="Times New Roman" w:cs="Segoe UI"/>
                <w:sz w:val="18"/>
                <w:szCs w:val="18"/>
                <w:lang w:eastAsia="sk-SK"/>
              </w:rPr>
              <w:t>96,4</w:t>
            </w:r>
          </w:p>
        </w:tc>
        <w:tc>
          <w:tcPr>
            <w:tcW w:w="845" w:type="pct"/>
            <w:tcBorders>
              <w:top w:val="nil"/>
              <w:left w:val="nil"/>
              <w:bottom w:val="nil"/>
              <w:right w:val="nil"/>
            </w:tcBorders>
            <w:shd w:val="clear" w:color="auto" w:fill="auto"/>
            <w:noWrap/>
            <w:vAlign w:val="center"/>
            <w:hideMark/>
          </w:tcPr>
          <w:p w14:paraId="2F393F56" w14:textId="77777777" w:rsidR="00EA3814" w:rsidRPr="00F15428" w:rsidRDefault="00EA3814" w:rsidP="001813E9">
            <w:pPr>
              <w:spacing w:after="0"/>
              <w:jc w:val="right"/>
              <w:rPr>
                <w:rFonts w:eastAsia="Times New Roman" w:cs="Segoe UI"/>
                <w:sz w:val="18"/>
                <w:szCs w:val="18"/>
                <w:lang w:eastAsia="sk-SK"/>
              </w:rPr>
            </w:pPr>
            <w:r w:rsidRPr="00F15428">
              <w:rPr>
                <w:rFonts w:eastAsia="Times New Roman" w:cs="Segoe UI"/>
                <w:sz w:val="18"/>
                <w:szCs w:val="18"/>
                <w:lang w:eastAsia="sk-SK"/>
              </w:rPr>
              <w:t>686,9</w:t>
            </w:r>
          </w:p>
        </w:tc>
        <w:tc>
          <w:tcPr>
            <w:tcW w:w="833" w:type="pct"/>
            <w:tcBorders>
              <w:top w:val="nil"/>
              <w:left w:val="nil"/>
              <w:bottom w:val="nil"/>
              <w:right w:val="nil"/>
            </w:tcBorders>
            <w:shd w:val="clear" w:color="auto" w:fill="auto"/>
            <w:vAlign w:val="center"/>
            <w:hideMark/>
          </w:tcPr>
          <w:p w14:paraId="423F9E0F" w14:textId="77777777" w:rsidR="00EA3814" w:rsidRPr="00F15428" w:rsidRDefault="00EA3814" w:rsidP="001813E9">
            <w:pPr>
              <w:spacing w:after="0"/>
              <w:jc w:val="right"/>
              <w:rPr>
                <w:rFonts w:eastAsia="Times New Roman" w:cs="Segoe UI"/>
                <w:sz w:val="18"/>
                <w:szCs w:val="18"/>
                <w:lang w:eastAsia="sk-SK"/>
              </w:rPr>
            </w:pPr>
            <w:r w:rsidRPr="00F15428">
              <w:rPr>
                <w:rFonts w:eastAsia="Times New Roman" w:cs="Segoe UI"/>
                <w:sz w:val="18"/>
                <w:szCs w:val="18"/>
                <w:lang w:eastAsia="sk-SK"/>
              </w:rPr>
              <w:t>687,3</w:t>
            </w:r>
          </w:p>
        </w:tc>
        <w:tc>
          <w:tcPr>
            <w:tcW w:w="833" w:type="pct"/>
            <w:tcBorders>
              <w:top w:val="nil"/>
              <w:left w:val="nil"/>
              <w:bottom w:val="nil"/>
              <w:right w:val="nil"/>
            </w:tcBorders>
            <w:shd w:val="clear" w:color="auto" w:fill="auto"/>
            <w:vAlign w:val="center"/>
            <w:hideMark/>
          </w:tcPr>
          <w:p w14:paraId="1D9F7ACC" w14:textId="77777777" w:rsidR="00EA3814" w:rsidRPr="00F15428" w:rsidRDefault="00EA3814" w:rsidP="001813E9">
            <w:pPr>
              <w:spacing w:after="0"/>
              <w:jc w:val="right"/>
              <w:rPr>
                <w:rFonts w:eastAsia="Times New Roman" w:cs="Segoe UI"/>
                <w:sz w:val="18"/>
                <w:szCs w:val="18"/>
                <w:lang w:eastAsia="sk-SK"/>
              </w:rPr>
            </w:pPr>
            <w:r w:rsidRPr="00F15428">
              <w:rPr>
                <w:rFonts w:eastAsia="Times New Roman" w:cs="Segoe UI"/>
                <w:sz w:val="18"/>
                <w:szCs w:val="18"/>
                <w:lang w:eastAsia="sk-SK"/>
              </w:rPr>
              <w:t>100</w:t>
            </w:r>
            <w:r>
              <w:rPr>
                <w:rFonts w:eastAsia="Times New Roman" w:cs="Segoe UI"/>
                <w:sz w:val="18"/>
                <w:szCs w:val="18"/>
                <w:lang w:eastAsia="sk-SK"/>
              </w:rPr>
              <w:t xml:space="preserve"> </w:t>
            </w:r>
            <w:r w:rsidRPr="00F15428">
              <w:rPr>
                <w:rFonts w:eastAsia="Times New Roman" w:cs="Segoe UI"/>
                <w:sz w:val="18"/>
                <w:szCs w:val="18"/>
                <w:lang w:eastAsia="sk-SK"/>
              </w:rPr>
              <w:t>%</w:t>
            </w:r>
          </w:p>
        </w:tc>
      </w:tr>
      <w:tr w:rsidR="00EA3814" w:rsidRPr="008F3BDE" w14:paraId="67A6ACD4" w14:textId="77777777" w:rsidTr="001813E9">
        <w:trPr>
          <w:trHeight w:val="283"/>
        </w:trPr>
        <w:tc>
          <w:tcPr>
            <w:tcW w:w="1622" w:type="pct"/>
            <w:tcBorders>
              <w:top w:val="nil"/>
              <w:left w:val="nil"/>
              <w:bottom w:val="nil"/>
              <w:right w:val="nil"/>
            </w:tcBorders>
            <w:shd w:val="clear" w:color="auto" w:fill="auto"/>
            <w:noWrap/>
            <w:vAlign w:val="center"/>
            <w:hideMark/>
          </w:tcPr>
          <w:p w14:paraId="6ABE4E89" w14:textId="77777777" w:rsidR="00EA3814" w:rsidRPr="00F15428" w:rsidRDefault="00EA3814" w:rsidP="001813E9">
            <w:pPr>
              <w:spacing w:after="0"/>
              <w:jc w:val="left"/>
              <w:rPr>
                <w:rFonts w:eastAsia="Times New Roman" w:cs="Segoe UI"/>
                <w:sz w:val="18"/>
                <w:szCs w:val="18"/>
                <w:lang w:eastAsia="sk-SK"/>
              </w:rPr>
            </w:pPr>
            <w:r w:rsidRPr="00F15428">
              <w:rPr>
                <w:rFonts w:eastAsia="Times New Roman" w:cs="Segoe UI"/>
                <w:sz w:val="18"/>
                <w:szCs w:val="18"/>
                <w:lang w:eastAsia="sk-SK"/>
              </w:rPr>
              <w:t>2023*</w:t>
            </w:r>
          </w:p>
        </w:tc>
        <w:tc>
          <w:tcPr>
            <w:tcW w:w="867" w:type="pct"/>
            <w:tcBorders>
              <w:top w:val="nil"/>
              <w:left w:val="nil"/>
              <w:bottom w:val="nil"/>
              <w:right w:val="nil"/>
            </w:tcBorders>
            <w:shd w:val="clear" w:color="auto" w:fill="auto"/>
            <w:noWrap/>
            <w:vAlign w:val="center"/>
            <w:hideMark/>
          </w:tcPr>
          <w:p w14:paraId="21D7BBE2" w14:textId="77777777" w:rsidR="00EA3814" w:rsidRPr="00F15428" w:rsidRDefault="00EA3814" w:rsidP="001813E9">
            <w:pPr>
              <w:spacing w:after="0"/>
              <w:jc w:val="right"/>
              <w:rPr>
                <w:rFonts w:eastAsia="Times New Roman" w:cs="Segoe UI"/>
                <w:sz w:val="18"/>
                <w:szCs w:val="18"/>
                <w:lang w:eastAsia="sk-SK"/>
              </w:rPr>
            </w:pPr>
            <w:r w:rsidRPr="00F15428">
              <w:rPr>
                <w:rFonts w:eastAsia="Times New Roman" w:cs="Segoe UI"/>
                <w:sz w:val="18"/>
                <w:szCs w:val="18"/>
                <w:lang w:eastAsia="sk-SK"/>
              </w:rPr>
              <w:t>313,6</w:t>
            </w:r>
          </w:p>
        </w:tc>
        <w:tc>
          <w:tcPr>
            <w:tcW w:w="845" w:type="pct"/>
            <w:tcBorders>
              <w:top w:val="nil"/>
              <w:left w:val="nil"/>
              <w:bottom w:val="nil"/>
              <w:right w:val="nil"/>
            </w:tcBorders>
            <w:shd w:val="clear" w:color="auto" w:fill="auto"/>
            <w:noWrap/>
            <w:vAlign w:val="center"/>
            <w:hideMark/>
          </w:tcPr>
          <w:p w14:paraId="6C4F85F8" w14:textId="77777777" w:rsidR="00EA3814" w:rsidRPr="00F15428" w:rsidRDefault="00EA3814" w:rsidP="001813E9">
            <w:pPr>
              <w:spacing w:after="0"/>
              <w:jc w:val="right"/>
              <w:rPr>
                <w:rFonts w:eastAsia="Times New Roman" w:cs="Segoe UI"/>
                <w:sz w:val="18"/>
                <w:szCs w:val="18"/>
                <w:lang w:eastAsia="sk-SK"/>
              </w:rPr>
            </w:pPr>
            <w:r w:rsidRPr="00F15428">
              <w:rPr>
                <w:rFonts w:eastAsia="Times New Roman" w:cs="Segoe UI"/>
                <w:sz w:val="18"/>
                <w:szCs w:val="18"/>
                <w:lang w:eastAsia="sk-SK"/>
              </w:rPr>
              <w:t>6</w:t>
            </w:r>
            <w:r>
              <w:rPr>
                <w:rFonts w:eastAsia="Times New Roman" w:cs="Segoe UI"/>
                <w:sz w:val="18"/>
                <w:szCs w:val="18"/>
                <w:lang w:eastAsia="sk-SK"/>
              </w:rPr>
              <w:t>90</w:t>
            </w:r>
            <w:r w:rsidRPr="00F15428">
              <w:rPr>
                <w:rFonts w:eastAsia="Times New Roman" w:cs="Segoe UI"/>
                <w:sz w:val="18"/>
                <w:szCs w:val="18"/>
                <w:lang w:eastAsia="sk-SK"/>
              </w:rPr>
              <w:t>,</w:t>
            </w:r>
            <w:r>
              <w:rPr>
                <w:rFonts w:eastAsia="Times New Roman" w:cs="Segoe UI"/>
                <w:sz w:val="18"/>
                <w:szCs w:val="18"/>
                <w:lang w:eastAsia="sk-SK"/>
              </w:rPr>
              <w:t>4</w:t>
            </w:r>
          </w:p>
        </w:tc>
        <w:tc>
          <w:tcPr>
            <w:tcW w:w="833" w:type="pct"/>
            <w:tcBorders>
              <w:top w:val="nil"/>
              <w:left w:val="nil"/>
              <w:bottom w:val="nil"/>
              <w:right w:val="nil"/>
            </w:tcBorders>
            <w:shd w:val="clear" w:color="auto" w:fill="auto"/>
            <w:vAlign w:val="center"/>
            <w:hideMark/>
          </w:tcPr>
          <w:p w14:paraId="41D37620" w14:textId="77777777" w:rsidR="00EA3814" w:rsidRPr="00F15428" w:rsidRDefault="00EA3814" w:rsidP="001813E9">
            <w:pPr>
              <w:spacing w:after="0"/>
              <w:jc w:val="right"/>
              <w:rPr>
                <w:rFonts w:eastAsia="Times New Roman" w:cs="Segoe UI"/>
                <w:sz w:val="18"/>
                <w:szCs w:val="18"/>
                <w:lang w:eastAsia="sk-SK"/>
              </w:rPr>
            </w:pPr>
            <w:r w:rsidRPr="00F15428">
              <w:rPr>
                <w:rFonts w:eastAsia="Times New Roman" w:cs="Segoe UI"/>
                <w:sz w:val="18"/>
                <w:szCs w:val="18"/>
                <w:lang w:eastAsia="sk-SK"/>
              </w:rPr>
              <w:t>4</w:t>
            </w:r>
            <w:r>
              <w:rPr>
                <w:rFonts w:eastAsia="Times New Roman" w:cs="Segoe UI"/>
                <w:sz w:val="18"/>
                <w:szCs w:val="18"/>
                <w:lang w:eastAsia="sk-SK"/>
              </w:rPr>
              <w:t>45</w:t>
            </w:r>
            <w:r w:rsidRPr="00F15428">
              <w:rPr>
                <w:rFonts w:eastAsia="Times New Roman" w:cs="Segoe UI"/>
                <w:sz w:val="18"/>
                <w:szCs w:val="18"/>
                <w:lang w:eastAsia="sk-SK"/>
              </w:rPr>
              <w:t>,</w:t>
            </w:r>
            <w:r>
              <w:rPr>
                <w:rFonts w:eastAsia="Times New Roman" w:cs="Segoe UI"/>
                <w:sz w:val="18"/>
                <w:szCs w:val="18"/>
                <w:lang w:eastAsia="sk-SK"/>
              </w:rPr>
              <w:t>3</w:t>
            </w:r>
          </w:p>
        </w:tc>
        <w:tc>
          <w:tcPr>
            <w:tcW w:w="833" w:type="pct"/>
            <w:tcBorders>
              <w:top w:val="nil"/>
              <w:left w:val="nil"/>
              <w:bottom w:val="nil"/>
              <w:right w:val="nil"/>
            </w:tcBorders>
            <w:shd w:val="clear" w:color="auto" w:fill="auto"/>
            <w:vAlign w:val="center"/>
            <w:hideMark/>
          </w:tcPr>
          <w:p w14:paraId="68678D5A" w14:textId="77777777" w:rsidR="00EA3814" w:rsidRPr="00F15428" w:rsidRDefault="00EA3814" w:rsidP="001813E9">
            <w:pPr>
              <w:spacing w:after="0"/>
              <w:jc w:val="right"/>
              <w:rPr>
                <w:rFonts w:eastAsia="Times New Roman" w:cs="Segoe UI"/>
                <w:sz w:val="18"/>
                <w:szCs w:val="18"/>
                <w:lang w:eastAsia="sk-SK"/>
              </w:rPr>
            </w:pPr>
            <w:r w:rsidRPr="00F15428">
              <w:rPr>
                <w:rFonts w:eastAsia="Times New Roman" w:cs="Segoe UI"/>
                <w:sz w:val="18"/>
                <w:szCs w:val="18"/>
                <w:lang w:eastAsia="sk-SK"/>
              </w:rPr>
              <w:t>6</w:t>
            </w:r>
            <w:r>
              <w:rPr>
                <w:rFonts w:eastAsia="Times New Roman" w:cs="Segoe UI"/>
                <w:sz w:val="18"/>
                <w:szCs w:val="18"/>
                <w:lang w:eastAsia="sk-SK"/>
              </w:rPr>
              <w:t xml:space="preserve">4 </w:t>
            </w:r>
            <w:r w:rsidRPr="00F15428">
              <w:rPr>
                <w:rFonts w:eastAsia="Times New Roman" w:cs="Segoe UI"/>
                <w:sz w:val="18"/>
                <w:szCs w:val="18"/>
                <w:lang w:eastAsia="sk-SK"/>
              </w:rPr>
              <w:t>%</w:t>
            </w:r>
          </w:p>
        </w:tc>
      </w:tr>
      <w:tr w:rsidR="00EA3814" w:rsidRPr="008F3BDE" w14:paraId="0F64441A" w14:textId="77777777" w:rsidTr="001813E9">
        <w:trPr>
          <w:trHeight w:val="283"/>
        </w:trPr>
        <w:tc>
          <w:tcPr>
            <w:tcW w:w="1622" w:type="pct"/>
            <w:tcBorders>
              <w:top w:val="nil"/>
              <w:left w:val="nil"/>
              <w:bottom w:val="single" w:sz="8" w:space="0" w:color="314364"/>
              <w:right w:val="nil"/>
            </w:tcBorders>
            <w:shd w:val="clear" w:color="auto" w:fill="auto"/>
            <w:noWrap/>
            <w:vAlign w:val="center"/>
            <w:hideMark/>
          </w:tcPr>
          <w:p w14:paraId="004139E1" w14:textId="77777777" w:rsidR="00EA3814" w:rsidRPr="00F15428" w:rsidRDefault="00EA3814" w:rsidP="001813E9">
            <w:pPr>
              <w:spacing w:after="0"/>
              <w:jc w:val="left"/>
              <w:rPr>
                <w:rFonts w:eastAsia="Times New Roman" w:cs="Segoe UI"/>
                <w:b/>
                <w:bCs/>
                <w:sz w:val="18"/>
                <w:szCs w:val="18"/>
                <w:lang w:eastAsia="sk-SK"/>
              </w:rPr>
            </w:pPr>
            <w:r w:rsidRPr="00F15428">
              <w:rPr>
                <w:rFonts w:eastAsia="Times New Roman" w:cs="Segoe UI"/>
                <w:b/>
                <w:bCs/>
                <w:sz w:val="18"/>
                <w:szCs w:val="18"/>
                <w:lang w:eastAsia="sk-SK"/>
              </w:rPr>
              <w:t>SPOLU</w:t>
            </w:r>
          </w:p>
        </w:tc>
        <w:tc>
          <w:tcPr>
            <w:tcW w:w="867" w:type="pct"/>
            <w:tcBorders>
              <w:top w:val="nil"/>
              <w:left w:val="nil"/>
              <w:bottom w:val="single" w:sz="8" w:space="0" w:color="314364"/>
              <w:right w:val="nil"/>
            </w:tcBorders>
            <w:shd w:val="clear" w:color="auto" w:fill="auto"/>
            <w:noWrap/>
            <w:vAlign w:val="center"/>
            <w:hideMark/>
          </w:tcPr>
          <w:p w14:paraId="61561FB0" w14:textId="77777777" w:rsidR="00EA3814" w:rsidRPr="00F15428" w:rsidRDefault="00EA3814" w:rsidP="001813E9">
            <w:pPr>
              <w:spacing w:after="0"/>
              <w:jc w:val="right"/>
              <w:rPr>
                <w:rFonts w:eastAsia="Times New Roman" w:cs="Segoe UI"/>
                <w:b/>
                <w:bCs/>
                <w:sz w:val="18"/>
                <w:szCs w:val="18"/>
                <w:lang w:eastAsia="sk-SK"/>
              </w:rPr>
            </w:pPr>
            <w:r w:rsidRPr="00F15428">
              <w:rPr>
                <w:rFonts w:eastAsia="Times New Roman" w:cs="Segoe UI"/>
                <w:b/>
                <w:bCs/>
                <w:sz w:val="18"/>
                <w:szCs w:val="18"/>
                <w:lang w:eastAsia="sk-SK"/>
              </w:rPr>
              <w:t>1</w:t>
            </w:r>
            <w:r>
              <w:rPr>
                <w:rFonts w:eastAsia="Times New Roman" w:cs="Segoe UI"/>
                <w:b/>
                <w:bCs/>
                <w:sz w:val="18"/>
                <w:szCs w:val="18"/>
                <w:lang w:eastAsia="sk-SK"/>
              </w:rPr>
              <w:t xml:space="preserve"> </w:t>
            </w:r>
            <w:r w:rsidRPr="00F15428">
              <w:rPr>
                <w:rFonts w:eastAsia="Times New Roman" w:cs="Segoe UI"/>
                <w:b/>
                <w:bCs/>
                <w:sz w:val="18"/>
                <w:szCs w:val="18"/>
                <w:lang w:eastAsia="sk-SK"/>
              </w:rPr>
              <w:t>89</w:t>
            </w:r>
            <w:r>
              <w:rPr>
                <w:rFonts w:eastAsia="Times New Roman" w:cs="Segoe UI"/>
                <w:b/>
                <w:bCs/>
                <w:sz w:val="18"/>
                <w:szCs w:val="18"/>
                <w:lang w:eastAsia="sk-SK"/>
              </w:rPr>
              <w:t>3</w:t>
            </w:r>
            <w:r w:rsidRPr="00F15428">
              <w:rPr>
                <w:rFonts w:eastAsia="Times New Roman" w:cs="Segoe UI"/>
                <w:b/>
                <w:bCs/>
                <w:sz w:val="18"/>
                <w:szCs w:val="18"/>
                <w:lang w:eastAsia="sk-SK"/>
              </w:rPr>
              <w:t>,</w:t>
            </w:r>
            <w:r>
              <w:rPr>
                <w:rFonts w:eastAsia="Times New Roman" w:cs="Segoe UI"/>
                <w:b/>
                <w:bCs/>
                <w:sz w:val="18"/>
                <w:szCs w:val="18"/>
                <w:lang w:eastAsia="sk-SK"/>
              </w:rPr>
              <w:t>1</w:t>
            </w:r>
          </w:p>
        </w:tc>
        <w:tc>
          <w:tcPr>
            <w:tcW w:w="845" w:type="pct"/>
            <w:tcBorders>
              <w:top w:val="nil"/>
              <w:left w:val="nil"/>
              <w:bottom w:val="single" w:sz="8" w:space="0" w:color="314364"/>
              <w:right w:val="nil"/>
            </w:tcBorders>
            <w:shd w:val="clear" w:color="auto" w:fill="auto"/>
            <w:noWrap/>
            <w:vAlign w:val="center"/>
            <w:hideMark/>
          </w:tcPr>
          <w:p w14:paraId="400A908F" w14:textId="77777777" w:rsidR="00EA3814" w:rsidRPr="00F15428" w:rsidRDefault="00EA3814" w:rsidP="001813E9">
            <w:pPr>
              <w:spacing w:after="0"/>
              <w:jc w:val="right"/>
              <w:rPr>
                <w:rFonts w:eastAsia="Times New Roman" w:cs="Segoe UI"/>
                <w:b/>
                <w:bCs/>
                <w:sz w:val="18"/>
                <w:szCs w:val="18"/>
                <w:lang w:eastAsia="sk-SK"/>
              </w:rPr>
            </w:pPr>
            <w:r w:rsidRPr="00F15428">
              <w:rPr>
                <w:rFonts w:eastAsia="Times New Roman" w:cs="Segoe UI"/>
                <w:b/>
                <w:bCs/>
                <w:sz w:val="18"/>
                <w:szCs w:val="18"/>
                <w:lang w:eastAsia="sk-SK"/>
              </w:rPr>
              <w:t>3</w:t>
            </w:r>
            <w:r>
              <w:rPr>
                <w:rFonts w:eastAsia="Times New Roman" w:cs="Segoe UI"/>
                <w:b/>
                <w:bCs/>
                <w:sz w:val="18"/>
                <w:szCs w:val="18"/>
                <w:lang w:eastAsia="sk-SK"/>
              </w:rPr>
              <w:t xml:space="preserve"> 265</w:t>
            </w:r>
            <w:r w:rsidRPr="00F15428">
              <w:rPr>
                <w:rFonts w:eastAsia="Times New Roman" w:cs="Segoe UI"/>
                <w:b/>
                <w:bCs/>
                <w:sz w:val="18"/>
                <w:szCs w:val="18"/>
                <w:lang w:eastAsia="sk-SK"/>
              </w:rPr>
              <w:t>,</w:t>
            </w:r>
            <w:r>
              <w:rPr>
                <w:rFonts w:eastAsia="Times New Roman" w:cs="Segoe UI"/>
                <w:b/>
                <w:bCs/>
                <w:sz w:val="18"/>
                <w:szCs w:val="18"/>
                <w:lang w:eastAsia="sk-SK"/>
              </w:rPr>
              <w:t>9</w:t>
            </w:r>
          </w:p>
        </w:tc>
        <w:tc>
          <w:tcPr>
            <w:tcW w:w="833" w:type="pct"/>
            <w:tcBorders>
              <w:top w:val="nil"/>
              <w:left w:val="nil"/>
              <w:bottom w:val="single" w:sz="8" w:space="0" w:color="314364"/>
              <w:right w:val="nil"/>
            </w:tcBorders>
            <w:shd w:val="clear" w:color="auto" w:fill="auto"/>
            <w:vAlign w:val="center"/>
            <w:hideMark/>
          </w:tcPr>
          <w:p w14:paraId="70589C35" w14:textId="77777777" w:rsidR="00EA3814" w:rsidRPr="00F15428" w:rsidRDefault="00EA3814" w:rsidP="001813E9">
            <w:pPr>
              <w:spacing w:after="0"/>
              <w:jc w:val="right"/>
              <w:rPr>
                <w:rFonts w:eastAsia="Times New Roman" w:cs="Segoe UI"/>
                <w:b/>
                <w:bCs/>
                <w:sz w:val="18"/>
                <w:szCs w:val="18"/>
                <w:lang w:eastAsia="sk-SK"/>
              </w:rPr>
            </w:pPr>
            <w:r w:rsidRPr="00F15428">
              <w:rPr>
                <w:rFonts w:eastAsia="Times New Roman" w:cs="Segoe UI"/>
                <w:b/>
                <w:bCs/>
                <w:sz w:val="18"/>
                <w:szCs w:val="18"/>
                <w:lang w:eastAsia="sk-SK"/>
              </w:rPr>
              <w:t>3</w:t>
            </w:r>
            <w:r>
              <w:rPr>
                <w:rFonts w:eastAsia="Times New Roman" w:cs="Segoe UI"/>
                <w:b/>
                <w:bCs/>
                <w:sz w:val="18"/>
                <w:szCs w:val="18"/>
                <w:lang w:eastAsia="sk-SK"/>
              </w:rPr>
              <w:t xml:space="preserve"> </w:t>
            </w:r>
            <w:r w:rsidRPr="00F15428">
              <w:rPr>
                <w:rFonts w:eastAsia="Times New Roman" w:cs="Segoe UI"/>
                <w:b/>
                <w:bCs/>
                <w:sz w:val="18"/>
                <w:szCs w:val="18"/>
                <w:lang w:eastAsia="sk-SK"/>
              </w:rPr>
              <w:t>0</w:t>
            </w:r>
            <w:r>
              <w:rPr>
                <w:rFonts w:eastAsia="Times New Roman" w:cs="Segoe UI"/>
                <w:b/>
                <w:bCs/>
                <w:sz w:val="18"/>
                <w:szCs w:val="18"/>
                <w:lang w:eastAsia="sk-SK"/>
              </w:rPr>
              <w:t>35</w:t>
            </w:r>
            <w:r w:rsidRPr="00F15428">
              <w:rPr>
                <w:rFonts w:eastAsia="Times New Roman" w:cs="Segoe UI"/>
                <w:b/>
                <w:bCs/>
                <w:sz w:val="18"/>
                <w:szCs w:val="18"/>
                <w:lang w:eastAsia="sk-SK"/>
              </w:rPr>
              <w:t>,</w:t>
            </w:r>
            <w:r>
              <w:rPr>
                <w:rFonts w:eastAsia="Times New Roman" w:cs="Segoe UI"/>
                <w:b/>
                <w:bCs/>
                <w:sz w:val="18"/>
                <w:szCs w:val="18"/>
                <w:lang w:eastAsia="sk-SK"/>
              </w:rPr>
              <w:t>9</w:t>
            </w:r>
          </w:p>
        </w:tc>
        <w:tc>
          <w:tcPr>
            <w:tcW w:w="833" w:type="pct"/>
            <w:tcBorders>
              <w:top w:val="nil"/>
              <w:left w:val="nil"/>
              <w:bottom w:val="single" w:sz="8" w:space="0" w:color="314364"/>
              <w:right w:val="nil"/>
            </w:tcBorders>
            <w:shd w:val="clear" w:color="auto" w:fill="auto"/>
            <w:vAlign w:val="center"/>
            <w:hideMark/>
          </w:tcPr>
          <w:p w14:paraId="126D8A6D" w14:textId="77777777" w:rsidR="00EA3814" w:rsidRPr="00F15428" w:rsidRDefault="00EA3814" w:rsidP="001813E9">
            <w:pPr>
              <w:spacing w:after="0"/>
              <w:jc w:val="right"/>
              <w:rPr>
                <w:rFonts w:eastAsia="Times New Roman" w:cs="Segoe UI"/>
                <w:b/>
                <w:bCs/>
                <w:sz w:val="18"/>
                <w:szCs w:val="18"/>
                <w:lang w:eastAsia="sk-SK"/>
              </w:rPr>
            </w:pPr>
            <w:r w:rsidRPr="00F15428">
              <w:rPr>
                <w:rFonts w:eastAsia="Times New Roman" w:cs="Segoe UI"/>
                <w:b/>
                <w:bCs/>
                <w:sz w:val="18"/>
                <w:szCs w:val="18"/>
                <w:lang w:eastAsia="sk-SK"/>
              </w:rPr>
              <w:t>9</w:t>
            </w:r>
            <w:r>
              <w:rPr>
                <w:rFonts w:eastAsia="Times New Roman" w:cs="Segoe UI"/>
                <w:b/>
                <w:bCs/>
                <w:sz w:val="18"/>
                <w:szCs w:val="18"/>
                <w:lang w:eastAsia="sk-SK"/>
              </w:rPr>
              <w:t xml:space="preserve">3 </w:t>
            </w:r>
            <w:r w:rsidRPr="00F15428">
              <w:rPr>
                <w:rFonts w:eastAsia="Times New Roman" w:cs="Segoe UI"/>
                <w:b/>
                <w:bCs/>
                <w:sz w:val="18"/>
                <w:szCs w:val="18"/>
                <w:lang w:eastAsia="sk-SK"/>
              </w:rPr>
              <w:t>%</w:t>
            </w:r>
          </w:p>
        </w:tc>
      </w:tr>
    </w:tbl>
    <w:p w14:paraId="14955E62" w14:textId="77777777" w:rsidR="00EA3814" w:rsidRPr="00826813" w:rsidRDefault="00EA3814" w:rsidP="00EA3814">
      <w:pPr>
        <w:pStyle w:val="Zdroj"/>
      </w:pPr>
      <w:r w:rsidRPr="00826813">
        <w:t>Zdroj: RIS</w:t>
      </w:r>
      <w:r>
        <w:br/>
      </w:r>
      <w:r w:rsidRPr="00826813">
        <w:t xml:space="preserve">*údaje spracované ku dňu </w:t>
      </w:r>
      <w:r w:rsidRPr="005F2380">
        <w:t>13. 12. 2023</w:t>
      </w:r>
    </w:p>
    <w:p w14:paraId="2FB15DA4" w14:textId="190BAC9A" w:rsidR="003D4429" w:rsidRDefault="003D4429" w:rsidP="003D4429">
      <w:pPr>
        <w:rPr>
          <w:rFonts w:cs="Segoe UI"/>
          <w:szCs w:val="20"/>
        </w:rPr>
      </w:pPr>
      <w:r w:rsidRPr="00AC012C">
        <w:rPr>
          <w:rFonts w:cs="Segoe UI"/>
          <w:b/>
          <w:szCs w:val="20"/>
        </w:rPr>
        <w:t>Rozpočet na obranu na rok 2024 je vo výške 2,6 mld. eur (2 % HDP).</w:t>
      </w:r>
      <w:r w:rsidRPr="001930E8">
        <w:rPr>
          <w:rFonts w:cs="Segoe UI"/>
          <w:szCs w:val="20"/>
        </w:rPr>
        <w:t xml:space="preserve"> </w:t>
      </w:r>
      <w:r>
        <w:rPr>
          <w:rFonts w:cs="Segoe UI"/>
          <w:szCs w:val="20"/>
        </w:rPr>
        <w:t xml:space="preserve">Ide o plánovaný vývoj verejných výdavkov v súlade </w:t>
      </w:r>
      <w:r w:rsidR="005F2380">
        <w:rPr>
          <w:rFonts w:cs="Segoe UI"/>
          <w:szCs w:val="20"/>
        </w:rPr>
        <w:t>s</w:t>
      </w:r>
      <w:r>
        <w:rPr>
          <w:rFonts w:cs="Segoe UI"/>
          <w:szCs w:val="20"/>
        </w:rPr>
        <w:t> PVV, v ktorom je uvedené, že „</w:t>
      </w:r>
      <w:r w:rsidRPr="007C6B48">
        <w:rPr>
          <w:rFonts w:cs="Segoe UI"/>
          <w:i/>
          <w:szCs w:val="20"/>
        </w:rPr>
        <w:t>dôležité vnútroštátne sociálno-ekonomické ciele však neumožnia novej vláde ďalej zvyšovať výdavky na obranu</w:t>
      </w:r>
      <w:r>
        <w:rPr>
          <w:rFonts w:cs="Segoe UI"/>
          <w:i/>
          <w:szCs w:val="20"/>
        </w:rPr>
        <w:t>“</w:t>
      </w:r>
      <w:r>
        <w:rPr>
          <w:rFonts w:cs="Segoe UI"/>
          <w:szCs w:val="20"/>
        </w:rPr>
        <w:t>. Na druhej strane je však</w:t>
      </w:r>
      <w:r w:rsidRPr="001930E8">
        <w:rPr>
          <w:rFonts w:cs="Segoe UI"/>
          <w:szCs w:val="20"/>
        </w:rPr>
        <w:t xml:space="preserve"> plnenie medzinárodných záväzkov</w:t>
      </w:r>
      <w:r>
        <w:rPr>
          <w:rFonts w:cs="Segoe UI"/>
          <w:szCs w:val="20"/>
        </w:rPr>
        <w:t xml:space="preserve"> SR</w:t>
      </w:r>
      <w:r w:rsidRPr="001930E8">
        <w:rPr>
          <w:rFonts w:cs="Segoe UI"/>
          <w:szCs w:val="20"/>
        </w:rPr>
        <w:t xml:space="preserve">, akým je </w:t>
      </w:r>
      <w:r w:rsidR="00A20C21">
        <w:rPr>
          <w:rFonts w:cs="Segoe UI"/>
          <w:szCs w:val="20"/>
        </w:rPr>
        <w:t xml:space="preserve">od júlového summitu NATO </w:t>
      </w:r>
      <w:r w:rsidRPr="001930E8">
        <w:rPr>
          <w:rFonts w:cs="Segoe UI"/>
          <w:szCs w:val="20"/>
        </w:rPr>
        <w:t>aj každoročné vyčlenenie 2 % HDP na obranu.</w:t>
      </w:r>
      <w:r>
        <w:rPr>
          <w:rStyle w:val="Odkaznapoznmkupodiarou"/>
          <w:rFonts w:cs="Segoe UI"/>
          <w:szCs w:val="20"/>
        </w:rPr>
        <w:footnoteReference w:id="18"/>
      </w:r>
      <w:r>
        <w:rPr>
          <w:rFonts w:cs="Segoe UI"/>
          <w:szCs w:val="20"/>
        </w:rPr>
        <w:t xml:space="preserve"> Plánované výdavky pre rok 2024 sú presne na tejto úrovni.</w:t>
      </w:r>
    </w:p>
    <w:p w14:paraId="01614AA4" w14:textId="21362DEB" w:rsidR="00EA3814" w:rsidRPr="00944164" w:rsidRDefault="00EA3814" w:rsidP="00EA3814">
      <w:pPr>
        <w:spacing w:before="120"/>
        <w:rPr>
          <w:rFonts w:cs="Segoe UI"/>
          <w:szCs w:val="20"/>
        </w:rPr>
      </w:pPr>
      <w:r w:rsidRPr="00EA3814">
        <w:rPr>
          <w:rFonts w:cs="Segoe UI"/>
          <w:b/>
          <w:szCs w:val="20"/>
        </w:rPr>
        <w:t>Podľa investičných plánov MO SR</w:t>
      </w:r>
      <w:r w:rsidRPr="00EA3814">
        <w:rPr>
          <w:rStyle w:val="Odkaznapoznmkupodiarou"/>
          <w:rFonts w:cs="Segoe UI"/>
          <w:szCs w:val="20"/>
        </w:rPr>
        <w:footnoteReference w:id="19"/>
      </w:r>
      <w:r w:rsidRPr="00EA3814">
        <w:rPr>
          <w:rFonts w:cs="Segoe UI"/>
          <w:szCs w:val="20"/>
        </w:rPr>
        <w:t xml:space="preserve"> </w:t>
      </w:r>
      <w:r w:rsidRPr="00EA3814">
        <w:rPr>
          <w:rFonts w:cs="Segoe UI"/>
          <w:b/>
          <w:szCs w:val="20"/>
        </w:rPr>
        <w:t>najväčší plánovaný objem výdavkov pre rok 2024 tvorí nákup viacúčelových taktických lietadiel F-16</w:t>
      </w:r>
      <w:r w:rsidRPr="00944164">
        <w:rPr>
          <w:rFonts w:cs="Segoe UI"/>
          <w:szCs w:val="20"/>
        </w:rPr>
        <w:t xml:space="preserve">, ku ktorému NKÚ SR spracoval v roku 2021 </w:t>
      </w:r>
      <w:hyperlink r:id="rId16" w:history="1">
        <w:r w:rsidRPr="00944164">
          <w:rPr>
            <w:rFonts w:cs="Segoe UI"/>
            <w:szCs w:val="20"/>
          </w:rPr>
          <w:t>analytický komentár</w:t>
        </w:r>
      </w:hyperlink>
      <w:r w:rsidR="00A20C21">
        <w:rPr>
          <w:rStyle w:val="Odkaznapoznmkupodiarou"/>
          <w:rFonts w:cs="Segoe UI"/>
          <w:szCs w:val="20"/>
        </w:rPr>
        <w:footnoteReference w:id="20"/>
      </w:r>
      <w:r w:rsidRPr="00944164">
        <w:rPr>
          <w:rFonts w:cs="Segoe UI"/>
          <w:szCs w:val="20"/>
        </w:rPr>
        <w:t>. Harmonogram dodania týchto lietadiel bol niekoľkokrát presunutý na neskôr a ich dodávka by sa po zmenách mala začať v druhom štvrťroku 2024. F-16 však nie sú schopné operovať z letísk, ktoré používali bojové lietadlá M</w:t>
      </w:r>
      <w:r w:rsidR="004D2725">
        <w:rPr>
          <w:rFonts w:cs="Segoe UI"/>
          <w:szCs w:val="20"/>
        </w:rPr>
        <w:t>I</w:t>
      </w:r>
      <w:r w:rsidRPr="00944164">
        <w:rPr>
          <w:rFonts w:cs="Segoe UI"/>
          <w:szCs w:val="20"/>
        </w:rPr>
        <w:t xml:space="preserve">G-29 a výstavba technickej podpory a infraštruktúry letísk mešká. </w:t>
      </w:r>
      <w:r w:rsidRPr="00D55D74">
        <w:rPr>
          <w:rFonts w:cs="Segoe UI"/>
          <w:b/>
          <w:szCs w:val="20"/>
        </w:rPr>
        <w:t>NKÚ SR v tejto súvislosti identifikuje riziko nehospodárnosti využitia finančných prostriedkov.</w:t>
      </w:r>
      <w:r>
        <w:rPr>
          <w:rFonts w:cs="Segoe UI"/>
          <w:szCs w:val="20"/>
        </w:rPr>
        <w:t xml:space="preserve"> </w:t>
      </w:r>
      <w:r w:rsidRPr="00944164">
        <w:rPr>
          <w:rFonts w:cs="Segoe UI"/>
          <w:szCs w:val="20"/>
        </w:rPr>
        <w:t>V súčasnosti NKÚ SR realizuje kontrolnú akciu Plán rozvoja infraštruktúry MO SR č. KA-022/2023/1032 zameranú na preverenie riadenia a zabezpečenia plnenia dlhodobého plánu rozvoja rezor</w:t>
      </w:r>
      <w:r>
        <w:rPr>
          <w:rFonts w:cs="Segoe UI"/>
          <w:szCs w:val="20"/>
        </w:rPr>
        <w:t>tu MO SR.</w:t>
      </w:r>
    </w:p>
    <w:p w14:paraId="56C5DD0B" w14:textId="43E00563" w:rsidR="00C8313A" w:rsidRDefault="00C8313A" w:rsidP="00C8313A">
      <w:pPr>
        <w:rPr>
          <w:rFonts w:eastAsia="Calibri" w:cs="Segoe UI"/>
          <w:szCs w:val="20"/>
        </w:rPr>
      </w:pPr>
      <w:r w:rsidRPr="00EA3814">
        <w:rPr>
          <w:rFonts w:eastAsia="Calibri" w:cs="Segoe UI"/>
          <w:b/>
          <w:szCs w:val="20"/>
        </w:rPr>
        <w:t xml:space="preserve">Kapitálové výdavky </w:t>
      </w:r>
      <w:r w:rsidR="00D6774D">
        <w:rPr>
          <w:rFonts w:eastAsia="Calibri" w:cs="Segoe UI"/>
          <w:b/>
          <w:szCs w:val="20"/>
        </w:rPr>
        <w:t xml:space="preserve">ŠR </w:t>
      </w:r>
      <w:r w:rsidRPr="00EA3814">
        <w:rPr>
          <w:rFonts w:eastAsia="Calibri" w:cs="Segoe UI"/>
          <w:b/>
          <w:szCs w:val="20"/>
        </w:rPr>
        <w:t>v rezorte dopravy v roku 2024 sú plánované vo výške 5</w:t>
      </w:r>
      <w:r w:rsidR="00D6774D">
        <w:rPr>
          <w:rFonts w:eastAsia="Calibri" w:cs="Segoe UI"/>
          <w:b/>
          <w:szCs w:val="20"/>
        </w:rPr>
        <w:t>89</w:t>
      </w:r>
      <w:r w:rsidRPr="00EA3814">
        <w:rPr>
          <w:rFonts w:eastAsia="Calibri" w:cs="Segoe UI"/>
          <w:b/>
          <w:szCs w:val="20"/>
        </w:rPr>
        <w:t xml:space="preserve"> mil. eur, čo je o 120 mil. eur viac ako rozpočtovaných v roku 2023.</w:t>
      </w:r>
      <w:r w:rsidRPr="008F6CAB">
        <w:rPr>
          <w:rFonts w:eastAsia="Calibri" w:cs="Segoe UI"/>
          <w:szCs w:val="20"/>
        </w:rPr>
        <w:t xml:space="preserve"> Podľa návrhu rozpočtu do dopravnej infraštruktúry bude v roku 2024 alokovaných celkovo 1,88 mld. eur Z týchto prostriedkov sa bude zabezpečovať výstavba a obnova cestnej infraštruktúry v hodnote 733 mil. eur v súlade so schváleným Harmonogramom prípravy a výstavby projektov cestnej infraštruktúry vrátane rekonštrukcie a modernizácie mostných objektov na cestách I. triedy. Podľa plánu medzi najväčšie investičné projekty v roku 2024 patrí predovšetkým prebiehajúca výstavba úsekov diaľnic a rýchlostných ciest. Podľa PVV vláda plánuje vytvoriť medzirezortný projektový tím dotknutých rezortov s cieľom urýchliť prípravu a výstavbu zostávajúcich úsekov na cestných koridoroch D1, D3 a R4. </w:t>
      </w:r>
    </w:p>
    <w:p w14:paraId="3B56B983" w14:textId="148B7BF3" w:rsidR="00C8313A" w:rsidRDefault="00C8313A" w:rsidP="000D631B">
      <w:pPr>
        <w:pStyle w:val="Nadpis2"/>
      </w:pPr>
      <w:bookmarkStart w:id="21" w:name="_Toc153784700"/>
      <w:r>
        <w:t>Zamestnanosť vo VS a</w:t>
      </w:r>
      <w:r w:rsidR="00875512">
        <w:t xml:space="preserve"> vznik </w:t>
      </w:r>
      <w:r>
        <w:t>štátn</w:t>
      </w:r>
      <w:r w:rsidR="00875512">
        <w:t>ych</w:t>
      </w:r>
      <w:r>
        <w:t xml:space="preserve"> organizáci</w:t>
      </w:r>
      <w:r w:rsidR="00875512">
        <w:t>í</w:t>
      </w:r>
      <w:bookmarkEnd w:id="21"/>
    </w:p>
    <w:p w14:paraId="39FDB123" w14:textId="7221F339" w:rsidR="00821C6A" w:rsidRDefault="00DB4754" w:rsidP="001C1F57">
      <w:pPr>
        <w:rPr>
          <w:b/>
        </w:rPr>
      </w:pPr>
      <w:r w:rsidRPr="00DB4754">
        <w:rPr>
          <w:b/>
        </w:rPr>
        <w:t xml:space="preserve">Napriek viazaniu výdavkov </w:t>
      </w:r>
      <w:r w:rsidR="00217D25">
        <w:rPr>
          <w:b/>
        </w:rPr>
        <w:t xml:space="preserve">kapitol </w:t>
      </w:r>
      <w:r w:rsidRPr="00DB4754">
        <w:rPr>
          <w:b/>
        </w:rPr>
        <w:t xml:space="preserve">na úrovni 5 % </w:t>
      </w:r>
      <w:r w:rsidR="00217D25">
        <w:rPr>
          <w:b/>
        </w:rPr>
        <w:t>osobných výdavkov</w:t>
      </w:r>
      <w:r w:rsidR="00217D25" w:rsidRPr="00217D25">
        <w:rPr>
          <w:rStyle w:val="Odkaznapoznmkupodiarou"/>
        </w:rPr>
        <w:footnoteReference w:id="21"/>
      </w:r>
      <w:r w:rsidR="00217D25" w:rsidRPr="00217D25">
        <w:t xml:space="preserve"> </w:t>
      </w:r>
      <w:r w:rsidRPr="00DB4754">
        <w:rPr>
          <w:b/>
        </w:rPr>
        <w:t xml:space="preserve">počíta návrh rozpočtu s </w:t>
      </w:r>
      <w:r w:rsidR="00217D25">
        <w:rPr>
          <w:b/>
        </w:rPr>
        <w:t> </w:t>
      </w:r>
      <w:r w:rsidRPr="00DB4754">
        <w:rPr>
          <w:b/>
        </w:rPr>
        <w:t>rastom počtu zamestnancov VS</w:t>
      </w:r>
      <w:r w:rsidR="00970B7D">
        <w:rPr>
          <w:b/>
        </w:rPr>
        <w:t xml:space="preserve"> na</w:t>
      </w:r>
      <w:r w:rsidR="001C1F57" w:rsidRPr="00733EC0">
        <w:rPr>
          <w:b/>
        </w:rPr>
        <w:t xml:space="preserve"> 451 845 osôb</w:t>
      </w:r>
      <w:r w:rsidR="00F37C80">
        <w:rPr>
          <w:b/>
        </w:rPr>
        <w:t>.</w:t>
      </w:r>
    </w:p>
    <w:p w14:paraId="4153FB80" w14:textId="41DD835C" w:rsidR="00F37C80" w:rsidRDefault="00F37C80" w:rsidP="00F37C80">
      <w:pPr>
        <w:rPr>
          <w:b/>
        </w:rPr>
      </w:pPr>
      <w:r>
        <w:rPr>
          <w:b/>
        </w:rPr>
        <w:t xml:space="preserve">Pri porovnaní so schváleným rozpočtom VS na rok 2023 vzrastie zamestnanosť o 12 458 zamestnancov, z toho v štátnej správe o 3 841 a v samospráve o 8 584 osôb. </w:t>
      </w:r>
      <w:r w:rsidRPr="00567491">
        <w:t>Pri porovnaní s očakávanou skutočnosťou 2023</w:t>
      </w:r>
      <w:r w:rsidRPr="00567491">
        <w:rPr>
          <w:rStyle w:val="Odkaznapoznmkupodiarou"/>
        </w:rPr>
        <w:footnoteReference w:id="22"/>
      </w:r>
      <w:r w:rsidRPr="00567491">
        <w:t xml:space="preserve"> je medziročný rast  vyšší -   zamestnanosť vzrastie o 14 567 osôb, </w:t>
      </w:r>
      <w:r w:rsidRPr="00567491">
        <w:lastRenderedPageBreak/>
        <w:t>z</w:t>
      </w:r>
      <w:r>
        <w:t> toho v územnej samospráve o 7</w:t>
      </w:r>
      <w:r w:rsidRPr="00B050AD">
        <w:t xml:space="preserve"> </w:t>
      </w:r>
      <w:r>
        <w:t>333</w:t>
      </w:r>
      <w:r w:rsidRPr="00B050AD">
        <w:t xml:space="preserve"> osôb</w:t>
      </w:r>
      <w:r>
        <w:rPr>
          <w:rStyle w:val="Odkaznapoznmkupodiarou"/>
        </w:rPr>
        <w:footnoteReference w:id="23"/>
      </w:r>
      <w:r>
        <w:t>. V štátnej správe vzrastie počet zamestnancov medziročne o 7 118 osôb, pričom v štátnych rozpočtových organizáciách vzrastie o 8 117 osôb a v príspevkových mierne klesne.</w:t>
      </w:r>
    </w:p>
    <w:p w14:paraId="4E886279" w14:textId="6B97D40D" w:rsidR="00F85DAA" w:rsidRDefault="00F85DAA" w:rsidP="00F85DAA">
      <w:pPr>
        <w:keepNext/>
        <w:spacing w:after="0"/>
        <w:rPr>
          <w:rFonts w:eastAsia="Calibri" w:cs="Times New Roman"/>
          <w:b/>
          <w:iCs/>
          <w:color w:val="314364"/>
          <w:szCs w:val="18"/>
        </w:rPr>
      </w:pPr>
      <w:r>
        <w:rPr>
          <w:rFonts w:eastAsia="Calibri" w:cs="Times New Roman"/>
          <w:b/>
          <w:iCs/>
          <w:color w:val="314364"/>
          <w:szCs w:val="18"/>
        </w:rPr>
        <w:t>Graf 6:</w:t>
      </w:r>
      <w:r w:rsidRPr="00821C6A">
        <w:rPr>
          <w:rFonts w:eastAsia="Calibri" w:cs="Times New Roman"/>
          <w:b/>
          <w:iCs/>
          <w:color w:val="314364"/>
          <w:szCs w:val="18"/>
        </w:rPr>
        <w:t xml:space="preserve"> Porovnanie medziročnej zmeny počtu zamestnancov v roku 2024 oproti</w:t>
      </w:r>
      <w:r w:rsidR="001C10F5">
        <w:rPr>
          <w:rFonts w:eastAsia="Calibri" w:cs="Times New Roman"/>
          <w:b/>
          <w:iCs/>
          <w:color w:val="314364"/>
          <w:szCs w:val="18"/>
        </w:rPr>
        <w:t xml:space="preserve"> roku 2023</w:t>
      </w:r>
    </w:p>
    <w:tbl>
      <w:tblPr>
        <w:tblStyle w:val="Mriekatabuky"/>
        <w:tblW w:w="0" w:type="auto"/>
        <w:tblCellMar>
          <w:left w:w="70" w:type="dxa"/>
          <w:right w:w="70" w:type="dxa"/>
        </w:tblCellMar>
        <w:tblLook w:val="04A0" w:firstRow="1" w:lastRow="0" w:firstColumn="1" w:lastColumn="0" w:noHBand="0" w:noVBand="1"/>
      </w:tblPr>
      <w:tblGrid>
        <w:gridCol w:w="9070"/>
      </w:tblGrid>
      <w:tr w:rsidR="00F85DAA" w14:paraId="042C3B29" w14:textId="77777777" w:rsidTr="00B505D4">
        <w:tc>
          <w:tcPr>
            <w:tcW w:w="9070" w:type="dxa"/>
            <w:tcBorders>
              <w:top w:val="single" w:sz="4" w:space="0" w:color="314364" w:themeColor="text2"/>
              <w:left w:val="nil"/>
              <w:bottom w:val="single" w:sz="4" w:space="0" w:color="314364" w:themeColor="text2"/>
              <w:right w:val="nil"/>
            </w:tcBorders>
          </w:tcPr>
          <w:p w14:paraId="613688D5" w14:textId="77777777" w:rsidR="00F85DAA" w:rsidRDefault="00F85DAA" w:rsidP="00B505D4">
            <w:pPr>
              <w:keepNext/>
              <w:spacing w:after="0"/>
              <w:rPr>
                <w:rFonts w:eastAsia="Calibri" w:cs="Times New Roman"/>
                <w:b/>
                <w:iCs/>
                <w:color w:val="314364"/>
                <w:szCs w:val="18"/>
              </w:rPr>
            </w:pPr>
            <w:r>
              <w:rPr>
                <w:noProof/>
                <w:lang w:eastAsia="sk-SK"/>
              </w:rPr>
              <w:drawing>
                <wp:inline distT="0" distB="0" distL="0" distR="0" wp14:anchorId="2DD75582" wp14:editId="38F82369">
                  <wp:extent cx="5759450" cy="1950720"/>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59B0FF2C" w14:textId="2FE636F6" w:rsidR="00F85DAA" w:rsidRDefault="00F85DAA" w:rsidP="001C1F57">
      <w:pPr>
        <w:rPr>
          <w:b/>
        </w:rPr>
      </w:pPr>
      <w:r w:rsidRPr="00733EC0">
        <w:rPr>
          <w:i/>
          <w:color w:val="314364" w:themeColor="text2"/>
          <w:sz w:val="16"/>
        </w:rPr>
        <w:t>Zdroj: MF SR</w:t>
      </w:r>
    </w:p>
    <w:p w14:paraId="6C580214" w14:textId="23E18AE2" w:rsidR="001C1F57" w:rsidRDefault="001C1F57" w:rsidP="001C1F57">
      <w:r>
        <w:t xml:space="preserve">Na náraste počtu zamestnancov štátnych RO sa výraznou mierou podľa návrhu rozpočtu podieľa zabezpečenie novej legislatívy, </w:t>
      </w:r>
      <w:r w:rsidR="002F0E72">
        <w:t xml:space="preserve">a to </w:t>
      </w:r>
      <w:r>
        <w:t>najmä:</w:t>
      </w:r>
    </w:p>
    <w:p w14:paraId="0754AE02" w14:textId="7D5B8A3A" w:rsidR="001C1F57" w:rsidRDefault="001C1F57" w:rsidP="001C1F57">
      <w:pPr>
        <w:pStyle w:val="Odsekzoznamu"/>
        <w:numPr>
          <w:ilvl w:val="0"/>
          <w:numId w:val="16"/>
        </w:numPr>
      </w:pPr>
      <w:r>
        <w:t xml:space="preserve">prijatie novely školského zákona </w:t>
      </w:r>
      <w:r w:rsidR="002F0E72">
        <w:t xml:space="preserve">– </w:t>
      </w:r>
      <w:r w:rsidR="00A401BB">
        <w:t xml:space="preserve">nárast o </w:t>
      </w:r>
      <w:r>
        <w:t>870 osôb v kapitole MŠVVaŠ SR,</w:t>
      </w:r>
    </w:p>
    <w:p w14:paraId="56A43634" w14:textId="0D0EFCEB" w:rsidR="001C1F57" w:rsidRDefault="001C1F57" w:rsidP="001C1F57">
      <w:pPr>
        <w:pStyle w:val="Odsekzoznamu"/>
        <w:numPr>
          <w:ilvl w:val="0"/>
          <w:numId w:val="16"/>
        </w:numPr>
      </w:pPr>
      <w:r>
        <w:t xml:space="preserve">nový zákon o inšpekcii v sociálnych veciach </w:t>
      </w:r>
      <w:r w:rsidR="002F0E72">
        <w:t xml:space="preserve">– </w:t>
      </w:r>
      <w:r w:rsidR="00A401BB">
        <w:t xml:space="preserve">nárast o </w:t>
      </w:r>
      <w:r>
        <w:t>166 osôb v kapitole MPSVaR SR,</w:t>
      </w:r>
    </w:p>
    <w:p w14:paraId="74C03A8F" w14:textId="4F959C7B" w:rsidR="001C1F57" w:rsidRDefault="001C1F57" w:rsidP="001C1F57">
      <w:pPr>
        <w:pStyle w:val="Odsekzoznamu"/>
        <w:numPr>
          <w:ilvl w:val="0"/>
          <w:numId w:val="16"/>
        </w:numPr>
      </w:pPr>
      <w:r>
        <w:t xml:space="preserve">čiastočné vrátenie systemizovaných miest policajtov v kapitole MV SR </w:t>
      </w:r>
      <w:r w:rsidR="002F0E72">
        <w:t xml:space="preserve">– </w:t>
      </w:r>
      <w:r w:rsidR="00A401BB">
        <w:t xml:space="preserve">nárast o </w:t>
      </w:r>
      <w:r>
        <w:t>907 osôb,</w:t>
      </w:r>
    </w:p>
    <w:p w14:paraId="0D937FB5" w14:textId="3B75E12B" w:rsidR="001C1F57" w:rsidRDefault="001C1F57" w:rsidP="001C1F57">
      <w:pPr>
        <w:pStyle w:val="Odsekzoznamu"/>
        <w:numPr>
          <w:ilvl w:val="0"/>
          <w:numId w:val="16"/>
        </w:numPr>
      </w:pPr>
      <w:r>
        <w:t xml:space="preserve">zabezpečenie financovania zo zdrojov EÚ v RO </w:t>
      </w:r>
      <w:r w:rsidR="002F0E72">
        <w:t xml:space="preserve">– </w:t>
      </w:r>
      <w:r w:rsidR="00A401BB">
        <w:t xml:space="preserve">nárast o </w:t>
      </w:r>
      <w:r>
        <w:t>191 osôb,</w:t>
      </w:r>
    </w:p>
    <w:p w14:paraId="6E96EAB0" w14:textId="5689AC78" w:rsidR="001C1F57" w:rsidRDefault="001C1F57" w:rsidP="001C1F57">
      <w:pPr>
        <w:pStyle w:val="Odsekzoznamu"/>
        <w:numPr>
          <w:ilvl w:val="0"/>
          <w:numId w:val="16"/>
        </w:numPr>
      </w:pPr>
      <w:r>
        <w:t xml:space="preserve">na realizácie Plánu obnovy a odolnosti v RO </w:t>
      </w:r>
      <w:r w:rsidR="002F0E72">
        <w:t xml:space="preserve">– </w:t>
      </w:r>
      <w:r>
        <w:t>268 osôb</w:t>
      </w:r>
      <w:r w:rsidR="002F0E72">
        <w:t>,</w:t>
      </w:r>
    </w:p>
    <w:p w14:paraId="2EB65B06" w14:textId="77777777" w:rsidR="001C1F57" w:rsidRPr="009D08D6" w:rsidRDefault="001C1F57" w:rsidP="001C1F57">
      <w:pPr>
        <w:pStyle w:val="Odsekzoznamu"/>
        <w:numPr>
          <w:ilvl w:val="0"/>
          <w:numId w:val="16"/>
        </w:numPr>
      </w:pPr>
      <w:r>
        <w:t>ostatné legislatívne zmeny – 652 osôb.</w:t>
      </w:r>
    </w:p>
    <w:p w14:paraId="37997604" w14:textId="0ABC81F9" w:rsidR="007769A0" w:rsidRDefault="002F0E72" w:rsidP="00800895">
      <w:r>
        <w:t xml:space="preserve">Počet zamestnancov bude rásť </w:t>
      </w:r>
      <w:r w:rsidR="001C1F57">
        <w:t>aj zriadením nového Ministerstva cestovného ruchu a športu SR, ktorého výdavky na rok 2024 sa rozpočtujú v </w:t>
      </w:r>
      <w:r w:rsidR="00342619">
        <w:t>r</w:t>
      </w:r>
      <w:r w:rsidR="001C1F57">
        <w:t xml:space="preserve">ezerve na riešenie legislatívnych vplyvov. </w:t>
      </w:r>
      <w:r w:rsidR="001C1F57" w:rsidRPr="007D50BF">
        <w:rPr>
          <w:b/>
        </w:rPr>
        <w:t xml:space="preserve">Počet zamestnancov ministerstva vznikajúceho od 1. januára 2024 nie je v rozpočte VS </w:t>
      </w:r>
      <w:r w:rsidR="004C7A3E">
        <w:rPr>
          <w:b/>
        </w:rPr>
        <w:t>stanovený</w:t>
      </w:r>
      <w:r w:rsidR="001C1F57">
        <w:t>.</w:t>
      </w:r>
      <w:r w:rsidR="00800895">
        <w:t xml:space="preserve"> </w:t>
      </w:r>
      <w:r w:rsidR="007769A0">
        <w:t>Rovnako nie je jasné konkrétne zameranie, ciele a politiky na ktoré bude nové ministerstvo zamerané a aké kompetencie a nástroje na dosahovanie cieľov mu budú stanovené.</w:t>
      </w:r>
    </w:p>
    <w:p w14:paraId="16C3830B" w14:textId="04B19CCB" w:rsidR="001C1F57" w:rsidRDefault="001C1F57" w:rsidP="001C1F57">
      <w:r w:rsidRPr="002F0E72">
        <w:rPr>
          <w:rFonts w:cs="Segoe UI"/>
          <w:b/>
        </w:rPr>
        <w:t xml:space="preserve">Nárast počtu zamestnancov, ktorý v návrhu rozpočtu nie je </w:t>
      </w:r>
      <w:r w:rsidR="004C7A3E">
        <w:rPr>
          <w:rFonts w:cs="Segoe UI"/>
          <w:b/>
        </w:rPr>
        <w:t>stanoven</w:t>
      </w:r>
      <w:r w:rsidR="00A401BB">
        <w:rPr>
          <w:rFonts w:cs="Segoe UI"/>
          <w:b/>
        </w:rPr>
        <w:t>ý</w:t>
      </w:r>
      <w:r w:rsidRPr="002F0E72">
        <w:rPr>
          <w:rFonts w:cs="Segoe UI"/>
          <w:b/>
        </w:rPr>
        <w:t xml:space="preserve">, bude </w:t>
      </w:r>
      <w:r w:rsidR="002F0E72" w:rsidRPr="002F0E72">
        <w:rPr>
          <w:rFonts w:cs="Segoe UI"/>
          <w:b/>
        </w:rPr>
        <w:t xml:space="preserve">aj </w:t>
      </w:r>
      <w:r w:rsidRPr="002F0E72">
        <w:rPr>
          <w:rFonts w:cs="Segoe UI"/>
          <w:b/>
        </w:rPr>
        <w:t xml:space="preserve"> v súvislosti s návrhom zákona o pomoci pri splácaní úveru na bývanie</w:t>
      </w:r>
      <w:r w:rsidRPr="002F0E72">
        <w:rPr>
          <w:rFonts w:cs="Segoe UI"/>
          <w:color w:val="333333"/>
          <w:szCs w:val="20"/>
          <w:shd w:val="clear" w:color="auto" w:fill="FFFFFF"/>
        </w:rPr>
        <w:t xml:space="preserve"> </w:t>
      </w:r>
      <w:r w:rsidRPr="002F0E72">
        <w:rPr>
          <w:rFonts w:cs="Segoe UI"/>
        </w:rPr>
        <w:t>a o zmene a doplnení niektorých zákonov</w:t>
      </w:r>
      <w:r w:rsidRPr="002F0E72">
        <w:rPr>
          <w:rStyle w:val="Odkaznapoznmkupodiarou"/>
          <w:rFonts w:cs="Segoe UI"/>
          <w:color w:val="333333"/>
          <w:szCs w:val="20"/>
          <w:shd w:val="clear" w:color="auto" w:fill="FFFFFF"/>
        </w:rPr>
        <w:footnoteReference w:id="24"/>
      </w:r>
      <w:r w:rsidRPr="002F0E72">
        <w:rPr>
          <w:rFonts w:cs="Segoe UI"/>
          <w:color w:val="333333"/>
          <w:szCs w:val="20"/>
          <w:shd w:val="clear" w:color="auto" w:fill="FFFFFF"/>
        </w:rPr>
        <w:t xml:space="preserve">, ktorým sa počet zamestnancov na </w:t>
      </w:r>
      <w:r w:rsidRPr="002F0E72">
        <w:rPr>
          <w:rFonts w:cs="Segoe UI"/>
        </w:rPr>
        <w:t>Úradoch práce, sociálnych vecí a rodiny zvýši o 300 </w:t>
      </w:r>
      <w:r w:rsidR="00A401BB">
        <w:rPr>
          <w:rFonts w:cs="Segoe UI"/>
        </w:rPr>
        <w:t>za</w:t>
      </w:r>
      <w:r w:rsidRPr="002F0E72">
        <w:rPr>
          <w:rFonts w:cs="Segoe UI"/>
        </w:rPr>
        <w:t>mestnancov</w:t>
      </w:r>
      <w:r w:rsidR="00A401BB">
        <w:rPr>
          <w:rStyle w:val="Odkaznapoznmkupodiarou"/>
        </w:rPr>
        <w:footnoteReference w:id="25"/>
      </w:r>
      <w:r w:rsidR="00E73CFF">
        <w:rPr>
          <w:rFonts w:cs="Segoe UI"/>
        </w:rPr>
        <w:t>.</w:t>
      </w:r>
      <w:r w:rsidR="004C7A3E">
        <w:rPr>
          <w:rFonts w:cs="Segoe UI"/>
        </w:rPr>
        <w:t xml:space="preserve"> </w:t>
      </w:r>
      <w:r w:rsidRPr="00342619">
        <w:rPr>
          <w:b/>
        </w:rPr>
        <w:t>Najväčšia medziročná zmena v limite počtu zamestnancov RO je v kapitole MŽP SR, kde ide o medziročný nárast o 44,6 %</w:t>
      </w:r>
      <w:r>
        <w:t>, pričom v rozpočte nie je špecifikované</w:t>
      </w:r>
      <w:r w:rsidR="007F5482">
        <w:t>,</w:t>
      </w:r>
      <w:r>
        <w:t xml:space="preserve"> kde bude tento nárast premietnutý</w:t>
      </w:r>
      <w:r w:rsidR="00A401BB">
        <w:rPr>
          <w:rStyle w:val="Odkaznapoznmkupodiarou"/>
        </w:rPr>
        <w:footnoteReference w:id="26"/>
      </w:r>
      <w:r>
        <w:t xml:space="preserve">. Druhý najvyšší rast je v kapitole MIRRI SR, </w:t>
      </w:r>
      <w:r w:rsidR="007F5482">
        <w:t>a to</w:t>
      </w:r>
      <w:r w:rsidR="00866E83">
        <w:t xml:space="preserve"> o 21,2 %.</w:t>
      </w:r>
    </w:p>
    <w:p w14:paraId="230D44BB" w14:textId="77777777" w:rsidR="009E6EE5" w:rsidRDefault="009E6EE5" w:rsidP="009E6EE5">
      <w:r>
        <w:lastRenderedPageBreak/>
        <w:t>V PVV sa vláda zaviazala vytvoriť niekoľko nových úradov, ktoré navýšia počet zamestnancov štátnej správy a nie sú zohľadnené v návrhu RVS na rok 2024:</w:t>
      </w:r>
    </w:p>
    <w:p w14:paraId="4F1277D3" w14:textId="77777777" w:rsidR="009E6EE5" w:rsidRDefault="009E6EE5" w:rsidP="009E6EE5">
      <w:pPr>
        <w:pStyle w:val="Odsekzoznamu"/>
        <w:numPr>
          <w:ilvl w:val="0"/>
          <w:numId w:val="16"/>
        </w:numPr>
      </w:pPr>
      <w:r>
        <w:t>p</w:t>
      </w:r>
      <w:r w:rsidRPr="00F8260D">
        <w:t>od Úradom podpredsedu vlády S</w:t>
      </w:r>
      <w:r>
        <w:t>R</w:t>
      </w:r>
      <w:r w:rsidRPr="00F8260D">
        <w:t xml:space="preserve"> vznikne útvar kompetenčne zodpovedný za riadenie a koordináciu agendy lákania a udržania talentu so špeciálnym dôrazom na využitie potenciálu vysokokvalifikovaných občanov Ukrajiny žijúcich dočasne na Slove</w:t>
      </w:r>
      <w:r>
        <w:t>nsku,</w:t>
      </w:r>
    </w:p>
    <w:p w14:paraId="128BB4D8" w14:textId="77777777" w:rsidR="009E6EE5" w:rsidRDefault="009E6EE5" w:rsidP="009E6EE5">
      <w:pPr>
        <w:pStyle w:val="Odsekzoznamu"/>
        <w:numPr>
          <w:ilvl w:val="0"/>
          <w:numId w:val="16"/>
        </w:numPr>
      </w:pPr>
      <w:r>
        <w:t xml:space="preserve">v gescii MV SR </w:t>
      </w:r>
      <w:r w:rsidRPr="00D314C7">
        <w:t>vznikne osobitný subjekt</w:t>
      </w:r>
      <w:r>
        <w:t>, do ktorého sa sústredí kľúčová časť majetku ústrednej štátnej správy,</w:t>
      </w:r>
    </w:p>
    <w:p w14:paraId="14A5781F" w14:textId="77777777" w:rsidR="009E6EE5" w:rsidRPr="00F8260D" w:rsidRDefault="009E6EE5" w:rsidP="009E6EE5">
      <w:pPr>
        <w:pStyle w:val="Odsekzoznamu"/>
        <w:numPr>
          <w:ilvl w:val="0"/>
          <w:numId w:val="16"/>
        </w:numPr>
      </w:pPr>
      <w:r w:rsidRPr="00D314C7">
        <w:t>vláda zriadi Agentúru pre správu štátneho prebytočného majetku</w:t>
      </w:r>
      <w:r>
        <w:t>,</w:t>
      </w:r>
    </w:p>
    <w:p w14:paraId="2AFDF2D6" w14:textId="77777777" w:rsidR="009E6EE5" w:rsidRPr="00F8260D" w:rsidRDefault="009E6EE5" w:rsidP="009E6EE5">
      <w:pPr>
        <w:pStyle w:val="Odsekzoznamu"/>
        <w:numPr>
          <w:ilvl w:val="0"/>
          <w:numId w:val="16"/>
        </w:numPr>
      </w:pPr>
      <w:r w:rsidRPr="00D314C7">
        <w:t>vznikne štátna agentúra pre pomoc neziskovému sektoru.</w:t>
      </w:r>
    </w:p>
    <w:p w14:paraId="0834F9C9" w14:textId="0A5FA295" w:rsidR="001C1F57" w:rsidRPr="00AE57D4" w:rsidRDefault="001C1F57" w:rsidP="001C1F57">
      <w:pPr>
        <w:rPr>
          <w:b/>
        </w:rPr>
      </w:pPr>
      <w:r>
        <w:t xml:space="preserve">Okrem vzniku </w:t>
      </w:r>
      <w:r w:rsidR="00342619">
        <w:t>týchto</w:t>
      </w:r>
      <w:r>
        <w:t xml:space="preserve"> subjektov VS vláda plánuje vytvoriť</w:t>
      </w:r>
      <w:r w:rsidRPr="00D314C7">
        <w:t xml:space="preserve"> dve agentúry poskytujúce granty v oblasti podporu výskumu, vývoja a inovácií </w:t>
      </w:r>
      <w:r>
        <w:t>–</w:t>
      </w:r>
      <w:r w:rsidRPr="00D314C7">
        <w:t xml:space="preserve"> jednu na rezorte školstva a druhú na rezorte hospodárstva.</w:t>
      </w:r>
      <w:r w:rsidR="007F5482">
        <w:t xml:space="preserve"> </w:t>
      </w:r>
      <w:r w:rsidRPr="00AE57D4">
        <w:rPr>
          <w:b/>
        </w:rPr>
        <w:t>N</w:t>
      </w:r>
      <w:r w:rsidR="007769A0">
        <w:rPr>
          <w:b/>
        </w:rPr>
        <w:t xml:space="preserve">KÚ </w:t>
      </w:r>
      <w:r w:rsidR="009E6EE5">
        <w:rPr>
          <w:b/>
        </w:rPr>
        <w:t> </w:t>
      </w:r>
      <w:r w:rsidR="007769A0">
        <w:rPr>
          <w:b/>
        </w:rPr>
        <w:t>SR zistil, že n</w:t>
      </w:r>
      <w:r w:rsidRPr="00AE57D4">
        <w:rPr>
          <w:b/>
        </w:rPr>
        <w:t>a žiadnu z </w:t>
      </w:r>
      <w:r w:rsidR="007F5482">
        <w:rPr>
          <w:b/>
        </w:rPr>
        <w:t>týchto</w:t>
      </w:r>
      <w:r w:rsidRPr="00AE57D4">
        <w:rPr>
          <w:b/>
        </w:rPr>
        <w:t xml:space="preserve"> priorít a zámerov z PVV nie sú v rozpočte na rok 2024 vyčlenené finančné ani ľudské zdroje.</w:t>
      </w:r>
    </w:p>
    <w:p w14:paraId="277AB981" w14:textId="20DB2056" w:rsidR="001C1F57" w:rsidRDefault="0046711E" w:rsidP="001C1F57">
      <w:r>
        <w:t>P</w:t>
      </w:r>
      <w:r w:rsidR="001C1F57">
        <w:t>odľa P</w:t>
      </w:r>
      <w:r>
        <w:t>VV</w:t>
      </w:r>
      <w:r w:rsidR="001C1F57">
        <w:t xml:space="preserve"> </w:t>
      </w:r>
      <w:r>
        <w:t xml:space="preserve">vláda </w:t>
      </w:r>
      <w:r w:rsidR="001C1F57">
        <w:t xml:space="preserve">plánuje reorganizáciu </w:t>
      </w:r>
      <w:r>
        <w:t>VS</w:t>
      </w:r>
      <w:r w:rsidR="001C1F57">
        <w:t>, pričom chce nadviazať na začatú reformu „Efektívnej, spoľahlivej a otvorenej verejnej správy“ (ESO). Pri reforme by vláda mala vziať do úvahy zistenia a odporúčania NKÚ SR, ktorý v roku 2017 vykonal kontrolu Implementácia Programu ESO</w:t>
      </w:r>
      <w:r w:rsidR="001C1F57">
        <w:rPr>
          <w:rStyle w:val="Odkaznapoznmkupodiarou"/>
        </w:rPr>
        <w:footnoteReference w:id="27"/>
      </w:r>
      <w:r w:rsidR="001C1F57">
        <w:t>, kde identifikoval riziká nehospodárneho a neefektívneho nakladania s majetkom štátu, ako aj riziká nenapĺňania úsporných opatrení v rámci vybranej vzorky subjektov štátnej správy.</w:t>
      </w:r>
    </w:p>
    <w:p w14:paraId="2A2B443C" w14:textId="6B6A048F" w:rsidR="001C1F57" w:rsidRPr="007769A0" w:rsidRDefault="0046711E" w:rsidP="001C1F57">
      <w:pPr>
        <w:rPr>
          <w:b/>
        </w:rPr>
      </w:pPr>
      <w:r w:rsidRPr="00AE57D4">
        <w:rPr>
          <w:b/>
        </w:rPr>
        <w:t xml:space="preserve">Na reformu VS v rozpočte na rok 2024 nie sú </w:t>
      </w:r>
      <w:r w:rsidR="009E6EE5">
        <w:rPr>
          <w:b/>
        </w:rPr>
        <w:t>v rozpočte</w:t>
      </w:r>
      <w:r w:rsidRPr="00AE57D4">
        <w:rPr>
          <w:b/>
        </w:rPr>
        <w:t xml:space="preserve"> vyčlen</w:t>
      </w:r>
      <w:r>
        <w:rPr>
          <w:b/>
        </w:rPr>
        <w:t xml:space="preserve">ené finančné ani ľudské zdroje. </w:t>
      </w:r>
      <w:r w:rsidR="001C1F57">
        <w:t>Súčasťou reformy VS má  byť program scelenia a zefektívnenia administratívnej infraštruktúry štátu, ktorý má zabezpečovať MV SR a ktorého cieľom má byť optimalizácia fungovania štátnej správy, čo má priniesť významné úspory na investičných aj</w:t>
      </w:r>
      <w:r w:rsidR="009E6EE5">
        <w:t xml:space="preserve"> prevádzkových nákladoch štátu.</w:t>
      </w:r>
    </w:p>
    <w:p w14:paraId="3FF5221F" w14:textId="77777777" w:rsidR="00FA3668" w:rsidRPr="002D1720" w:rsidRDefault="00FA3668" w:rsidP="00CE4599">
      <w:pPr>
        <w:rPr>
          <w:rFonts w:eastAsia="Calibri" w:cs="Segoe UI"/>
          <w:color w:val="FF0000"/>
          <w:szCs w:val="20"/>
        </w:rPr>
      </w:pPr>
    </w:p>
    <w:p w14:paraId="43E5E71E" w14:textId="31F0ACF9" w:rsidR="00D36B99" w:rsidRPr="007E630A" w:rsidRDefault="00D36B99" w:rsidP="00D36B99">
      <w:pPr>
        <w:pStyle w:val="Nadpis1"/>
        <w:pageBreakBefore/>
        <w:ind w:left="360" w:hanging="360"/>
        <w:jc w:val="left"/>
      </w:pPr>
      <w:bookmarkStart w:id="22" w:name="_Toc86396378"/>
      <w:bookmarkStart w:id="23" w:name="_Toc119482910"/>
      <w:bookmarkStart w:id="24" w:name="_Toc153784701"/>
      <w:r w:rsidRPr="007E630A">
        <w:lastRenderedPageBreak/>
        <w:t xml:space="preserve">Riziká </w:t>
      </w:r>
      <w:r>
        <w:t>rozpočtovania pri dosahovaní najvýznamnejších cieľov</w:t>
      </w:r>
      <w:bookmarkEnd w:id="22"/>
      <w:bookmarkEnd w:id="23"/>
      <w:bookmarkEnd w:id="24"/>
    </w:p>
    <w:p w14:paraId="7825D5E8" w14:textId="4A75EB3D" w:rsidR="00D36B99" w:rsidRPr="007D45D5" w:rsidRDefault="00D36B99" w:rsidP="00D36B99">
      <w:r w:rsidRPr="007D45D5">
        <w:t>Rok 202</w:t>
      </w:r>
      <w:r>
        <w:t>4</w:t>
      </w:r>
      <w:r w:rsidRPr="007D45D5">
        <w:t xml:space="preserve"> je </w:t>
      </w:r>
      <w:r>
        <w:t>prvým</w:t>
      </w:r>
      <w:r w:rsidRPr="007D45D5">
        <w:t xml:space="preserve"> rokom, v ktorom bude </w:t>
      </w:r>
      <w:r>
        <w:t xml:space="preserve">nová </w:t>
      </w:r>
      <w:r w:rsidRPr="007D45D5">
        <w:t xml:space="preserve">vláda SR napĺňať </w:t>
      </w:r>
      <w:r>
        <w:t xml:space="preserve">svoje programové vyhlásenie </w:t>
      </w:r>
      <w:r w:rsidRPr="007D45D5">
        <w:t>na roky 202</w:t>
      </w:r>
      <w:r>
        <w:t>3</w:t>
      </w:r>
      <w:r w:rsidRPr="007D45D5">
        <w:t xml:space="preserve"> – 202</w:t>
      </w:r>
      <w:r>
        <w:t>7.</w:t>
      </w:r>
      <w:r w:rsidRPr="0088656D">
        <w:rPr>
          <w:rStyle w:val="Odkaznapoznmkupodiarou"/>
        </w:rPr>
        <w:footnoteReference w:id="28"/>
      </w:r>
      <w:r w:rsidRPr="007D45D5">
        <w:t xml:space="preserve"> Preto sme sa zamerali na to, či sú programy financované zo ŠR naviazané na plnenie </w:t>
      </w:r>
      <w:r w:rsidR="00FA3668">
        <w:t>krátkodobých</w:t>
      </w:r>
      <w:r w:rsidRPr="007D45D5">
        <w:t xml:space="preserve"> cieľov PVV vo vybraných oblastiach</w:t>
      </w:r>
      <w:r w:rsidR="00FA3668">
        <w:t xml:space="preserve"> verejných politík</w:t>
      </w:r>
      <w:r w:rsidRPr="007D45D5">
        <w:t>. Identifikovali sme tak riziká, ktoré súvisia s reálnosťou splnenia jednotlivých cieľov v kontexte navrhnutého rozpočtu na rok 202</w:t>
      </w:r>
      <w:r>
        <w:t>4</w:t>
      </w:r>
      <w:r w:rsidRPr="007D45D5">
        <w:t>.</w:t>
      </w:r>
    </w:p>
    <w:p w14:paraId="5E8C25C8" w14:textId="1401DA1A" w:rsidR="00D36B99" w:rsidRDefault="00D36B99" w:rsidP="00D36B99">
      <w:pPr>
        <w:spacing w:before="60" w:after="60"/>
      </w:pPr>
      <w:r w:rsidRPr="007D45D5">
        <w:t xml:space="preserve">Bližšie sme sa venovali </w:t>
      </w:r>
      <w:r w:rsidR="00342619">
        <w:t xml:space="preserve">tým </w:t>
      </w:r>
      <w:r w:rsidRPr="007D45D5">
        <w:t xml:space="preserve">oblastiam verejných politík, ktoré sú </w:t>
      </w:r>
      <w:r w:rsidR="007A35C9">
        <w:t xml:space="preserve">aktuálnymi </w:t>
      </w:r>
      <w:r w:rsidRPr="007D45D5">
        <w:t>prioritami kontrolnej činnosti NKÚ SR</w:t>
      </w:r>
      <w:r w:rsidR="001F78F5">
        <w:t xml:space="preserve"> a v ktorých identifikujeme dlhodobé zaostávanie Slovenska resp. systémové problémy</w:t>
      </w:r>
      <w:r w:rsidRPr="007D45D5">
        <w:t xml:space="preserve"> – zdravotníctvo, udržateľn</w:t>
      </w:r>
      <w:r w:rsidR="00342619">
        <w:t>ý sociálny systém</w:t>
      </w:r>
      <w:r w:rsidR="000D631B">
        <w:t xml:space="preserve">, </w:t>
      </w:r>
      <w:r w:rsidR="000D631B" w:rsidRPr="007D45D5">
        <w:t>vzdelávanie</w:t>
      </w:r>
      <w:r w:rsidR="00342619">
        <w:t xml:space="preserve"> a životné prostredie</w:t>
      </w:r>
      <w:r w:rsidRPr="007D45D5">
        <w:t>.</w:t>
      </w:r>
    </w:p>
    <w:p w14:paraId="41925747" w14:textId="77777777" w:rsidR="00D36B99" w:rsidRPr="000D631B" w:rsidRDefault="00D36B99" w:rsidP="000D631B">
      <w:pPr>
        <w:pStyle w:val="Nadpis2"/>
      </w:pPr>
      <w:bookmarkStart w:id="25" w:name="_Toc86396380"/>
      <w:bookmarkStart w:id="26" w:name="_Toc119482911"/>
      <w:bookmarkStart w:id="27" w:name="_Toc153784702"/>
      <w:r w:rsidRPr="000D631B">
        <w:t>Zdravotníctvo</w:t>
      </w:r>
      <w:bookmarkEnd w:id="25"/>
      <w:bookmarkEnd w:id="26"/>
      <w:bookmarkEnd w:id="27"/>
    </w:p>
    <w:p w14:paraId="1091FF3C" w14:textId="02EBEF40" w:rsidR="00787720" w:rsidRPr="00537277" w:rsidRDefault="00787720" w:rsidP="00787720">
      <w:pPr>
        <w:rPr>
          <w:i/>
        </w:rPr>
      </w:pPr>
      <w:r w:rsidRPr="00BB184A">
        <w:rPr>
          <w:b/>
        </w:rPr>
        <w:t>Pre oblasť zdravotníctva je navrhovaný celkový objem verejných výdavkov vo výške 8,9 mld. eur, čo</w:t>
      </w:r>
      <w:r w:rsidR="002260E2">
        <w:rPr>
          <w:b/>
        </w:rPr>
        <w:t xml:space="preserve"> predstavuje</w:t>
      </w:r>
      <w:r w:rsidRPr="00BB184A">
        <w:rPr>
          <w:b/>
        </w:rPr>
        <w:t xml:space="preserve"> </w:t>
      </w:r>
      <w:r w:rsidR="002260E2">
        <w:rPr>
          <w:b/>
        </w:rPr>
        <w:t>približne</w:t>
      </w:r>
      <w:r w:rsidRPr="00BB184A">
        <w:rPr>
          <w:b/>
        </w:rPr>
        <w:t xml:space="preserve"> 10</w:t>
      </w:r>
      <w:r w:rsidR="00BB184A" w:rsidRPr="00BB184A">
        <w:rPr>
          <w:b/>
        </w:rPr>
        <w:t xml:space="preserve"> %</w:t>
      </w:r>
      <w:r w:rsidR="00E40AE8">
        <w:rPr>
          <w:b/>
        </w:rPr>
        <w:t xml:space="preserve"> </w:t>
      </w:r>
      <w:r w:rsidR="002260E2">
        <w:rPr>
          <w:b/>
        </w:rPr>
        <w:t xml:space="preserve">nárast </w:t>
      </w:r>
      <w:r w:rsidR="00E40AE8">
        <w:rPr>
          <w:b/>
        </w:rPr>
        <w:t>oproti rozpočtu na rok 2023</w:t>
      </w:r>
      <w:r w:rsidRPr="00BB184A">
        <w:rPr>
          <w:b/>
        </w:rPr>
        <w:t>.</w:t>
      </w:r>
      <w:r>
        <w:t xml:space="preserve"> Zvýšenie celkových rozpočtovaných výdavkov na oblasť zdravotníctva je nevyhnutnou reakciou na jeden z hlavných problémov slovenského zdravotníctva, ktorým je po</w:t>
      </w:r>
      <w:r w:rsidR="00500947">
        <w:t>d</w:t>
      </w:r>
      <w:r>
        <w:t xml:space="preserve">financovanie. Existuje viacero spôsobov porovnania celkového objemu verejných výdavkov na zdravotníctvo s ostatnými krajinami, pričom jedným z najrelevantnejších je porovnanie cez ukazovateľ výdavkov na obyvateľa v parite kúpnej sily. </w:t>
      </w:r>
      <w:r w:rsidR="002260E2">
        <w:t>Hodnota</w:t>
      </w:r>
      <w:r>
        <w:t xml:space="preserve"> indikátor</w:t>
      </w:r>
      <w:r w:rsidR="002260E2">
        <w:t>a</w:t>
      </w:r>
      <w:r>
        <w:t xml:space="preserve"> </w:t>
      </w:r>
      <w:r w:rsidR="002260E2">
        <w:t>po</w:t>
      </w:r>
      <w:r>
        <w:t xml:space="preserve">ukazuje </w:t>
      </w:r>
      <w:r w:rsidR="002260E2">
        <w:t xml:space="preserve">na </w:t>
      </w:r>
      <w:r>
        <w:t>značné zaostávanie Slovenska vo financovaní zdravotníctva</w:t>
      </w:r>
      <w:r w:rsidR="00BA10B2">
        <w:t xml:space="preserve"> (graf 7)</w:t>
      </w:r>
      <w:r>
        <w:t xml:space="preserve">. Vzhľadom k vysokej miere inflácie, ktorá bola v 2023 zaznamenávaná v celej Európe sa dá očakávať, že výdavky na zdravotníctvo budú rásť aj v iných krajinách a navýšenie rozpočtovaných výdavkov na Slovensku zásadne nezmení pozíciu Slovenska v tomto rebríčku. </w:t>
      </w:r>
      <w:r w:rsidRPr="001378B7">
        <w:rPr>
          <w:b/>
        </w:rPr>
        <w:t xml:space="preserve">NKÚ </w:t>
      </w:r>
      <w:r w:rsidR="00C81486">
        <w:rPr>
          <w:b/>
        </w:rPr>
        <w:t>SR</w:t>
      </w:r>
      <w:r>
        <w:t xml:space="preserve"> </w:t>
      </w:r>
      <w:r w:rsidRPr="00194529">
        <w:rPr>
          <w:b/>
        </w:rPr>
        <w:t>hodnotí pozitívne navýšenie celkového rozpočtovaného objemu financií na zdravotníctvo</w:t>
      </w:r>
      <w:r>
        <w:t xml:space="preserve">, </w:t>
      </w:r>
      <w:r w:rsidR="00537277">
        <w:t xml:space="preserve">pričom ale </w:t>
      </w:r>
      <w:r w:rsidR="00537277" w:rsidRPr="00537277">
        <w:t xml:space="preserve">upozorňuje, </w:t>
      </w:r>
      <w:r w:rsidR="00537277">
        <w:t xml:space="preserve">že treba zabezpečiť, </w:t>
      </w:r>
      <w:r w:rsidR="00537277" w:rsidRPr="00537277">
        <w:t>aby zdroje boli vynaložené predovšetkým na zlepšenie poskytovania zdravotnej starostlivosti.</w:t>
      </w:r>
    </w:p>
    <w:tbl>
      <w:tblPr>
        <w:tblStyle w:val="Mriekatabuky3"/>
        <w:tblW w:w="8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01"/>
      </w:tblGrid>
      <w:tr w:rsidR="00787720" w:rsidRPr="00D40AB4" w14:paraId="37E92A2E" w14:textId="77777777" w:rsidTr="00781997">
        <w:trPr>
          <w:trHeight w:val="283"/>
        </w:trPr>
        <w:tc>
          <w:tcPr>
            <w:tcW w:w="8901" w:type="dxa"/>
            <w:tcBorders>
              <w:bottom w:val="single" w:sz="4" w:space="0" w:color="314364"/>
            </w:tcBorders>
            <w:shd w:val="clear" w:color="auto" w:fill="auto"/>
          </w:tcPr>
          <w:p w14:paraId="4BF95971" w14:textId="2437ABED" w:rsidR="00787720" w:rsidRPr="00D40AB4" w:rsidRDefault="00787720" w:rsidP="00781997">
            <w:pPr>
              <w:pStyle w:val="Popis"/>
              <w:keepNext/>
              <w:rPr>
                <w:color w:val="314364"/>
              </w:rPr>
            </w:pPr>
            <w:r w:rsidRPr="00D40AB4">
              <w:rPr>
                <w:color w:val="314364"/>
              </w:rPr>
              <w:t>Graf</w:t>
            </w:r>
            <w:r w:rsidR="00697049">
              <w:rPr>
                <w:color w:val="314364"/>
              </w:rPr>
              <w:t xml:space="preserve"> 7</w:t>
            </w:r>
            <w:r w:rsidRPr="00D40AB4">
              <w:rPr>
                <w:color w:val="314364"/>
              </w:rPr>
              <w:t xml:space="preserve">: </w:t>
            </w:r>
            <w:r>
              <w:rPr>
                <w:color w:val="314364"/>
              </w:rPr>
              <w:t>Verejné výdavky na zdravotníctvo na 1 obyvateľa (euro v parite kúpnej sily)</w:t>
            </w:r>
          </w:p>
        </w:tc>
      </w:tr>
      <w:tr w:rsidR="00787720" w:rsidRPr="00402675" w14:paraId="3D262EF5" w14:textId="77777777" w:rsidTr="00781997">
        <w:tblPrEx>
          <w:tblCellMar>
            <w:left w:w="70" w:type="dxa"/>
            <w:right w:w="70" w:type="dxa"/>
          </w:tblCellMar>
        </w:tblPrEx>
        <w:trPr>
          <w:trHeight w:val="3402"/>
        </w:trPr>
        <w:tc>
          <w:tcPr>
            <w:tcW w:w="8901" w:type="dxa"/>
            <w:tcBorders>
              <w:top w:val="single" w:sz="4" w:space="0" w:color="314364"/>
              <w:bottom w:val="single" w:sz="4" w:space="0" w:color="314364"/>
            </w:tcBorders>
            <w:vAlign w:val="center"/>
          </w:tcPr>
          <w:p w14:paraId="0703F04B" w14:textId="77777777" w:rsidR="00787720" w:rsidRPr="00402675" w:rsidRDefault="00787720" w:rsidP="00781997">
            <w:pPr>
              <w:spacing w:after="0"/>
              <w:rPr>
                <w:rFonts w:cs="Segoe UI"/>
                <w:b/>
                <w:szCs w:val="20"/>
              </w:rPr>
            </w:pPr>
            <w:r>
              <w:rPr>
                <w:noProof/>
                <w:lang w:eastAsia="sk-SK"/>
              </w:rPr>
              <w:drawing>
                <wp:inline distT="0" distB="0" distL="0" distR="0" wp14:anchorId="04D15366" wp14:editId="2DB92B15">
                  <wp:extent cx="5624195" cy="2139351"/>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7CE4524E" w14:textId="5CCFF2F2" w:rsidR="00787720" w:rsidRPr="00F46AE9" w:rsidRDefault="00787720" w:rsidP="00E14B4F">
      <w:pPr>
        <w:pStyle w:val="Zdroj"/>
      </w:pPr>
      <w:r w:rsidRPr="00F46AE9">
        <w:t xml:space="preserve">Zdroj:  OECD; vlastné spracovanie. </w:t>
      </w:r>
      <w:r w:rsidR="004C1CC1">
        <w:br/>
      </w:r>
      <w:r w:rsidRPr="00F46AE9">
        <w:t>Poznámka: Za Bulharsko, Chorvátsko, Cyprus, Maltu a Rumunsko neboli dostupné dáta za rok 2022 a v grafe boli použité dáta z roku 2021.</w:t>
      </w:r>
    </w:p>
    <w:p w14:paraId="205DFC85" w14:textId="0A0E3071" w:rsidR="00E40AE8" w:rsidRDefault="00E40AE8" w:rsidP="00E40AE8">
      <w:r w:rsidRPr="00E40AE8">
        <w:rPr>
          <w:b/>
        </w:rPr>
        <w:t xml:space="preserve">Predložený </w:t>
      </w:r>
      <w:r w:rsidRPr="00CE36A2">
        <w:rPr>
          <w:b/>
        </w:rPr>
        <w:t xml:space="preserve">návrh rozpočtu </w:t>
      </w:r>
      <w:r w:rsidR="001D0D9A">
        <w:rPr>
          <w:b/>
        </w:rPr>
        <w:t>za o</w:t>
      </w:r>
      <w:r w:rsidRPr="00CE36A2">
        <w:rPr>
          <w:b/>
        </w:rPr>
        <w:t>blas</w:t>
      </w:r>
      <w:r w:rsidR="001D0D9A">
        <w:rPr>
          <w:b/>
        </w:rPr>
        <w:t>ť</w:t>
      </w:r>
      <w:r w:rsidRPr="00CE36A2">
        <w:rPr>
          <w:b/>
        </w:rPr>
        <w:t xml:space="preserve"> zdravotníctva je v porovnaní s minulými rokmi mimoriadne stručný</w:t>
      </w:r>
      <w:r>
        <w:t>. Napríklad je otázne, ako bude financovaná krátkodobá priorita</w:t>
      </w:r>
      <w:r w:rsidR="001D0D9A">
        <w:t xml:space="preserve"> </w:t>
      </w:r>
      <w:r w:rsidRPr="002739CB">
        <w:t>stabilizova</w:t>
      </w:r>
      <w:r w:rsidR="00A74BC0">
        <w:t>nia</w:t>
      </w:r>
      <w:r w:rsidRPr="002739CB">
        <w:t xml:space="preserve"> ministerstv</w:t>
      </w:r>
      <w:r w:rsidR="00A74BC0">
        <w:t>a</w:t>
      </w:r>
      <w:r w:rsidRPr="002739CB">
        <w:t xml:space="preserve"> po personálnej a procesnej stránke</w:t>
      </w:r>
      <w:r>
        <w:t xml:space="preserve">, keď na mzdy aparátu MZ SR sa oproti očakávanej skutočnosti roku </w:t>
      </w:r>
      <w:r>
        <w:lastRenderedPageBreak/>
        <w:t xml:space="preserve">2023 rozpočtuje iba o 0,6 % vyššia suma. </w:t>
      </w:r>
      <w:r w:rsidR="00A74BC0">
        <w:t>Takisto</w:t>
      </w:r>
      <w:r>
        <w:t xml:space="preserve"> nie je zrejmé, či bola alebo ako bude naplnená priorita priamo spojená s rozpočtovým procesom </w:t>
      </w:r>
      <w:r w:rsidR="00A74BC0">
        <w:t>(</w:t>
      </w:r>
      <w:r w:rsidRPr="002739CB">
        <w:t>zriad</w:t>
      </w:r>
      <w:r w:rsidR="00A74BC0">
        <w:t>enie rady</w:t>
      </w:r>
      <w:r w:rsidRPr="002739CB">
        <w:t xml:space="preserve"> pre rozpočet </w:t>
      </w:r>
      <w:r w:rsidR="00A74BC0">
        <w:t>VZP)</w:t>
      </w:r>
      <w:r>
        <w:t>.</w:t>
      </w:r>
    </w:p>
    <w:p w14:paraId="68834BC4" w14:textId="4B660CC9" w:rsidR="00BA10B2" w:rsidRPr="00BA10B2" w:rsidRDefault="007A35C9" w:rsidP="00BA10B2">
      <w:pPr>
        <w:pStyle w:val="Nadpis3"/>
      </w:pPr>
      <w:r>
        <w:t xml:space="preserve"> </w:t>
      </w:r>
      <w:bookmarkStart w:id="28" w:name="_Toc153784703"/>
      <w:r w:rsidR="00BA10B2" w:rsidRPr="00BA10B2">
        <w:t>Nadväznosť rozpočtu a výsledkov slovenského zdravotníctva</w:t>
      </w:r>
      <w:bookmarkEnd w:id="28"/>
    </w:p>
    <w:p w14:paraId="5E366A5A" w14:textId="7590DC69" w:rsidR="00787720" w:rsidRDefault="00787720" w:rsidP="00EB26D2">
      <w:r w:rsidRPr="001D1454">
        <w:t>NKÚ SR</w:t>
      </w:r>
      <w:r>
        <w:t xml:space="preserve"> v minulých rokoch</w:t>
      </w:r>
      <w:r w:rsidRPr="001D1454">
        <w:t xml:space="preserve"> pozitívne hodnot</w:t>
      </w:r>
      <w:r>
        <w:t>il</w:t>
      </w:r>
      <w:r w:rsidRPr="001D1454">
        <w:t xml:space="preserve">, že </w:t>
      </w:r>
      <w:r>
        <w:t>v</w:t>
      </w:r>
      <w:r w:rsidRPr="001D1454">
        <w:t xml:space="preserve"> návrh</w:t>
      </w:r>
      <w:r>
        <w:t>och</w:t>
      </w:r>
      <w:r w:rsidRPr="001D1454">
        <w:t xml:space="preserve"> RVS</w:t>
      </w:r>
      <w:r>
        <w:t xml:space="preserve"> boli k jednotlivým verejným politikám uvádzané </w:t>
      </w:r>
      <w:r w:rsidRPr="001D1454">
        <w:t>aj kľúčové výsledkové ukazovatele</w:t>
      </w:r>
      <w:r>
        <w:t xml:space="preserve"> a cieľové hodnoty</w:t>
      </w:r>
      <w:r w:rsidRPr="001D1454">
        <w:t>.</w:t>
      </w:r>
      <w:r>
        <w:t xml:space="preserve"> </w:t>
      </w:r>
      <w:r w:rsidR="002260E2">
        <w:t>A</w:t>
      </w:r>
      <w:r>
        <w:t xml:space="preserve">j v PVV vláda ako jeden z cieľov v </w:t>
      </w:r>
      <w:r w:rsidR="002260E2">
        <w:t> </w:t>
      </w:r>
      <w:r>
        <w:t xml:space="preserve">zdravotníctve deklaruje „priblížiť sa v kľúčových indikátoroch výsledkom zdravotného systému západoeurópskeho štandardu“. </w:t>
      </w:r>
      <w:r w:rsidRPr="001378B7">
        <w:rPr>
          <w:b/>
        </w:rPr>
        <w:t xml:space="preserve">NKÚ </w:t>
      </w:r>
      <w:r w:rsidR="00C81486">
        <w:rPr>
          <w:b/>
        </w:rPr>
        <w:t>SR</w:t>
      </w:r>
      <w:r w:rsidRPr="001378B7">
        <w:rPr>
          <w:b/>
        </w:rPr>
        <w:t xml:space="preserve"> hodnotí negatívne, že v návrhu rozpočtu nie sú uvedené žiadne výsledkové ukazovatele</w:t>
      </w:r>
      <w:r>
        <w:t>, ktorých vývoj má indikovať účinnosť vynakladania verejných zdrojov v oblasti zdravotníctva. Bolo by žiadúce vrátiť sa k praxi uvádzania kľúčových indikátorov verejných politík a rozvinúť túto prax tak, aby bolo v rozpočte jasne vidno previazanosť výsledkových ukazovateľov so štruktúrou rozpočtu. Celková zúčtovateľnosť zdravotnej politiky by bola vyššia</w:t>
      </w:r>
      <w:r w:rsidR="0024755A">
        <w:t>,</w:t>
      </w:r>
      <w:r>
        <w:t xml:space="preserve"> ak by z návrhu rozpočtu bolo zrejmé, ako konkrétne majú jednotlivé výdavkové tituly prispieť k želanému vývoju konkrétnych výsledkov. NKÚ </w:t>
      </w:r>
      <w:r w:rsidR="0024755A">
        <w:t xml:space="preserve">SR </w:t>
      </w:r>
      <w:r>
        <w:t>vo svojich výstupoch pravidelne upozorňuje na dlhodobé zaostávanie S</w:t>
      </w:r>
      <w:r w:rsidR="002260E2">
        <w:t>R</w:t>
      </w:r>
      <w:r>
        <w:t xml:space="preserve"> vo výsledkoch zdravotníctva. V ukazovateli úmrtnosti odvrátiteľnej zdravotnou starostlivosťou obsadilo Slovensko podľa najaktuálnejšie dostupných dát šieste miesto od konca v rámci krajín EÚ. </w:t>
      </w:r>
      <w:r w:rsidR="002260E2">
        <w:t>V</w:t>
      </w:r>
      <w:r>
        <w:t xml:space="preserve">o vývoji tohto ukazovateľa nie sú </w:t>
      </w:r>
      <w:r w:rsidR="002260E2">
        <w:t>zrejmé</w:t>
      </w:r>
      <w:r>
        <w:t xml:space="preserve"> žiadne náznaky dobiehania priemeru krajín EÚ (</w:t>
      </w:r>
      <w:r w:rsidR="00B77FBA" w:rsidRPr="00B77FBA">
        <w:t>graf 8</w:t>
      </w:r>
      <w:r w:rsidRPr="00B77FBA">
        <w:t>).</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3043"/>
        <w:gridCol w:w="6027"/>
      </w:tblGrid>
      <w:tr w:rsidR="00787720" w:rsidRPr="008A04B9" w14:paraId="1AA22CB7" w14:textId="77777777" w:rsidTr="00781997">
        <w:trPr>
          <w:trHeight w:val="454"/>
        </w:trPr>
        <w:tc>
          <w:tcPr>
            <w:tcW w:w="9070" w:type="dxa"/>
            <w:gridSpan w:val="2"/>
            <w:tcBorders>
              <w:bottom w:val="single" w:sz="4" w:space="0" w:color="314364" w:themeColor="text2"/>
            </w:tcBorders>
            <w:vAlign w:val="center"/>
          </w:tcPr>
          <w:p w14:paraId="689AEDD0" w14:textId="58BE285C" w:rsidR="00787720" w:rsidRPr="008A04B9" w:rsidRDefault="00787720" w:rsidP="00781997">
            <w:pPr>
              <w:spacing w:after="0"/>
              <w:jc w:val="left"/>
              <w:rPr>
                <w:b/>
                <w:color w:val="576431"/>
              </w:rPr>
            </w:pPr>
            <w:r w:rsidRPr="00AE384F">
              <w:rPr>
                <w:b/>
                <w:color w:val="314364"/>
              </w:rPr>
              <w:t xml:space="preserve">Graf </w:t>
            </w:r>
            <w:r w:rsidR="00B77FBA">
              <w:rPr>
                <w:b/>
                <w:color w:val="314364"/>
              </w:rPr>
              <w:t>8</w:t>
            </w:r>
            <w:r w:rsidRPr="00AE384F">
              <w:rPr>
                <w:b/>
                <w:color w:val="314364"/>
              </w:rPr>
              <w:t xml:space="preserve">: </w:t>
            </w:r>
            <w:r>
              <w:rPr>
                <w:b/>
                <w:color w:val="314364"/>
              </w:rPr>
              <w:t>Úmrtnosť odvrátiteľná zdravotnou starostlivosťou (na 100 tis. obyvateľov)</w:t>
            </w:r>
          </w:p>
        </w:tc>
      </w:tr>
      <w:tr w:rsidR="00787720" w:rsidRPr="00C75134" w14:paraId="5BED2257" w14:textId="77777777" w:rsidTr="00781997">
        <w:trPr>
          <w:trHeight w:val="3525"/>
        </w:trPr>
        <w:tc>
          <w:tcPr>
            <w:tcW w:w="3043" w:type="dxa"/>
            <w:tcBorders>
              <w:top w:val="single" w:sz="4" w:space="0" w:color="314364" w:themeColor="text2"/>
              <w:bottom w:val="single" w:sz="4" w:space="0" w:color="314364" w:themeColor="text2"/>
            </w:tcBorders>
            <w:vAlign w:val="center"/>
          </w:tcPr>
          <w:p w14:paraId="5A9A2E63" w14:textId="77777777" w:rsidR="00787720" w:rsidRPr="00C75134" w:rsidRDefault="00787720" w:rsidP="00781997">
            <w:pPr>
              <w:spacing w:after="0"/>
              <w:rPr>
                <w:b/>
                <w:color w:val="576431"/>
              </w:rPr>
            </w:pPr>
            <w:r>
              <w:rPr>
                <w:noProof/>
                <w:lang w:eastAsia="sk-SK"/>
              </w:rPr>
              <w:drawing>
                <wp:inline distT="0" distB="0" distL="0" distR="0" wp14:anchorId="5AE4CF1F" wp14:editId="16EAB8FF">
                  <wp:extent cx="1854679" cy="2209800"/>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6027" w:type="dxa"/>
            <w:tcBorders>
              <w:top w:val="single" w:sz="4" w:space="0" w:color="314364" w:themeColor="text2"/>
              <w:left w:val="nil"/>
              <w:bottom w:val="single" w:sz="4" w:space="0" w:color="314364"/>
            </w:tcBorders>
            <w:vAlign w:val="center"/>
          </w:tcPr>
          <w:p w14:paraId="67F277DC" w14:textId="77777777" w:rsidR="00787720" w:rsidRPr="00C75134" w:rsidRDefault="00787720" w:rsidP="00781997">
            <w:pPr>
              <w:spacing w:after="0"/>
              <w:jc w:val="right"/>
              <w:rPr>
                <w:b/>
                <w:color w:val="576431"/>
              </w:rPr>
            </w:pPr>
            <w:r>
              <w:rPr>
                <w:noProof/>
                <w:lang w:eastAsia="sk-SK"/>
              </w:rPr>
              <w:drawing>
                <wp:inline distT="0" distB="0" distL="0" distR="0" wp14:anchorId="45C7D538" wp14:editId="1E4BA33B">
                  <wp:extent cx="3759991" cy="2209800"/>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334B4144" w14:textId="77777777" w:rsidR="00787720" w:rsidRDefault="00787720" w:rsidP="00787720">
      <w:pPr>
        <w:autoSpaceDE w:val="0"/>
        <w:autoSpaceDN w:val="0"/>
        <w:adjustRightInd w:val="0"/>
        <w:spacing w:line="240" w:lineRule="auto"/>
        <w:jc w:val="left"/>
        <w:rPr>
          <w:i/>
          <w:color w:val="314364" w:themeColor="text2"/>
          <w:sz w:val="16"/>
        </w:rPr>
      </w:pPr>
      <w:r w:rsidRPr="00127302">
        <w:rPr>
          <w:i/>
          <w:color w:val="314364" w:themeColor="text2"/>
          <w:sz w:val="16"/>
        </w:rPr>
        <w:t xml:space="preserve">Zdroj: </w:t>
      </w:r>
      <w:r>
        <w:rPr>
          <w:i/>
          <w:color w:val="314364" w:themeColor="text2"/>
          <w:sz w:val="16"/>
        </w:rPr>
        <w:t xml:space="preserve">Eurostat, </w:t>
      </w:r>
      <w:proofErr w:type="spellStart"/>
      <w:r w:rsidRPr="001D3CCA">
        <w:rPr>
          <w:i/>
          <w:color w:val="314364" w:themeColor="text2"/>
          <w:sz w:val="16"/>
        </w:rPr>
        <w:t>hlth_cd_apr</w:t>
      </w:r>
      <w:proofErr w:type="spellEnd"/>
      <w:r>
        <w:rPr>
          <w:i/>
          <w:color w:val="314364" w:themeColor="text2"/>
          <w:sz w:val="16"/>
        </w:rPr>
        <w:t>; vlastné spracovanie.</w:t>
      </w:r>
    </w:p>
    <w:p w14:paraId="15C64388" w14:textId="5D607393" w:rsidR="0024755A" w:rsidRPr="008232B2" w:rsidRDefault="007A35C9" w:rsidP="0024755A">
      <w:pPr>
        <w:pStyle w:val="Nadpis3"/>
      </w:pPr>
      <w:r>
        <w:t xml:space="preserve"> </w:t>
      </w:r>
      <w:bookmarkStart w:id="29" w:name="_Toc153784704"/>
      <w:r w:rsidR="0024755A">
        <w:t>Zmeny vo financovaní zdravotníctva</w:t>
      </w:r>
      <w:bookmarkEnd w:id="29"/>
      <w:r w:rsidR="0024755A">
        <w:t xml:space="preserve">  </w:t>
      </w:r>
    </w:p>
    <w:p w14:paraId="1974F042" w14:textId="6DE7BB15" w:rsidR="00787720" w:rsidRDefault="00787720" w:rsidP="00787720">
      <w:r>
        <w:t xml:space="preserve">Vo financovaní zdravotníctva </w:t>
      </w:r>
      <w:r w:rsidR="0024755A">
        <w:t>pr</w:t>
      </w:r>
      <w:r>
        <w:t>e budúci rok dochádza k dvom zásadn</w:t>
      </w:r>
      <w:r w:rsidR="008C06AD">
        <w:t>ým</w:t>
      </w:r>
      <w:r>
        <w:t xml:space="preserve"> zmenám. Jednou je navýšenie sadzby </w:t>
      </w:r>
      <w:r w:rsidRPr="00B82B71">
        <w:t xml:space="preserve">poistného na </w:t>
      </w:r>
      <w:r w:rsidR="0024755A">
        <w:t>VZP</w:t>
      </w:r>
      <w:r w:rsidRPr="00B82B71">
        <w:t xml:space="preserve"> zamestnávateľa</w:t>
      </w:r>
      <w:r>
        <w:t xml:space="preserve"> a SZČO o jeden percentuálny bod, čo by malo v roku 2024 znamenať dodatočných 3</w:t>
      </w:r>
      <w:r w:rsidR="0024755A">
        <w:t>57,5</w:t>
      </w:r>
      <w:r>
        <w:t xml:space="preserve"> mil. eur do systému VZP. Druhú významnú zmenu priniesla novela zákona o zdravotnom poistení, ktorá zaviedla nový spôsob výpočtu výšky platby štátu za jeho poistencov.</w:t>
      </w:r>
      <w:r w:rsidR="00604F76" w:rsidRPr="00604F76">
        <w:rPr>
          <w:rStyle w:val="Odkaznapoznmkupodiarou"/>
        </w:rPr>
        <w:t xml:space="preserve"> </w:t>
      </w:r>
      <w:r w:rsidR="00604F76" w:rsidRPr="002960ED">
        <w:rPr>
          <w:rStyle w:val="Odkaznapoznmkupodiarou"/>
        </w:rPr>
        <w:footnoteReference w:id="29"/>
      </w:r>
      <w:r>
        <w:t xml:space="preserve"> </w:t>
      </w:r>
      <w:r w:rsidR="008C06AD">
        <w:t xml:space="preserve">Ten </w:t>
      </w:r>
      <w:r>
        <w:t>stanovuje výšku platby štátu za poistenca na úrovni 4,5 %</w:t>
      </w:r>
      <w:r w:rsidR="00FD5E10">
        <w:t xml:space="preserve"> </w:t>
      </w:r>
      <w:r>
        <w:t>z 12-násobku priemernej mzdy spred dvoch rokov.</w:t>
      </w:r>
      <w:r w:rsidR="00604F76" w:rsidRPr="00FD0412">
        <w:rPr>
          <w:vertAlign w:val="superscript"/>
        </w:rPr>
        <w:footnoteReference w:id="30"/>
      </w:r>
      <w:r>
        <w:t xml:space="preserve"> Pri tvorbe rozpočtu na rok 2023 (a tiež v niekoľkých rokoch pred tým) mala platba štátu „</w:t>
      </w:r>
      <w:proofErr w:type="spellStart"/>
      <w:r>
        <w:t>dorovnávaciu</w:t>
      </w:r>
      <w:proofErr w:type="spellEnd"/>
      <w:r>
        <w:t xml:space="preserve"> funkciu“</w:t>
      </w:r>
      <w:r>
        <w:rPr>
          <w:rStyle w:val="Odkaznapoznmkupodiarou"/>
        </w:rPr>
        <w:footnoteReference w:id="31"/>
      </w:r>
      <w:r>
        <w:t xml:space="preserve">. </w:t>
      </w:r>
      <w:r w:rsidRPr="002960ED">
        <w:rPr>
          <w:b/>
        </w:rPr>
        <w:t xml:space="preserve">Z hľadiska predvídateľnosti financovania preto NKÚ </w:t>
      </w:r>
      <w:r w:rsidR="00FB72FF">
        <w:rPr>
          <w:b/>
        </w:rPr>
        <w:t xml:space="preserve">SR </w:t>
      </w:r>
      <w:r w:rsidRPr="002960ED">
        <w:rPr>
          <w:b/>
        </w:rPr>
        <w:t>zavedenie pevnej sadzby pri výpočte štátom plateného poistného hodnotí pozitívne.</w:t>
      </w:r>
      <w:r>
        <w:t xml:space="preserve"> </w:t>
      </w:r>
    </w:p>
    <w:p w14:paraId="3631D8D6" w14:textId="3F3A5496" w:rsidR="00787720" w:rsidRDefault="00787720" w:rsidP="00787720">
      <w:r>
        <w:lastRenderedPageBreak/>
        <w:t xml:space="preserve">Pokiaľ ide o výšku platby za poistencov štátu, podľa vyššie popísanej zákonnej úpravy by pre rok 2024 mala po prepočte predstavovať 58,68 eur na poistenca na mesiac. </w:t>
      </w:r>
      <w:r w:rsidR="008C06AD">
        <w:t>H</w:t>
      </w:r>
      <w:r>
        <w:t xml:space="preserve">odnota je porovnateľná so stavom, ktorý sa očakáva za </w:t>
      </w:r>
      <w:r w:rsidR="008C06AD">
        <w:t>rok 2023</w:t>
      </w:r>
      <w:r>
        <w:t xml:space="preserve"> </w:t>
      </w:r>
      <w:r w:rsidRPr="00B75197">
        <w:t xml:space="preserve">rok </w:t>
      </w:r>
      <w:r w:rsidR="00B75197" w:rsidRPr="00B75197">
        <w:t>(tabuľka 11</w:t>
      </w:r>
      <w:r w:rsidRPr="00B75197">
        <w:t>).</w:t>
      </w:r>
      <w:r>
        <w:t xml:space="preserve"> Už v roku 2023 </w:t>
      </w:r>
      <w:r w:rsidR="008C06AD">
        <w:t>išl</w:t>
      </w:r>
      <w:r>
        <w:t xml:space="preserve">o </w:t>
      </w:r>
      <w:r w:rsidR="008C06AD">
        <w:t xml:space="preserve">práve </w:t>
      </w:r>
      <w:r>
        <w:t>do zdravotníctva aj prostredníctvom platby štátu výrazne viac prostriedkov, čo súviselo aj s </w:t>
      </w:r>
      <w:r w:rsidR="00537277">
        <w:t>krytím nárastu miezd v sektore.</w:t>
      </w:r>
    </w:p>
    <w:p w14:paraId="772D2573" w14:textId="77777777" w:rsidR="00537277" w:rsidRPr="00906EB2" w:rsidRDefault="00537277" w:rsidP="00537277">
      <w:pPr>
        <w:keepNext/>
        <w:spacing w:after="0"/>
        <w:rPr>
          <w:rFonts w:eastAsia="Calibri" w:cs="Times New Roman"/>
          <w:b/>
          <w:iCs/>
          <w:color w:val="314364"/>
          <w:szCs w:val="18"/>
        </w:rPr>
      </w:pPr>
      <w:r w:rsidRPr="00906EB2">
        <w:rPr>
          <w:rFonts w:eastAsia="Calibri" w:cs="Times New Roman"/>
          <w:b/>
          <w:iCs/>
          <w:color w:val="314364"/>
          <w:szCs w:val="18"/>
        </w:rPr>
        <w:t xml:space="preserve">Tabuľka </w:t>
      </w:r>
      <w:r>
        <w:rPr>
          <w:rFonts w:eastAsia="Calibri" w:cs="Times New Roman"/>
          <w:b/>
          <w:iCs/>
          <w:color w:val="314364"/>
          <w:szCs w:val="18"/>
        </w:rPr>
        <w:t>11</w:t>
      </w:r>
      <w:r w:rsidRPr="00906EB2">
        <w:rPr>
          <w:rFonts w:eastAsia="Calibri" w:cs="Times New Roman"/>
          <w:b/>
          <w:iCs/>
          <w:color w:val="314364"/>
          <w:szCs w:val="18"/>
        </w:rPr>
        <w:t xml:space="preserve">: </w:t>
      </w:r>
      <w:r>
        <w:rPr>
          <w:rFonts w:eastAsia="Calibri" w:cs="Times New Roman"/>
          <w:b/>
          <w:iCs/>
          <w:color w:val="314364"/>
          <w:szCs w:val="18"/>
        </w:rPr>
        <w:t>Vybrané ukazovatele zdrojov VZP (v mil. eur)</w:t>
      </w:r>
    </w:p>
    <w:tbl>
      <w:tblPr>
        <w:tblStyle w:val="Mriekatabuky"/>
        <w:tblW w:w="8846" w:type="dxa"/>
        <w:tblBorders>
          <w:top w:val="none" w:sz="0" w:space="0" w:color="auto"/>
          <w:left w:val="none" w:sz="0" w:space="0" w:color="auto"/>
          <w:bottom w:val="single" w:sz="4" w:space="0" w:color="314364" w:themeColor="text2"/>
          <w:right w:val="none" w:sz="0" w:space="0" w:color="auto"/>
          <w:insideH w:val="none" w:sz="0" w:space="0" w:color="auto"/>
          <w:insideV w:val="none" w:sz="0" w:space="0" w:color="auto"/>
        </w:tblBorders>
        <w:tblLook w:val="04A0" w:firstRow="1" w:lastRow="0" w:firstColumn="1" w:lastColumn="0" w:noHBand="0" w:noVBand="1"/>
      </w:tblPr>
      <w:tblGrid>
        <w:gridCol w:w="2454"/>
        <w:gridCol w:w="799"/>
        <w:gridCol w:w="799"/>
        <w:gridCol w:w="799"/>
        <w:gridCol w:w="799"/>
        <w:gridCol w:w="799"/>
        <w:gridCol w:w="799"/>
        <w:gridCol w:w="799"/>
        <w:gridCol w:w="799"/>
      </w:tblGrid>
      <w:tr w:rsidR="00537277" w:rsidRPr="00A15561" w14:paraId="70119E7C" w14:textId="77777777" w:rsidTr="006056E7">
        <w:tc>
          <w:tcPr>
            <w:tcW w:w="2454" w:type="dxa"/>
            <w:shd w:val="clear" w:color="auto" w:fill="314364" w:themeFill="accent1"/>
            <w:vAlign w:val="center"/>
          </w:tcPr>
          <w:p w14:paraId="1A02A56A" w14:textId="77777777" w:rsidR="00537277" w:rsidRPr="00A15561" w:rsidRDefault="00537277" w:rsidP="006056E7">
            <w:pPr>
              <w:spacing w:after="0"/>
              <w:jc w:val="left"/>
              <w:rPr>
                <w:rFonts w:eastAsia="Times New Roman" w:cs="Segoe UI"/>
                <w:b/>
                <w:bCs/>
                <w:color w:val="FFFFFF" w:themeColor="background1"/>
                <w:sz w:val="18"/>
                <w:szCs w:val="18"/>
                <w:lang w:eastAsia="sk-SK"/>
              </w:rPr>
            </w:pPr>
          </w:p>
        </w:tc>
        <w:tc>
          <w:tcPr>
            <w:tcW w:w="799" w:type="dxa"/>
            <w:shd w:val="clear" w:color="auto" w:fill="314364" w:themeFill="accent1"/>
            <w:vAlign w:val="center"/>
          </w:tcPr>
          <w:p w14:paraId="7290A374" w14:textId="77777777" w:rsidR="00537277" w:rsidRPr="00A15561" w:rsidRDefault="00537277" w:rsidP="006056E7">
            <w:pPr>
              <w:spacing w:after="0"/>
              <w:jc w:val="right"/>
              <w:rPr>
                <w:rFonts w:eastAsia="Times New Roman" w:cs="Segoe UI"/>
                <w:b/>
                <w:bCs/>
                <w:color w:val="FFFFFF" w:themeColor="background1"/>
                <w:sz w:val="18"/>
                <w:szCs w:val="18"/>
                <w:lang w:eastAsia="sk-SK"/>
              </w:rPr>
            </w:pPr>
            <w:r w:rsidRPr="00A15561">
              <w:rPr>
                <w:rFonts w:cs="Segoe UI"/>
                <w:b/>
                <w:color w:val="FFFFFF" w:themeColor="background1"/>
                <w:sz w:val="18"/>
                <w:szCs w:val="18"/>
              </w:rPr>
              <w:t>2017</w:t>
            </w:r>
          </w:p>
        </w:tc>
        <w:tc>
          <w:tcPr>
            <w:tcW w:w="799" w:type="dxa"/>
            <w:shd w:val="clear" w:color="auto" w:fill="314364" w:themeFill="accent1"/>
            <w:vAlign w:val="center"/>
          </w:tcPr>
          <w:p w14:paraId="31DB9213" w14:textId="77777777" w:rsidR="00537277" w:rsidRPr="00A15561" w:rsidRDefault="00537277" w:rsidP="006056E7">
            <w:pPr>
              <w:spacing w:after="0"/>
              <w:jc w:val="right"/>
              <w:rPr>
                <w:rFonts w:eastAsia="Times New Roman" w:cs="Segoe UI"/>
                <w:b/>
                <w:bCs/>
                <w:color w:val="FFFFFF" w:themeColor="background1"/>
                <w:sz w:val="18"/>
                <w:szCs w:val="18"/>
                <w:lang w:eastAsia="sk-SK"/>
              </w:rPr>
            </w:pPr>
            <w:r w:rsidRPr="00A15561">
              <w:rPr>
                <w:rFonts w:cs="Segoe UI"/>
                <w:b/>
                <w:color w:val="FFFFFF" w:themeColor="background1"/>
                <w:sz w:val="18"/>
                <w:szCs w:val="18"/>
              </w:rPr>
              <w:t>2018</w:t>
            </w:r>
          </w:p>
        </w:tc>
        <w:tc>
          <w:tcPr>
            <w:tcW w:w="799" w:type="dxa"/>
            <w:shd w:val="clear" w:color="auto" w:fill="314364" w:themeFill="accent1"/>
            <w:vAlign w:val="center"/>
          </w:tcPr>
          <w:p w14:paraId="4F7FC356" w14:textId="77777777" w:rsidR="00537277" w:rsidRPr="00A15561" w:rsidRDefault="00537277" w:rsidP="006056E7">
            <w:pPr>
              <w:spacing w:after="0"/>
              <w:jc w:val="right"/>
              <w:rPr>
                <w:rFonts w:eastAsia="Times New Roman" w:cs="Segoe UI"/>
                <w:b/>
                <w:bCs/>
                <w:color w:val="FFFFFF" w:themeColor="background1"/>
                <w:sz w:val="18"/>
                <w:szCs w:val="18"/>
                <w:lang w:eastAsia="sk-SK"/>
              </w:rPr>
            </w:pPr>
            <w:r w:rsidRPr="00A15561">
              <w:rPr>
                <w:rFonts w:cs="Segoe UI"/>
                <w:b/>
                <w:color w:val="FFFFFF" w:themeColor="background1"/>
                <w:sz w:val="18"/>
                <w:szCs w:val="18"/>
              </w:rPr>
              <w:t>2019</w:t>
            </w:r>
          </w:p>
        </w:tc>
        <w:tc>
          <w:tcPr>
            <w:tcW w:w="799" w:type="dxa"/>
            <w:shd w:val="clear" w:color="auto" w:fill="314364" w:themeFill="accent1"/>
            <w:vAlign w:val="center"/>
          </w:tcPr>
          <w:p w14:paraId="73758B50" w14:textId="77777777" w:rsidR="00537277" w:rsidRPr="00A15561" w:rsidRDefault="00537277" w:rsidP="006056E7">
            <w:pPr>
              <w:spacing w:after="0"/>
              <w:jc w:val="right"/>
              <w:rPr>
                <w:rFonts w:eastAsia="Times New Roman" w:cs="Segoe UI"/>
                <w:b/>
                <w:bCs/>
                <w:color w:val="FFFFFF" w:themeColor="background1"/>
                <w:sz w:val="18"/>
                <w:szCs w:val="18"/>
                <w:lang w:eastAsia="sk-SK"/>
              </w:rPr>
            </w:pPr>
            <w:r w:rsidRPr="00A15561">
              <w:rPr>
                <w:rFonts w:cs="Segoe UI"/>
                <w:b/>
                <w:color w:val="FFFFFF" w:themeColor="background1"/>
                <w:sz w:val="18"/>
                <w:szCs w:val="18"/>
              </w:rPr>
              <w:t>2020</w:t>
            </w:r>
          </w:p>
        </w:tc>
        <w:tc>
          <w:tcPr>
            <w:tcW w:w="799" w:type="dxa"/>
            <w:shd w:val="clear" w:color="auto" w:fill="314364" w:themeFill="accent1"/>
            <w:vAlign w:val="center"/>
          </w:tcPr>
          <w:p w14:paraId="7F6E6A6E" w14:textId="77777777" w:rsidR="00537277" w:rsidRPr="00A15561" w:rsidRDefault="00537277" w:rsidP="006056E7">
            <w:pPr>
              <w:spacing w:after="0"/>
              <w:jc w:val="right"/>
              <w:rPr>
                <w:rFonts w:eastAsia="Times New Roman" w:cs="Segoe UI"/>
                <w:b/>
                <w:bCs/>
                <w:color w:val="FFFFFF" w:themeColor="background1"/>
                <w:sz w:val="18"/>
                <w:szCs w:val="18"/>
                <w:lang w:eastAsia="sk-SK"/>
              </w:rPr>
            </w:pPr>
            <w:r w:rsidRPr="00A15561">
              <w:rPr>
                <w:rFonts w:cs="Segoe UI"/>
                <w:b/>
                <w:color w:val="FFFFFF" w:themeColor="background1"/>
                <w:sz w:val="18"/>
                <w:szCs w:val="18"/>
              </w:rPr>
              <w:t>2021</w:t>
            </w:r>
          </w:p>
        </w:tc>
        <w:tc>
          <w:tcPr>
            <w:tcW w:w="799" w:type="dxa"/>
            <w:shd w:val="clear" w:color="auto" w:fill="314364" w:themeFill="accent1"/>
            <w:vAlign w:val="center"/>
          </w:tcPr>
          <w:p w14:paraId="49F5ED3B" w14:textId="77777777" w:rsidR="00537277" w:rsidRPr="00A15561" w:rsidRDefault="00537277" w:rsidP="006056E7">
            <w:pPr>
              <w:spacing w:after="0"/>
              <w:jc w:val="right"/>
              <w:rPr>
                <w:rFonts w:eastAsia="Times New Roman" w:cs="Segoe UI"/>
                <w:b/>
                <w:bCs/>
                <w:color w:val="FFFFFF" w:themeColor="background1"/>
                <w:sz w:val="18"/>
                <w:szCs w:val="18"/>
                <w:lang w:eastAsia="sk-SK"/>
              </w:rPr>
            </w:pPr>
            <w:r w:rsidRPr="00A15561">
              <w:rPr>
                <w:rFonts w:cs="Segoe UI"/>
                <w:b/>
                <w:color w:val="FFFFFF" w:themeColor="background1"/>
                <w:sz w:val="18"/>
                <w:szCs w:val="18"/>
              </w:rPr>
              <w:t>2022</w:t>
            </w:r>
          </w:p>
        </w:tc>
        <w:tc>
          <w:tcPr>
            <w:tcW w:w="799" w:type="dxa"/>
            <w:shd w:val="clear" w:color="auto" w:fill="314364" w:themeFill="accent1"/>
            <w:vAlign w:val="center"/>
          </w:tcPr>
          <w:p w14:paraId="7A9AC03B" w14:textId="77777777" w:rsidR="00537277" w:rsidRPr="00A15561" w:rsidRDefault="00537277" w:rsidP="006056E7">
            <w:pPr>
              <w:spacing w:after="0"/>
              <w:ind w:right="-12"/>
              <w:jc w:val="right"/>
              <w:rPr>
                <w:rFonts w:eastAsia="Times New Roman" w:cs="Segoe UI"/>
                <w:b/>
                <w:bCs/>
                <w:color w:val="FFFFFF" w:themeColor="background1"/>
                <w:sz w:val="18"/>
                <w:szCs w:val="18"/>
                <w:lang w:eastAsia="sk-SK"/>
              </w:rPr>
            </w:pPr>
            <w:r w:rsidRPr="00A15561">
              <w:rPr>
                <w:rFonts w:cs="Segoe UI"/>
                <w:b/>
                <w:color w:val="FFFFFF" w:themeColor="background1"/>
                <w:sz w:val="18"/>
                <w:szCs w:val="18"/>
              </w:rPr>
              <w:t>2023</w:t>
            </w:r>
            <w:r>
              <w:rPr>
                <w:rFonts w:cs="Segoe UI"/>
                <w:b/>
                <w:color w:val="FFFFFF" w:themeColor="background1"/>
                <w:sz w:val="18"/>
                <w:szCs w:val="18"/>
              </w:rPr>
              <w:t>*</w:t>
            </w:r>
          </w:p>
        </w:tc>
        <w:tc>
          <w:tcPr>
            <w:tcW w:w="799" w:type="dxa"/>
            <w:shd w:val="clear" w:color="auto" w:fill="314364" w:themeFill="accent1"/>
            <w:vAlign w:val="center"/>
          </w:tcPr>
          <w:p w14:paraId="1DCD826F" w14:textId="77777777" w:rsidR="00537277" w:rsidRPr="00A15561" w:rsidRDefault="00537277" w:rsidP="006056E7">
            <w:pPr>
              <w:spacing w:after="0"/>
              <w:jc w:val="right"/>
              <w:rPr>
                <w:rFonts w:eastAsia="Times New Roman" w:cs="Segoe UI"/>
                <w:b/>
                <w:bCs/>
                <w:color w:val="FFFFFF" w:themeColor="background1"/>
                <w:sz w:val="18"/>
                <w:szCs w:val="18"/>
                <w:lang w:eastAsia="sk-SK"/>
              </w:rPr>
            </w:pPr>
            <w:r w:rsidRPr="00A15561">
              <w:rPr>
                <w:rFonts w:cs="Segoe UI"/>
                <w:b/>
                <w:color w:val="FFFFFF" w:themeColor="background1"/>
                <w:sz w:val="18"/>
                <w:szCs w:val="18"/>
              </w:rPr>
              <w:t>2024</w:t>
            </w:r>
            <w:r>
              <w:rPr>
                <w:rFonts w:cs="Segoe UI"/>
                <w:b/>
                <w:color w:val="FFFFFF" w:themeColor="background1"/>
                <w:sz w:val="18"/>
                <w:szCs w:val="18"/>
              </w:rPr>
              <w:t>**</w:t>
            </w:r>
          </w:p>
        </w:tc>
      </w:tr>
      <w:tr w:rsidR="00537277" w:rsidRPr="00A15561" w14:paraId="6B287AB7" w14:textId="77777777" w:rsidTr="006056E7">
        <w:tc>
          <w:tcPr>
            <w:tcW w:w="2454" w:type="dxa"/>
            <w:vAlign w:val="center"/>
          </w:tcPr>
          <w:p w14:paraId="6EF9E3CB" w14:textId="77777777" w:rsidR="00537277" w:rsidRPr="00A15561" w:rsidRDefault="00537277" w:rsidP="006056E7">
            <w:pPr>
              <w:spacing w:after="0" w:line="240" w:lineRule="auto"/>
              <w:jc w:val="left"/>
              <w:rPr>
                <w:rFonts w:eastAsia="Times New Roman" w:cs="Segoe UI"/>
                <w:bCs/>
                <w:sz w:val="18"/>
                <w:szCs w:val="18"/>
                <w:lang w:eastAsia="sk-SK"/>
              </w:rPr>
            </w:pPr>
            <w:r>
              <w:rPr>
                <w:rFonts w:cs="Segoe UI"/>
                <w:sz w:val="18"/>
                <w:szCs w:val="18"/>
              </w:rPr>
              <w:t>všetci poistenci VZP</w:t>
            </w:r>
          </w:p>
        </w:tc>
        <w:tc>
          <w:tcPr>
            <w:tcW w:w="799" w:type="dxa"/>
            <w:vAlign w:val="center"/>
          </w:tcPr>
          <w:p w14:paraId="03A4E08E"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5,15</w:t>
            </w:r>
          </w:p>
        </w:tc>
        <w:tc>
          <w:tcPr>
            <w:tcW w:w="799" w:type="dxa"/>
            <w:vAlign w:val="center"/>
          </w:tcPr>
          <w:p w14:paraId="67475A29" w14:textId="77777777" w:rsidR="00537277" w:rsidRPr="00A15561" w:rsidRDefault="00537277" w:rsidP="006056E7">
            <w:pPr>
              <w:spacing w:after="0"/>
              <w:jc w:val="right"/>
              <w:rPr>
                <w:rFonts w:cs="Segoe UI"/>
                <w:sz w:val="18"/>
                <w:szCs w:val="18"/>
              </w:rPr>
            </w:pPr>
            <w:r w:rsidRPr="00A15561">
              <w:rPr>
                <w:rFonts w:cs="Segoe UI"/>
                <w:sz w:val="18"/>
                <w:szCs w:val="18"/>
              </w:rPr>
              <w:t>5,15</w:t>
            </w:r>
          </w:p>
        </w:tc>
        <w:tc>
          <w:tcPr>
            <w:tcW w:w="799" w:type="dxa"/>
            <w:vAlign w:val="center"/>
          </w:tcPr>
          <w:p w14:paraId="375AC809" w14:textId="77777777" w:rsidR="00537277" w:rsidRPr="00A15561" w:rsidRDefault="00537277" w:rsidP="006056E7">
            <w:pPr>
              <w:spacing w:after="0"/>
              <w:jc w:val="right"/>
              <w:rPr>
                <w:rFonts w:cs="Segoe UI"/>
                <w:sz w:val="18"/>
                <w:szCs w:val="18"/>
              </w:rPr>
            </w:pPr>
            <w:r w:rsidRPr="00A15561">
              <w:rPr>
                <w:rFonts w:cs="Segoe UI"/>
                <w:sz w:val="18"/>
                <w:szCs w:val="18"/>
              </w:rPr>
              <w:t>5,16</w:t>
            </w:r>
          </w:p>
        </w:tc>
        <w:tc>
          <w:tcPr>
            <w:tcW w:w="799" w:type="dxa"/>
            <w:vAlign w:val="center"/>
          </w:tcPr>
          <w:p w14:paraId="30B8E5C0" w14:textId="77777777" w:rsidR="00537277" w:rsidRPr="00A15561" w:rsidRDefault="00537277" w:rsidP="006056E7">
            <w:pPr>
              <w:spacing w:after="0"/>
              <w:jc w:val="right"/>
              <w:rPr>
                <w:rFonts w:cs="Segoe UI"/>
                <w:sz w:val="18"/>
                <w:szCs w:val="18"/>
              </w:rPr>
            </w:pPr>
            <w:r w:rsidRPr="00A15561">
              <w:rPr>
                <w:rFonts w:cs="Segoe UI"/>
                <w:sz w:val="18"/>
                <w:szCs w:val="18"/>
              </w:rPr>
              <w:t>5,17</w:t>
            </w:r>
          </w:p>
        </w:tc>
        <w:tc>
          <w:tcPr>
            <w:tcW w:w="799" w:type="dxa"/>
            <w:vAlign w:val="center"/>
          </w:tcPr>
          <w:p w14:paraId="4052C07B" w14:textId="77777777" w:rsidR="00537277" w:rsidRPr="00A15561" w:rsidRDefault="00537277" w:rsidP="006056E7">
            <w:pPr>
              <w:spacing w:after="0"/>
              <w:jc w:val="right"/>
              <w:rPr>
                <w:rFonts w:cs="Segoe UI"/>
                <w:sz w:val="18"/>
                <w:szCs w:val="18"/>
              </w:rPr>
            </w:pPr>
            <w:r w:rsidRPr="00A15561">
              <w:rPr>
                <w:rFonts w:cs="Segoe UI"/>
                <w:sz w:val="18"/>
                <w:szCs w:val="18"/>
              </w:rPr>
              <w:t>5,17</w:t>
            </w:r>
          </w:p>
        </w:tc>
        <w:tc>
          <w:tcPr>
            <w:tcW w:w="799" w:type="dxa"/>
            <w:vAlign w:val="center"/>
          </w:tcPr>
          <w:p w14:paraId="41AEFE55" w14:textId="77777777" w:rsidR="00537277" w:rsidRPr="00A15561" w:rsidRDefault="00537277" w:rsidP="006056E7">
            <w:pPr>
              <w:spacing w:after="0"/>
              <w:jc w:val="right"/>
              <w:rPr>
                <w:rFonts w:cs="Segoe UI"/>
                <w:sz w:val="18"/>
                <w:szCs w:val="18"/>
              </w:rPr>
            </w:pPr>
            <w:r w:rsidRPr="00A15561">
              <w:rPr>
                <w:rFonts w:cs="Segoe UI"/>
                <w:sz w:val="18"/>
                <w:szCs w:val="18"/>
              </w:rPr>
              <w:t>5,18</w:t>
            </w:r>
          </w:p>
        </w:tc>
        <w:tc>
          <w:tcPr>
            <w:tcW w:w="799" w:type="dxa"/>
            <w:vAlign w:val="center"/>
          </w:tcPr>
          <w:p w14:paraId="715FDFF0" w14:textId="77777777" w:rsidR="00537277" w:rsidRPr="00A15561" w:rsidRDefault="00537277" w:rsidP="006056E7">
            <w:pPr>
              <w:spacing w:after="0"/>
              <w:jc w:val="right"/>
              <w:rPr>
                <w:rFonts w:cs="Segoe UI"/>
                <w:sz w:val="18"/>
                <w:szCs w:val="18"/>
              </w:rPr>
            </w:pPr>
            <w:r w:rsidRPr="00A15561">
              <w:rPr>
                <w:rFonts w:cs="Segoe UI"/>
                <w:sz w:val="18"/>
                <w:szCs w:val="18"/>
              </w:rPr>
              <w:t>5,18</w:t>
            </w:r>
          </w:p>
        </w:tc>
        <w:tc>
          <w:tcPr>
            <w:tcW w:w="799" w:type="dxa"/>
            <w:vAlign w:val="center"/>
          </w:tcPr>
          <w:p w14:paraId="061EEAF5" w14:textId="77777777" w:rsidR="00537277" w:rsidRPr="00A15561" w:rsidRDefault="00537277" w:rsidP="006056E7">
            <w:pPr>
              <w:spacing w:after="0"/>
              <w:jc w:val="right"/>
              <w:rPr>
                <w:rFonts w:cs="Segoe UI"/>
                <w:sz w:val="18"/>
                <w:szCs w:val="18"/>
              </w:rPr>
            </w:pPr>
            <w:r w:rsidRPr="00A15561">
              <w:rPr>
                <w:rFonts w:cs="Segoe UI"/>
                <w:sz w:val="18"/>
                <w:szCs w:val="18"/>
              </w:rPr>
              <w:t>5,16</w:t>
            </w:r>
          </w:p>
        </w:tc>
      </w:tr>
      <w:tr w:rsidR="00537277" w:rsidRPr="00A15561" w14:paraId="16CA69F8" w14:textId="77777777" w:rsidTr="006056E7">
        <w:tc>
          <w:tcPr>
            <w:tcW w:w="2454" w:type="dxa"/>
            <w:vAlign w:val="center"/>
          </w:tcPr>
          <w:p w14:paraId="0AF8A3C9" w14:textId="77777777" w:rsidR="00537277" w:rsidRPr="00A15561" w:rsidRDefault="00537277" w:rsidP="006056E7">
            <w:pPr>
              <w:spacing w:after="0" w:line="240" w:lineRule="auto"/>
              <w:jc w:val="left"/>
              <w:rPr>
                <w:rFonts w:eastAsia="Times New Roman" w:cs="Segoe UI"/>
                <w:bCs/>
                <w:sz w:val="18"/>
                <w:szCs w:val="18"/>
                <w:lang w:eastAsia="sk-SK"/>
              </w:rPr>
            </w:pPr>
            <w:r>
              <w:rPr>
                <w:rFonts w:cs="Segoe UI"/>
                <w:sz w:val="18"/>
                <w:szCs w:val="18"/>
              </w:rPr>
              <w:t xml:space="preserve">   </w:t>
            </w:r>
            <w:r w:rsidRPr="00A15561">
              <w:rPr>
                <w:rFonts w:cs="Segoe UI"/>
                <w:sz w:val="18"/>
                <w:szCs w:val="18"/>
              </w:rPr>
              <w:t>z toho:  poistenci štátu</w:t>
            </w:r>
          </w:p>
        </w:tc>
        <w:tc>
          <w:tcPr>
            <w:tcW w:w="799" w:type="dxa"/>
            <w:vAlign w:val="center"/>
          </w:tcPr>
          <w:p w14:paraId="7FB01FAC"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2,93</w:t>
            </w:r>
          </w:p>
        </w:tc>
        <w:tc>
          <w:tcPr>
            <w:tcW w:w="799" w:type="dxa"/>
            <w:vAlign w:val="center"/>
          </w:tcPr>
          <w:p w14:paraId="22BBF888"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2,90</w:t>
            </w:r>
          </w:p>
        </w:tc>
        <w:tc>
          <w:tcPr>
            <w:tcW w:w="799" w:type="dxa"/>
            <w:vAlign w:val="center"/>
          </w:tcPr>
          <w:p w14:paraId="203A3461"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2,90</w:t>
            </w:r>
          </w:p>
        </w:tc>
        <w:tc>
          <w:tcPr>
            <w:tcW w:w="799" w:type="dxa"/>
            <w:vAlign w:val="center"/>
          </w:tcPr>
          <w:p w14:paraId="73F81ED7"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2,96</w:t>
            </w:r>
          </w:p>
        </w:tc>
        <w:tc>
          <w:tcPr>
            <w:tcW w:w="799" w:type="dxa"/>
            <w:vAlign w:val="center"/>
          </w:tcPr>
          <w:p w14:paraId="10C40163"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2,93</w:t>
            </w:r>
          </w:p>
        </w:tc>
        <w:tc>
          <w:tcPr>
            <w:tcW w:w="799" w:type="dxa"/>
            <w:vAlign w:val="center"/>
          </w:tcPr>
          <w:p w14:paraId="4A76005E"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2,90</w:t>
            </w:r>
          </w:p>
        </w:tc>
        <w:tc>
          <w:tcPr>
            <w:tcW w:w="799" w:type="dxa"/>
            <w:vAlign w:val="center"/>
          </w:tcPr>
          <w:p w14:paraId="2BF8E1FA"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2,87</w:t>
            </w:r>
          </w:p>
        </w:tc>
        <w:tc>
          <w:tcPr>
            <w:tcW w:w="799" w:type="dxa"/>
            <w:vAlign w:val="center"/>
          </w:tcPr>
          <w:p w14:paraId="060206C5"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3,00</w:t>
            </w:r>
          </w:p>
        </w:tc>
      </w:tr>
      <w:tr w:rsidR="00537277" w:rsidRPr="00A15561" w14:paraId="59D18E96" w14:textId="77777777" w:rsidTr="006056E7">
        <w:tc>
          <w:tcPr>
            <w:tcW w:w="2454" w:type="dxa"/>
            <w:vAlign w:val="center"/>
          </w:tcPr>
          <w:p w14:paraId="6E4FFD9F" w14:textId="77777777" w:rsidR="00537277" w:rsidRPr="00A15561" w:rsidRDefault="00537277" w:rsidP="006056E7">
            <w:pPr>
              <w:spacing w:after="0" w:line="240" w:lineRule="auto"/>
              <w:jc w:val="left"/>
              <w:rPr>
                <w:rFonts w:eastAsia="Times New Roman" w:cs="Segoe UI"/>
                <w:bCs/>
                <w:sz w:val="18"/>
                <w:szCs w:val="18"/>
                <w:lang w:eastAsia="sk-SK"/>
              </w:rPr>
            </w:pPr>
            <w:r w:rsidRPr="00A15561">
              <w:rPr>
                <w:rFonts w:cs="Segoe UI"/>
                <w:sz w:val="18"/>
                <w:szCs w:val="18"/>
              </w:rPr>
              <w:t>ekon. aktívni</w:t>
            </w:r>
          </w:p>
        </w:tc>
        <w:tc>
          <w:tcPr>
            <w:tcW w:w="799" w:type="dxa"/>
            <w:vAlign w:val="center"/>
          </w:tcPr>
          <w:p w14:paraId="0DC1B540"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2,22</w:t>
            </w:r>
          </w:p>
        </w:tc>
        <w:tc>
          <w:tcPr>
            <w:tcW w:w="799" w:type="dxa"/>
            <w:vAlign w:val="center"/>
          </w:tcPr>
          <w:p w14:paraId="5B530EB9"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2,25</w:t>
            </w:r>
          </w:p>
        </w:tc>
        <w:tc>
          <w:tcPr>
            <w:tcW w:w="799" w:type="dxa"/>
            <w:vAlign w:val="center"/>
          </w:tcPr>
          <w:p w14:paraId="1C68AB12"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2,26</w:t>
            </w:r>
          </w:p>
        </w:tc>
        <w:tc>
          <w:tcPr>
            <w:tcW w:w="799" w:type="dxa"/>
            <w:vAlign w:val="center"/>
          </w:tcPr>
          <w:p w14:paraId="76779F89"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2,21</w:t>
            </w:r>
          </w:p>
        </w:tc>
        <w:tc>
          <w:tcPr>
            <w:tcW w:w="799" w:type="dxa"/>
            <w:vAlign w:val="center"/>
          </w:tcPr>
          <w:p w14:paraId="66304E57"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2,24</w:t>
            </w:r>
          </w:p>
        </w:tc>
        <w:tc>
          <w:tcPr>
            <w:tcW w:w="799" w:type="dxa"/>
            <w:vAlign w:val="center"/>
          </w:tcPr>
          <w:p w14:paraId="663A5E4F"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2,28</w:t>
            </w:r>
          </w:p>
        </w:tc>
        <w:tc>
          <w:tcPr>
            <w:tcW w:w="799" w:type="dxa"/>
            <w:vAlign w:val="center"/>
          </w:tcPr>
          <w:p w14:paraId="6840DC75"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2,31</w:t>
            </w:r>
          </w:p>
        </w:tc>
        <w:tc>
          <w:tcPr>
            <w:tcW w:w="799" w:type="dxa"/>
            <w:vAlign w:val="center"/>
          </w:tcPr>
          <w:p w14:paraId="1B565397"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2,16</w:t>
            </w:r>
          </w:p>
        </w:tc>
      </w:tr>
      <w:tr w:rsidR="00537277" w:rsidRPr="00A15561" w14:paraId="6D97D197" w14:textId="77777777" w:rsidTr="006056E7">
        <w:tc>
          <w:tcPr>
            <w:tcW w:w="2454" w:type="dxa"/>
            <w:tcBorders>
              <w:bottom w:val="nil"/>
            </w:tcBorders>
            <w:vAlign w:val="center"/>
          </w:tcPr>
          <w:p w14:paraId="5757FC50" w14:textId="77777777" w:rsidR="00537277" w:rsidRPr="00A15561" w:rsidRDefault="00537277" w:rsidP="006056E7">
            <w:pPr>
              <w:spacing w:after="0" w:line="240" w:lineRule="auto"/>
              <w:jc w:val="left"/>
              <w:rPr>
                <w:rFonts w:eastAsia="Times New Roman" w:cs="Segoe UI"/>
                <w:bCs/>
                <w:sz w:val="18"/>
                <w:szCs w:val="18"/>
                <w:lang w:eastAsia="sk-SK"/>
              </w:rPr>
            </w:pPr>
            <w:r w:rsidRPr="00A15561">
              <w:rPr>
                <w:rFonts w:cs="Segoe UI"/>
                <w:sz w:val="18"/>
                <w:szCs w:val="18"/>
              </w:rPr>
              <w:t xml:space="preserve">platba za poistencov štátu </w:t>
            </w:r>
          </w:p>
        </w:tc>
        <w:tc>
          <w:tcPr>
            <w:tcW w:w="799" w:type="dxa"/>
            <w:tcBorders>
              <w:bottom w:val="nil"/>
            </w:tcBorders>
            <w:vAlign w:val="center"/>
          </w:tcPr>
          <w:p w14:paraId="65777183"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1,30</w:t>
            </w:r>
          </w:p>
        </w:tc>
        <w:tc>
          <w:tcPr>
            <w:tcW w:w="799" w:type="dxa"/>
            <w:tcBorders>
              <w:bottom w:val="nil"/>
            </w:tcBorders>
            <w:vAlign w:val="center"/>
          </w:tcPr>
          <w:p w14:paraId="324A905F"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1,19</w:t>
            </w:r>
          </w:p>
        </w:tc>
        <w:tc>
          <w:tcPr>
            <w:tcW w:w="799" w:type="dxa"/>
            <w:tcBorders>
              <w:bottom w:val="nil"/>
            </w:tcBorders>
            <w:vAlign w:val="center"/>
          </w:tcPr>
          <w:p w14:paraId="719167EC"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1,20</w:t>
            </w:r>
          </w:p>
        </w:tc>
        <w:tc>
          <w:tcPr>
            <w:tcW w:w="799" w:type="dxa"/>
            <w:tcBorders>
              <w:bottom w:val="nil"/>
            </w:tcBorders>
            <w:vAlign w:val="center"/>
          </w:tcPr>
          <w:p w14:paraId="724CB9A6"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1,17</w:t>
            </w:r>
          </w:p>
        </w:tc>
        <w:tc>
          <w:tcPr>
            <w:tcW w:w="799" w:type="dxa"/>
            <w:tcBorders>
              <w:bottom w:val="nil"/>
            </w:tcBorders>
            <w:vAlign w:val="center"/>
          </w:tcPr>
          <w:p w14:paraId="047B0B52"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1,29</w:t>
            </w:r>
          </w:p>
        </w:tc>
        <w:tc>
          <w:tcPr>
            <w:tcW w:w="799" w:type="dxa"/>
            <w:tcBorders>
              <w:bottom w:val="nil"/>
            </w:tcBorders>
            <w:vAlign w:val="center"/>
          </w:tcPr>
          <w:p w14:paraId="7F6DFF8F"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1,29</w:t>
            </w:r>
          </w:p>
        </w:tc>
        <w:tc>
          <w:tcPr>
            <w:tcW w:w="799" w:type="dxa"/>
            <w:tcBorders>
              <w:bottom w:val="nil"/>
            </w:tcBorders>
            <w:vAlign w:val="center"/>
          </w:tcPr>
          <w:p w14:paraId="39F208AF"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2,08</w:t>
            </w:r>
          </w:p>
        </w:tc>
        <w:tc>
          <w:tcPr>
            <w:tcW w:w="799" w:type="dxa"/>
            <w:tcBorders>
              <w:bottom w:val="nil"/>
            </w:tcBorders>
            <w:vAlign w:val="center"/>
          </w:tcPr>
          <w:p w14:paraId="1544059B"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2,11</w:t>
            </w:r>
          </w:p>
        </w:tc>
      </w:tr>
      <w:tr w:rsidR="00537277" w:rsidRPr="00A15561" w14:paraId="23162D8B" w14:textId="77777777" w:rsidTr="006056E7">
        <w:tc>
          <w:tcPr>
            <w:tcW w:w="2454" w:type="dxa"/>
            <w:tcBorders>
              <w:bottom w:val="single" w:sz="4" w:space="0" w:color="314364" w:themeColor="text2"/>
            </w:tcBorders>
            <w:vAlign w:val="center"/>
          </w:tcPr>
          <w:p w14:paraId="7450763A" w14:textId="77777777" w:rsidR="00537277" w:rsidRPr="00986474" w:rsidRDefault="00537277" w:rsidP="006056E7">
            <w:pPr>
              <w:spacing w:after="0" w:line="240" w:lineRule="auto"/>
              <w:jc w:val="left"/>
              <w:rPr>
                <w:rFonts w:cs="Segoe UI"/>
                <w:sz w:val="18"/>
                <w:szCs w:val="18"/>
              </w:rPr>
            </w:pPr>
            <w:r w:rsidRPr="00A15561">
              <w:rPr>
                <w:rFonts w:cs="Segoe UI"/>
                <w:sz w:val="18"/>
                <w:szCs w:val="18"/>
              </w:rPr>
              <w:t>odvody od ekon. akt.</w:t>
            </w:r>
          </w:p>
        </w:tc>
        <w:tc>
          <w:tcPr>
            <w:tcW w:w="799" w:type="dxa"/>
            <w:tcBorders>
              <w:bottom w:val="single" w:sz="4" w:space="0" w:color="314364" w:themeColor="text2"/>
            </w:tcBorders>
            <w:vAlign w:val="center"/>
          </w:tcPr>
          <w:p w14:paraId="4DD49052"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3,29</w:t>
            </w:r>
          </w:p>
        </w:tc>
        <w:tc>
          <w:tcPr>
            <w:tcW w:w="799" w:type="dxa"/>
            <w:tcBorders>
              <w:bottom w:val="single" w:sz="4" w:space="0" w:color="314364" w:themeColor="text2"/>
            </w:tcBorders>
            <w:vAlign w:val="center"/>
          </w:tcPr>
          <w:p w14:paraId="6EB1805D"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3,63</w:t>
            </w:r>
          </w:p>
        </w:tc>
        <w:tc>
          <w:tcPr>
            <w:tcW w:w="799" w:type="dxa"/>
            <w:tcBorders>
              <w:bottom w:val="single" w:sz="4" w:space="0" w:color="314364" w:themeColor="text2"/>
            </w:tcBorders>
            <w:vAlign w:val="center"/>
          </w:tcPr>
          <w:p w14:paraId="2A96632D"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3,98</w:t>
            </w:r>
          </w:p>
        </w:tc>
        <w:tc>
          <w:tcPr>
            <w:tcW w:w="799" w:type="dxa"/>
            <w:tcBorders>
              <w:bottom w:val="single" w:sz="4" w:space="0" w:color="314364" w:themeColor="text2"/>
            </w:tcBorders>
            <w:vAlign w:val="center"/>
          </w:tcPr>
          <w:p w14:paraId="666784B2"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4,07</w:t>
            </w:r>
          </w:p>
        </w:tc>
        <w:tc>
          <w:tcPr>
            <w:tcW w:w="799" w:type="dxa"/>
            <w:tcBorders>
              <w:bottom w:val="single" w:sz="4" w:space="0" w:color="314364" w:themeColor="text2"/>
            </w:tcBorders>
            <w:vAlign w:val="center"/>
          </w:tcPr>
          <w:p w14:paraId="2C5A8837"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4,33</w:t>
            </w:r>
          </w:p>
        </w:tc>
        <w:tc>
          <w:tcPr>
            <w:tcW w:w="799" w:type="dxa"/>
            <w:tcBorders>
              <w:bottom w:val="single" w:sz="4" w:space="0" w:color="314364" w:themeColor="text2"/>
            </w:tcBorders>
            <w:vAlign w:val="center"/>
          </w:tcPr>
          <w:p w14:paraId="282880DF"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4,69</w:t>
            </w:r>
          </w:p>
        </w:tc>
        <w:tc>
          <w:tcPr>
            <w:tcW w:w="799" w:type="dxa"/>
            <w:tcBorders>
              <w:bottom w:val="single" w:sz="4" w:space="0" w:color="314364" w:themeColor="text2"/>
            </w:tcBorders>
            <w:vAlign w:val="center"/>
          </w:tcPr>
          <w:p w14:paraId="34E4AB27"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5,14</w:t>
            </w:r>
          </w:p>
        </w:tc>
        <w:tc>
          <w:tcPr>
            <w:tcW w:w="799" w:type="dxa"/>
            <w:tcBorders>
              <w:bottom w:val="single" w:sz="4" w:space="0" w:color="314364" w:themeColor="text2"/>
            </w:tcBorders>
            <w:vAlign w:val="center"/>
          </w:tcPr>
          <w:p w14:paraId="4386BD3A" w14:textId="77777777" w:rsidR="00537277" w:rsidRPr="00A15561" w:rsidRDefault="00537277" w:rsidP="006056E7">
            <w:pPr>
              <w:spacing w:after="0"/>
              <w:jc w:val="right"/>
              <w:rPr>
                <w:rFonts w:eastAsia="Times New Roman" w:cs="Segoe UI"/>
                <w:bCs/>
                <w:color w:val="000000"/>
                <w:sz w:val="18"/>
                <w:szCs w:val="18"/>
                <w:lang w:eastAsia="sk-SK"/>
              </w:rPr>
            </w:pPr>
            <w:r w:rsidRPr="00A15561">
              <w:rPr>
                <w:rFonts w:cs="Segoe UI"/>
                <w:sz w:val="18"/>
                <w:szCs w:val="18"/>
              </w:rPr>
              <w:t>5,94</w:t>
            </w:r>
          </w:p>
        </w:tc>
      </w:tr>
      <w:tr w:rsidR="00537277" w:rsidRPr="00A15561" w14:paraId="74CB3604" w14:textId="77777777" w:rsidTr="006056E7">
        <w:tc>
          <w:tcPr>
            <w:tcW w:w="2454" w:type="dxa"/>
            <w:tcBorders>
              <w:top w:val="single" w:sz="4" w:space="0" w:color="314364" w:themeColor="text2"/>
            </w:tcBorders>
          </w:tcPr>
          <w:p w14:paraId="24DDEE50" w14:textId="77777777" w:rsidR="00537277" w:rsidRPr="00A15561" w:rsidRDefault="00537277" w:rsidP="006056E7">
            <w:pPr>
              <w:spacing w:after="0" w:line="240" w:lineRule="auto"/>
              <w:jc w:val="left"/>
              <w:rPr>
                <w:rFonts w:cs="Segoe UI"/>
                <w:sz w:val="18"/>
                <w:szCs w:val="18"/>
              </w:rPr>
            </w:pPr>
            <w:r w:rsidRPr="00A15561">
              <w:rPr>
                <w:rFonts w:cs="Segoe UI"/>
                <w:sz w:val="18"/>
                <w:szCs w:val="18"/>
              </w:rPr>
              <w:t>priemerná mes. platba na 1 poistenca štátu</w:t>
            </w:r>
            <w:r>
              <w:rPr>
                <w:rFonts w:cs="Segoe UI"/>
                <w:sz w:val="18"/>
                <w:szCs w:val="18"/>
              </w:rPr>
              <w:t xml:space="preserve"> (v eur)</w:t>
            </w:r>
          </w:p>
        </w:tc>
        <w:tc>
          <w:tcPr>
            <w:tcW w:w="799" w:type="dxa"/>
            <w:tcBorders>
              <w:top w:val="single" w:sz="4" w:space="0" w:color="314364" w:themeColor="text2"/>
            </w:tcBorders>
            <w:vAlign w:val="center"/>
          </w:tcPr>
          <w:p w14:paraId="710C2B1B" w14:textId="77777777" w:rsidR="00537277" w:rsidRPr="00A15561" w:rsidRDefault="00537277" w:rsidP="006056E7">
            <w:pPr>
              <w:spacing w:after="0"/>
              <w:jc w:val="right"/>
              <w:rPr>
                <w:rFonts w:cs="Segoe UI"/>
                <w:sz w:val="18"/>
                <w:szCs w:val="18"/>
              </w:rPr>
            </w:pPr>
            <w:r w:rsidRPr="00A15561">
              <w:rPr>
                <w:rFonts w:cs="Segoe UI"/>
                <w:sz w:val="18"/>
                <w:szCs w:val="18"/>
              </w:rPr>
              <w:t>36,91</w:t>
            </w:r>
          </w:p>
        </w:tc>
        <w:tc>
          <w:tcPr>
            <w:tcW w:w="799" w:type="dxa"/>
            <w:tcBorders>
              <w:top w:val="single" w:sz="4" w:space="0" w:color="314364" w:themeColor="text2"/>
            </w:tcBorders>
            <w:vAlign w:val="center"/>
          </w:tcPr>
          <w:p w14:paraId="7ADEA5EA" w14:textId="77777777" w:rsidR="00537277" w:rsidRPr="00A15561" w:rsidRDefault="00537277" w:rsidP="006056E7">
            <w:pPr>
              <w:spacing w:after="0"/>
              <w:jc w:val="right"/>
              <w:rPr>
                <w:rFonts w:cs="Segoe UI"/>
                <w:sz w:val="18"/>
                <w:szCs w:val="18"/>
              </w:rPr>
            </w:pPr>
            <w:r w:rsidRPr="00A15561">
              <w:rPr>
                <w:rFonts w:cs="Segoe UI"/>
                <w:sz w:val="18"/>
                <w:szCs w:val="18"/>
              </w:rPr>
              <w:t>34,16</w:t>
            </w:r>
          </w:p>
        </w:tc>
        <w:tc>
          <w:tcPr>
            <w:tcW w:w="799" w:type="dxa"/>
            <w:tcBorders>
              <w:top w:val="single" w:sz="4" w:space="0" w:color="314364" w:themeColor="text2"/>
            </w:tcBorders>
            <w:vAlign w:val="center"/>
          </w:tcPr>
          <w:p w14:paraId="4A8FECA1" w14:textId="77777777" w:rsidR="00537277" w:rsidRPr="00A15561" w:rsidRDefault="00537277" w:rsidP="006056E7">
            <w:pPr>
              <w:spacing w:after="0"/>
              <w:jc w:val="right"/>
              <w:rPr>
                <w:rFonts w:cs="Segoe UI"/>
                <w:sz w:val="18"/>
                <w:szCs w:val="18"/>
              </w:rPr>
            </w:pPr>
            <w:r w:rsidRPr="00A15561">
              <w:rPr>
                <w:rFonts w:cs="Segoe UI"/>
                <w:sz w:val="18"/>
                <w:szCs w:val="18"/>
              </w:rPr>
              <w:t>34,54</w:t>
            </w:r>
          </w:p>
        </w:tc>
        <w:tc>
          <w:tcPr>
            <w:tcW w:w="799" w:type="dxa"/>
            <w:tcBorders>
              <w:top w:val="single" w:sz="4" w:space="0" w:color="314364" w:themeColor="text2"/>
            </w:tcBorders>
            <w:vAlign w:val="center"/>
          </w:tcPr>
          <w:p w14:paraId="0E75C89D" w14:textId="77777777" w:rsidR="00537277" w:rsidRPr="00A15561" w:rsidRDefault="00537277" w:rsidP="006056E7">
            <w:pPr>
              <w:spacing w:after="0"/>
              <w:jc w:val="right"/>
              <w:rPr>
                <w:rFonts w:cs="Segoe UI"/>
                <w:sz w:val="18"/>
                <w:szCs w:val="18"/>
              </w:rPr>
            </w:pPr>
            <w:r w:rsidRPr="00A15561">
              <w:rPr>
                <w:rFonts w:cs="Segoe UI"/>
                <w:sz w:val="18"/>
                <w:szCs w:val="18"/>
              </w:rPr>
              <w:t>32,83</w:t>
            </w:r>
          </w:p>
        </w:tc>
        <w:tc>
          <w:tcPr>
            <w:tcW w:w="799" w:type="dxa"/>
            <w:tcBorders>
              <w:top w:val="single" w:sz="4" w:space="0" w:color="314364" w:themeColor="text2"/>
            </w:tcBorders>
            <w:vAlign w:val="center"/>
          </w:tcPr>
          <w:p w14:paraId="579DE6A1" w14:textId="77777777" w:rsidR="00537277" w:rsidRPr="00A15561" w:rsidRDefault="00537277" w:rsidP="006056E7">
            <w:pPr>
              <w:spacing w:after="0"/>
              <w:jc w:val="right"/>
              <w:rPr>
                <w:rFonts w:cs="Segoe UI"/>
                <w:sz w:val="18"/>
                <w:szCs w:val="18"/>
              </w:rPr>
            </w:pPr>
            <w:r w:rsidRPr="00A15561">
              <w:rPr>
                <w:rFonts w:cs="Segoe UI"/>
                <w:sz w:val="18"/>
                <w:szCs w:val="18"/>
              </w:rPr>
              <w:t>36,74</w:t>
            </w:r>
          </w:p>
        </w:tc>
        <w:tc>
          <w:tcPr>
            <w:tcW w:w="799" w:type="dxa"/>
            <w:tcBorders>
              <w:top w:val="single" w:sz="4" w:space="0" w:color="314364" w:themeColor="text2"/>
            </w:tcBorders>
            <w:vAlign w:val="center"/>
          </w:tcPr>
          <w:p w14:paraId="5FA5A626" w14:textId="77777777" w:rsidR="00537277" w:rsidRPr="00A15561" w:rsidRDefault="00537277" w:rsidP="006056E7">
            <w:pPr>
              <w:spacing w:after="0"/>
              <w:jc w:val="right"/>
              <w:rPr>
                <w:rFonts w:cs="Segoe UI"/>
                <w:sz w:val="18"/>
                <w:szCs w:val="18"/>
              </w:rPr>
            </w:pPr>
            <w:r w:rsidRPr="00A15561">
              <w:rPr>
                <w:rFonts w:cs="Segoe UI"/>
                <w:sz w:val="18"/>
                <w:szCs w:val="18"/>
              </w:rPr>
              <w:t>37,04</w:t>
            </w:r>
          </w:p>
        </w:tc>
        <w:tc>
          <w:tcPr>
            <w:tcW w:w="799" w:type="dxa"/>
            <w:tcBorders>
              <w:top w:val="single" w:sz="4" w:space="0" w:color="314364" w:themeColor="text2"/>
            </w:tcBorders>
            <w:vAlign w:val="center"/>
          </w:tcPr>
          <w:p w14:paraId="70E3DCB7" w14:textId="77777777" w:rsidR="00537277" w:rsidRPr="00A15561" w:rsidRDefault="00537277" w:rsidP="006056E7">
            <w:pPr>
              <w:spacing w:after="0"/>
              <w:jc w:val="right"/>
              <w:rPr>
                <w:rFonts w:cs="Segoe UI"/>
                <w:sz w:val="18"/>
                <w:szCs w:val="18"/>
              </w:rPr>
            </w:pPr>
            <w:r w:rsidRPr="00A15561">
              <w:rPr>
                <w:rFonts w:cs="Segoe UI"/>
                <w:sz w:val="18"/>
                <w:szCs w:val="18"/>
              </w:rPr>
              <w:t>60,44</w:t>
            </w:r>
          </w:p>
        </w:tc>
        <w:tc>
          <w:tcPr>
            <w:tcW w:w="799" w:type="dxa"/>
            <w:tcBorders>
              <w:top w:val="single" w:sz="4" w:space="0" w:color="314364" w:themeColor="text2"/>
            </w:tcBorders>
            <w:vAlign w:val="center"/>
          </w:tcPr>
          <w:p w14:paraId="70973B4F" w14:textId="77777777" w:rsidR="00537277" w:rsidRPr="00A15561" w:rsidRDefault="00537277" w:rsidP="006056E7">
            <w:pPr>
              <w:spacing w:after="0"/>
              <w:jc w:val="right"/>
              <w:rPr>
                <w:rFonts w:cs="Segoe UI"/>
                <w:sz w:val="18"/>
                <w:szCs w:val="18"/>
              </w:rPr>
            </w:pPr>
            <w:r w:rsidRPr="00A15561">
              <w:rPr>
                <w:rFonts w:cs="Segoe UI"/>
                <w:sz w:val="18"/>
                <w:szCs w:val="18"/>
              </w:rPr>
              <w:t>58,68</w:t>
            </w:r>
          </w:p>
        </w:tc>
      </w:tr>
      <w:tr w:rsidR="00537277" w:rsidRPr="00A15561" w14:paraId="1561B8DE" w14:textId="77777777" w:rsidTr="006056E7">
        <w:tc>
          <w:tcPr>
            <w:tcW w:w="2454" w:type="dxa"/>
          </w:tcPr>
          <w:p w14:paraId="32E41C15" w14:textId="77777777" w:rsidR="00537277" w:rsidRPr="00A15561" w:rsidRDefault="00537277" w:rsidP="006056E7">
            <w:pPr>
              <w:spacing w:after="0" w:line="240" w:lineRule="auto"/>
              <w:jc w:val="left"/>
              <w:rPr>
                <w:rFonts w:cs="Segoe UI"/>
                <w:sz w:val="18"/>
                <w:szCs w:val="18"/>
              </w:rPr>
            </w:pPr>
            <w:r w:rsidRPr="00A15561">
              <w:rPr>
                <w:rFonts w:cs="Segoe UI"/>
                <w:sz w:val="18"/>
                <w:szCs w:val="18"/>
              </w:rPr>
              <w:t>priemerná mes. platba na 1 EA poistenca</w:t>
            </w:r>
            <w:r>
              <w:rPr>
                <w:rFonts w:cs="Segoe UI"/>
                <w:sz w:val="18"/>
                <w:szCs w:val="18"/>
              </w:rPr>
              <w:t xml:space="preserve"> (v eur)</w:t>
            </w:r>
          </w:p>
        </w:tc>
        <w:tc>
          <w:tcPr>
            <w:tcW w:w="799" w:type="dxa"/>
            <w:vAlign w:val="center"/>
          </w:tcPr>
          <w:p w14:paraId="7416295E" w14:textId="77777777" w:rsidR="00537277" w:rsidRPr="00A15561" w:rsidRDefault="00537277" w:rsidP="006056E7">
            <w:pPr>
              <w:spacing w:after="0"/>
              <w:jc w:val="right"/>
              <w:rPr>
                <w:rFonts w:cs="Segoe UI"/>
                <w:sz w:val="18"/>
                <w:szCs w:val="18"/>
              </w:rPr>
            </w:pPr>
            <w:r w:rsidRPr="00A15561">
              <w:rPr>
                <w:rFonts w:cs="Segoe UI"/>
                <w:sz w:val="18"/>
                <w:szCs w:val="18"/>
              </w:rPr>
              <w:t>123,70</w:t>
            </w:r>
          </w:p>
        </w:tc>
        <w:tc>
          <w:tcPr>
            <w:tcW w:w="799" w:type="dxa"/>
            <w:vAlign w:val="center"/>
          </w:tcPr>
          <w:p w14:paraId="113DEFE4" w14:textId="77777777" w:rsidR="00537277" w:rsidRPr="00A15561" w:rsidRDefault="00537277" w:rsidP="006056E7">
            <w:pPr>
              <w:spacing w:after="0"/>
              <w:jc w:val="right"/>
              <w:rPr>
                <w:rFonts w:cs="Segoe UI"/>
                <w:sz w:val="18"/>
                <w:szCs w:val="18"/>
              </w:rPr>
            </w:pPr>
            <w:r w:rsidRPr="00A15561">
              <w:rPr>
                <w:rFonts w:cs="Segoe UI"/>
                <w:sz w:val="18"/>
                <w:szCs w:val="18"/>
              </w:rPr>
              <w:t>134,38</w:t>
            </w:r>
          </w:p>
        </w:tc>
        <w:tc>
          <w:tcPr>
            <w:tcW w:w="799" w:type="dxa"/>
            <w:vAlign w:val="center"/>
          </w:tcPr>
          <w:p w14:paraId="1028B14F" w14:textId="77777777" w:rsidR="00537277" w:rsidRPr="00A15561" w:rsidRDefault="00537277" w:rsidP="006056E7">
            <w:pPr>
              <w:spacing w:after="0"/>
              <w:jc w:val="right"/>
              <w:rPr>
                <w:rFonts w:cs="Segoe UI"/>
                <w:sz w:val="18"/>
                <w:szCs w:val="18"/>
              </w:rPr>
            </w:pPr>
            <w:r w:rsidRPr="00A15561">
              <w:rPr>
                <w:rFonts w:cs="Segoe UI"/>
                <w:sz w:val="18"/>
                <w:szCs w:val="18"/>
              </w:rPr>
              <w:t>146,86</w:t>
            </w:r>
          </w:p>
        </w:tc>
        <w:tc>
          <w:tcPr>
            <w:tcW w:w="799" w:type="dxa"/>
            <w:vAlign w:val="center"/>
          </w:tcPr>
          <w:p w14:paraId="0426CF03" w14:textId="77777777" w:rsidR="00537277" w:rsidRPr="00A15561" w:rsidRDefault="00537277" w:rsidP="006056E7">
            <w:pPr>
              <w:spacing w:after="0"/>
              <w:jc w:val="right"/>
              <w:rPr>
                <w:rFonts w:cs="Segoe UI"/>
                <w:sz w:val="18"/>
                <w:szCs w:val="18"/>
              </w:rPr>
            </w:pPr>
            <w:r w:rsidRPr="00A15561">
              <w:rPr>
                <w:rFonts w:cs="Segoe UI"/>
                <w:sz w:val="18"/>
                <w:szCs w:val="18"/>
              </w:rPr>
              <w:t>153,48</w:t>
            </w:r>
          </w:p>
        </w:tc>
        <w:tc>
          <w:tcPr>
            <w:tcW w:w="799" w:type="dxa"/>
            <w:vAlign w:val="center"/>
          </w:tcPr>
          <w:p w14:paraId="5FE0591D" w14:textId="77777777" w:rsidR="00537277" w:rsidRPr="00A15561" w:rsidRDefault="00537277" w:rsidP="006056E7">
            <w:pPr>
              <w:spacing w:after="0"/>
              <w:jc w:val="right"/>
              <w:rPr>
                <w:rFonts w:cs="Segoe UI"/>
                <w:sz w:val="18"/>
                <w:szCs w:val="18"/>
              </w:rPr>
            </w:pPr>
            <w:r w:rsidRPr="00A15561">
              <w:rPr>
                <w:rFonts w:cs="Segoe UI"/>
                <w:sz w:val="18"/>
                <w:szCs w:val="18"/>
              </w:rPr>
              <w:t>161,48</w:t>
            </w:r>
          </w:p>
        </w:tc>
        <w:tc>
          <w:tcPr>
            <w:tcW w:w="799" w:type="dxa"/>
            <w:vAlign w:val="center"/>
          </w:tcPr>
          <w:p w14:paraId="3CC7A220" w14:textId="77777777" w:rsidR="00537277" w:rsidRPr="00A15561" w:rsidRDefault="00537277" w:rsidP="006056E7">
            <w:pPr>
              <w:spacing w:after="0"/>
              <w:jc w:val="right"/>
              <w:rPr>
                <w:rFonts w:cs="Segoe UI"/>
                <w:sz w:val="18"/>
                <w:szCs w:val="18"/>
              </w:rPr>
            </w:pPr>
            <w:r w:rsidRPr="00A15561">
              <w:rPr>
                <w:rFonts w:cs="Segoe UI"/>
                <w:sz w:val="18"/>
                <w:szCs w:val="18"/>
              </w:rPr>
              <w:t>171,18</w:t>
            </w:r>
          </w:p>
        </w:tc>
        <w:tc>
          <w:tcPr>
            <w:tcW w:w="799" w:type="dxa"/>
            <w:vAlign w:val="center"/>
          </w:tcPr>
          <w:p w14:paraId="51A37160" w14:textId="77777777" w:rsidR="00537277" w:rsidRPr="00A15561" w:rsidRDefault="00537277" w:rsidP="006056E7">
            <w:pPr>
              <w:spacing w:after="0"/>
              <w:jc w:val="right"/>
              <w:rPr>
                <w:rFonts w:cs="Segoe UI"/>
                <w:sz w:val="18"/>
                <w:szCs w:val="18"/>
              </w:rPr>
            </w:pPr>
            <w:r w:rsidRPr="00A15561">
              <w:rPr>
                <w:rFonts w:cs="Segoe UI"/>
                <w:sz w:val="18"/>
                <w:szCs w:val="18"/>
              </w:rPr>
              <w:t>185,14</w:t>
            </w:r>
          </w:p>
        </w:tc>
        <w:tc>
          <w:tcPr>
            <w:tcW w:w="799" w:type="dxa"/>
            <w:vAlign w:val="center"/>
          </w:tcPr>
          <w:p w14:paraId="06416238" w14:textId="77777777" w:rsidR="00537277" w:rsidRPr="00A15561" w:rsidRDefault="00537277" w:rsidP="006056E7">
            <w:pPr>
              <w:spacing w:after="0"/>
              <w:jc w:val="right"/>
              <w:rPr>
                <w:rFonts w:cs="Segoe UI"/>
                <w:sz w:val="18"/>
                <w:szCs w:val="18"/>
              </w:rPr>
            </w:pPr>
            <w:r w:rsidRPr="00A15561">
              <w:rPr>
                <w:rFonts w:cs="Segoe UI"/>
                <w:sz w:val="18"/>
                <w:szCs w:val="18"/>
              </w:rPr>
              <w:t>229,07</w:t>
            </w:r>
          </w:p>
        </w:tc>
      </w:tr>
    </w:tbl>
    <w:p w14:paraId="60FDCACD" w14:textId="77777777" w:rsidR="00537277" w:rsidRDefault="00537277" w:rsidP="00537277">
      <w:pPr>
        <w:pStyle w:val="Zdroj"/>
      </w:pPr>
      <w:r w:rsidRPr="00906EB2">
        <w:t>Zdroj:</w:t>
      </w:r>
      <w:r w:rsidRPr="00557D6C">
        <w:t xml:space="preserve"> ÚDZS</w:t>
      </w:r>
      <w:r>
        <w:t>:</w:t>
      </w:r>
      <w:r w:rsidRPr="00557D6C">
        <w:t xml:space="preserve"> Správy o stave vykonávania VZP za príslušné roky; </w:t>
      </w:r>
      <w:r>
        <w:t>prepočty a spracovanie OSA NKÚ</w:t>
      </w:r>
      <w:r>
        <w:br/>
        <w:t>*z</w:t>
      </w:r>
      <w:r w:rsidRPr="00557D6C">
        <w:t>a rok 2023 je uvedená očakávaná skutočnosť z monitoringu VZP vypracovávaného MZSR</w:t>
      </w:r>
      <w:r>
        <w:br/>
        <w:t>**za rok 2024 sú uvádzané hodnoty z návrhu rozpočtu, alebo z </w:t>
      </w:r>
      <w:r w:rsidRPr="00557D6C">
        <w:t>monitoringu VZP vypracovávaného MZ</w:t>
      </w:r>
      <w:r>
        <w:t xml:space="preserve"> </w:t>
      </w:r>
      <w:r w:rsidRPr="00557D6C">
        <w:t>SR</w:t>
      </w:r>
    </w:p>
    <w:p w14:paraId="63AE6E6D" w14:textId="6CAA91A3" w:rsidR="00787720" w:rsidRDefault="00D5291F" w:rsidP="00787720">
      <w:r>
        <w:t xml:space="preserve">V slovenskom zdravotníctve sa ekonomicky aktívni poistenci podieľajú dlhodobo výrazne vyššou mierou na financovaní zdravotníctva aj napriek tomu, že ich je menej ako poistencov štátu. </w:t>
      </w:r>
      <w:r w:rsidR="00787720">
        <w:t xml:space="preserve">Napríklad v roku 2022 sa EA podieľali na celkovom počte poistencov 44 percentami, no na zdrojoch VZP z poistenia sa podieľali 78,4 percentami.  Tento nepomer mierne klesne počas aktuálneho roka 2023, no zavedením spomínaných zmien sa podiel EA na financovaní zdravotníctva </w:t>
      </w:r>
      <w:r w:rsidR="00FB72FF">
        <w:t>v</w:t>
      </w:r>
      <w:r w:rsidR="00787720">
        <w:t xml:space="preserve"> roku 2024 opäť </w:t>
      </w:r>
      <w:r w:rsidR="00787720" w:rsidRPr="00B77FBA">
        <w:t>zvýši (</w:t>
      </w:r>
      <w:r w:rsidR="00B77FBA" w:rsidRPr="00B77FBA">
        <w:t>graf 9</w:t>
      </w:r>
      <w:r w:rsidR="00787720" w:rsidRPr="00B77FBA">
        <w:t>).</w:t>
      </w:r>
    </w:p>
    <w:p w14:paraId="2B676D2D" w14:textId="69349355" w:rsidR="0040246D" w:rsidRPr="00BC3CA3" w:rsidRDefault="0040246D" w:rsidP="0040246D">
      <w:pPr>
        <w:pStyle w:val="Popis"/>
        <w:keepNext/>
        <w:rPr>
          <w:color w:val="314364"/>
        </w:rPr>
      </w:pPr>
      <w:r w:rsidRPr="003152B6">
        <w:rPr>
          <w:color w:val="314364"/>
        </w:rPr>
        <w:t xml:space="preserve">Graf </w:t>
      </w:r>
      <w:r>
        <w:rPr>
          <w:color w:val="314364"/>
        </w:rPr>
        <w:t>9</w:t>
      </w:r>
      <w:r w:rsidRPr="003152B6">
        <w:rPr>
          <w:color w:val="314364"/>
        </w:rPr>
        <w:t xml:space="preserve">: </w:t>
      </w:r>
      <w:r>
        <w:rPr>
          <w:color w:val="314364"/>
        </w:rPr>
        <w:t>Porovnanie platieb do VZP od EA a od štátu</w:t>
      </w:r>
    </w:p>
    <w:tbl>
      <w:tblPr>
        <w:tblStyle w:val="Mriekatabuky"/>
        <w:tblW w:w="50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3"/>
      </w:tblGrid>
      <w:tr w:rsidR="0040246D" w:rsidRPr="00C75134" w14:paraId="1B2DDE99" w14:textId="77777777" w:rsidTr="001F1B66">
        <w:trPr>
          <w:trHeight w:val="3042"/>
        </w:trPr>
        <w:tc>
          <w:tcPr>
            <w:tcW w:w="9213" w:type="dxa"/>
            <w:tcBorders>
              <w:top w:val="single" w:sz="4" w:space="0" w:color="314364"/>
              <w:bottom w:val="single" w:sz="4" w:space="0" w:color="314364"/>
            </w:tcBorders>
            <w:vAlign w:val="center"/>
          </w:tcPr>
          <w:p w14:paraId="39D428CC" w14:textId="77777777" w:rsidR="0040246D" w:rsidRPr="00C75134" w:rsidRDefault="0040246D" w:rsidP="001F1B66">
            <w:pPr>
              <w:spacing w:after="0"/>
              <w:rPr>
                <w:b/>
                <w:color w:val="576431"/>
              </w:rPr>
            </w:pPr>
            <w:r>
              <w:rPr>
                <w:noProof/>
                <w:lang w:eastAsia="sk-SK"/>
              </w:rPr>
              <w:drawing>
                <wp:inline distT="0" distB="0" distL="0" distR="0" wp14:anchorId="2CCF78EC" wp14:editId="2E5EC4A3">
                  <wp:extent cx="5759450" cy="2486025"/>
                  <wp:effectExtent l="0" t="0" r="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49C147CF" w14:textId="77777777" w:rsidR="0040246D" w:rsidRDefault="0040246D" w:rsidP="0040246D">
      <w:pPr>
        <w:spacing w:after="0"/>
        <w:rPr>
          <w:rFonts w:eastAsia="Calibri" w:cs="Times New Roman"/>
          <w:i/>
          <w:color w:val="314364"/>
          <w:sz w:val="16"/>
        </w:rPr>
      </w:pPr>
      <w:r w:rsidRPr="00906EB2">
        <w:rPr>
          <w:rFonts w:eastAsia="Calibri" w:cs="Times New Roman"/>
          <w:i/>
          <w:color w:val="314364"/>
          <w:sz w:val="16"/>
        </w:rPr>
        <w:t>Zdroj:</w:t>
      </w:r>
      <w:r w:rsidRPr="00557D6C">
        <w:t xml:space="preserve"> </w:t>
      </w:r>
      <w:r w:rsidRPr="00557D6C">
        <w:rPr>
          <w:rFonts w:eastAsia="Calibri" w:cs="Times New Roman"/>
          <w:i/>
          <w:color w:val="314364"/>
          <w:sz w:val="16"/>
        </w:rPr>
        <w:t>ÚDZS</w:t>
      </w:r>
      <w:r>
        <w:rPr>
          <w:rFonts w:eastAsia="Calibri" w:cs="Times New Roman"/>
          <w:i/>
          <w:color w:val="314364"/>
          <w:sz w:val="16"/>
        </w:rPr>
        <w:t>:</w:t>
      </w:r>
      <w:r w:rsidRPr="00557D6C">
        <w:rPr>
          <w:rFonts w:eastAsia="Calibri" w:cs="Times New Roman"/>
          <w:i/>
          <w:color w:val="314364"/>
          <w:sz w:val="16"/>
        </w:rPr>
        <w:t xml:space="preserve"> Správy o stave vykonávania VZP za príslušné roky; </w:t>
      </w:r>
      <w:r>
        <w:rPr>
          <w:rFonts w:eastAsia="Calibri" w:cs="Times New Roman"/>
          <w:i/>
          <w:color w:val="314364"/>
          <w:sz w:val="16"/>
        </w:rPr>
        <w:t>prepočty a spracovanie OSA NKÚ</w:t>
      </w:r>
    </w:p>
    <w:p w14:paraId="16EC9AD5" w14:textId="77777777" w:rsidR="0040246D" w:rsidRDefault="0040246D" w:rsidP="0040246D">
      <w:pPr>
        <w:spacing w:after="0"/>
        <w:rPr>
          <w:rFonts w:eastAsia="Calibri" w:cs="Times New Roman"/>
          <w:i/>
          <w:color w:val="314364"/>
          <w:sz w:val="16"/>
        </w:rPr>
      </w:pPr>
      <w:r>
        <w:rPr>
          <w:rFonts w:eastAsia="Calibri" w:cs="Times New Roman"/>
          <w:i/>
          <w:color w:val="314364"/>
          <w:sz w:val="16"/>
        </w:rPr>
        <w:t>*z</w:t>
      </w:r>
      <w:r w:rsidRPr="00557D6C">
        <w:rPr>
          <w:rFonts w:eastAsia="Calibri" w:cs="Times New Roman"/>
          <w:i/>
          <w:color w:val="314364"/>
          <w:sz w:val="16"/>
        </w:rPr>
        <w:t>a rok 2023 je uvedená očakávaná skutočnosť z monitoringu VZP vypracovávaného MZ</w:t>
      </w:r>
      <w:r>
        <w:rPr>
          <w:rFonts w:eastAsia="Calibri" w:cs="Times New Roman"/>
          <w:i/>
          <w:color w:val="314364"/>
          <w:sz w:val="16"/>
        </w:rPr>
        <w:t xml:space="preserve"> </w:t>
      </w:r>
      <w:r w:rsidRPr="00557D6C">
        <w:rPr>
          <w:rFonts w:eastAsia="Calibri" w:cs="Times New Roman"/>
          <w:i/>
          <w:color w:val="314364"/>
          <w:sz w:val="16"/>
        </w:rPr>
        <w:t>SR</w:t>
      </w:r>
    </w:p>
    <w:p w14:paraId="0DFC8D90" w14:textId="77777777" w:rsidR="0040246D" w:rsidRDefault="0040246D" w:rsidP="0040246D">
      <w:pPr>
        <w:rPr>
          <w:rFonts w:eastAsia="Calibri" w:cs="Times New Roman"/>
          <w:i/>
          <w:color w:val="314364"/>
          <w:sz w:val="16"/>
        </w:rPr>
      </w:pPr>
      <w:r>
        <w:rPr>
          <w:rFonts w:eastAsia="Calibri" w:cs="Times New Roman"/>
          <w:i/>
          <w:color w:val="314364"/>
          <w:sz w:val="16"/>
        </w:rPr>
        <w:t>** za rok 2024 sú uvádzané hodnoty z návrhu rozpočtu, alebo z </w:t>
      </w:r>
      <w:r w:rsidRPr="00557D6C">
        <w:rPr>
          <w:rFonts w:eastAsia="Calibri" w:cs="Times New Roman"/>
          <w:i/>
          <w:color w:val="314364"/>
          <w:sz w:val="16"/>
        </w:rPr>
        <w:t>monitoringu VZP vypracovávaného MZ</w:t>
      </w:r>
      <w:r>
        <w:rPr>
          <w:rFonts w:eastAsia="Calibri" w:cs="Times New Roman"/>
          <w:i/>
          <w:color w:val="314364"/>
          <w:sz w:val="16"/>
        </w:rPr>
        <w:t xml:space="preserve"> </w:t>
      </w:r>
      <w:r w:rsidRPr="00557D6C">
        <w:rPr>
          <w:rFonts w:eastAsia="Calibri" w:cs="Times New Roman"/>
          <w:i/>
          <w:color w:val="314364"/>
          <w:sz w:val="16"/>
        </w:rPr>
        <w:t>SR</w:t>
      </w:r>
    </w:p>
    <w:p w14:paraId="6C2D78D3" w14:textId="77777777" w:rsidR="00063087" w:rsidRDefault="00063087" w:rsidP="00063087">
      <w:r>
        <w:t>Výšku platby za poistencov štátu na Slovensku môžeme porovnať s Českou republikou najmä kvôli podobnosti systémov. Mesačná platba štátu za poistenca v ČR je pre rok 2023 na úrovni 78 eur a pre rok 2024 sa počíta s výškou okolo 86 eur</w:t>
      </w:r>
      <w:r>
        <w:rPr>
          <w:rStyle w:val="Odkaznapoznmkupodiarou"/>
        </w:rPr>
        <w:footnoteReference w:id="32"/>
      </w:r>
      <w:r>
        <w:t>. Porovnanie s ČR, ako aj neúmerné pokrývanie financovania odvodmi EA občanov naznačuje, že v budúcich rokoch bude nevyhnutné pristúpiť k zvýšeniu sadzby platby štátu nad úroveň v zákone predpokladaných 5 %.</w:t>
      </w:r>
    </w:p>
    <w:p w14:paraId="390251EE" w14:textId="0266ACD7" w:rsidR="00CA7B78" w:rsidRPr="008232B2" w:rsidRDefault="007A35C9" w:rsidP="00BA10B2">
      <w:pPr>
        <w:pStyle w:val="Nadpis3"/>
      </w:pPr>
      <w:r>
        <w:lastRenderedPageBreak/>
        <w:t xml:space="preserve"> </w:t>
      </w:r>
      <w:bookmarkStart w:id="30" w:name="_Toc153784705"/>
      <w:r w:rsidR="008F1659">
        <w:t>Úsporné opatrenia a v</w:t>
      </w:r>
      <w:r w:rsidR="00CA7B78" w:rsidRPr="00EF78CB">
        <w:t xml:space="preserve">ybrané riziká </w:t>
      </w:r>
      <w:r w:rsidR="00CA7B78">
        <w:t xml:space="preserve">v rozpočte </w:t>
      </w:r>
      <w:r w:rsidR="008F1659">
        <w:t>VZP</w:t>
      </w:r>
      <w:bookmarkEnd w:id="30"/>
      <w:r w:rsidR="00CA7B78">
        <w:t xml:space="preserve"> </w:t>
      </w:r>
    </w:p>
    <w:p w14:paraId="7A7E9EF4" w14:textId="6BFEC7F4" w:rsidR="009D046F" w:rsidRDefault="00CA7B78" w:rsidP="009D046F">
      <w:pPr>
        <w:rPr>
          <w:szCs w:val="20"/>
        </w:rPr>
      </w:pPr>
      <w:r w:rsidRPr="008F1659">
        <w:rPr>
          <w:b/>
          <w:szCs w:val="20"/>
        </w:rPr>
        <w:t xml:space="preserve">Výdavky </w:t>
      </w:r>
      <w:r w:rsidR="009D046F">
        <w:rPr>
          <w:b/>
          <w:szCs w:val="20"/>
        </w:rPr>
        <w:t>VZP</w:t>
      </w:r>
      <w:r w:rsidR="008F1659" w:rsidRPr="008F1659">
        <w:rPr>
          <w:b/>
          <w:szCs w:val="20"/>
        </w:rPr>
        <w:t xml:space="preserve"> na </w:t>
      </w:r>
      <w:r w:rsidRPr="008F1659">
        <w:rPr>
          <w:b/>
          <w:szCs w:val="20"/>
        </w:rPr>
        <w:t>rok 2024 sú rozpočtované v sume 7</w:t>
      </w:r>
      <w:r w:rsidR="008F1659" w:rsidRPr="008F1659">
        <w:rPr>
          <w:b/>
          <w:szCs w:val="20"/>
        </w:rPr>
        <w:t>,</w:t>
      </w:r>
      <w:r w:rsidRPr="008F1659">
        <w:rPr>
          <w:b/>
          <w:szCs w:val="20"/>
        </w:rPr>
        <w:t>9</w:t>
      </w:r>
      <w:r w:rsidR="000813A5">
        <w:rPr>
          <w:b/>
          <w:szCs w:val="20"/>
        </w:rPr>
        <w:t>7</w:t>
      </w:r>
      <w:r w:rsidRPr="008F1659">
        <w:rPr>
          <w:b/>
          <w:szCs w:val="20"/>
        </w:rPr>
        <w:t xml:space="preserve"> ml</w:t>
      </w:r>
      <w:r w:rsidR="008F1659" w:rsidRPr="008F1659">
        <w:rPr>
          <w:b/>
          <w:szCs w:val="20"/>
        </w:rPr>
        <w:t>d</w:t>
      </w:r>
      <w:r w:rsidRPr="008F1659">
        <w:rPr>
          <w:b/>
          <w:szCs w:val="20"/>
        </w:rPr>
        <w:t>. eur, čo predstavuje nárast oproti schválenému rozpočtu na rok 2023 o</w:t>
      </w:r>
      <w:r w:rsidR="008F1659" w:rsidRPr="008F1659">
        <w:rPr>
          <w:b/>
          <w:szCs w:val="20"/>
        </w:rPr>
        <w:t xml:space="preserve"> 15,3 % </w:t>
      </w:r>
      <w:r w:rsidR="008F1659" w:rsidRPr="007F704A">
        <w:rPr>
          <w:szCs w:val="20"/>
        </w:rPr>
        <w:t>(</w:t>
      </w:r>
      <w:r w:rsidRPr="007F704A">
        <w:rPr>
          <w:szCs w:val="20"/>
        </w:rPr>
        <w:t>1 ml</w:t>
      </w:r>
      <w:r w:rsidR="008F1659" w:rsidRPr="007F704A">
        <w:rPr>
          <w:szCs w:val="20"/>
        </w:rPr>
        <w:t>d</w:t>
      </w:r>
      <w:r w:rsidRPr="007F704A">
        <w:rPr>
          <w:szCs w:val="20"/>
        </w:rPr>
        <w:t>. eur)</w:t>
      </w:r>
      <w:r w:rsidR="009D046F">
        <w:rPr>
          <w:szCs w:val="20"/>
        </w:rPr>
        <w:t xml:space="preserve">. </w:t>
      </w:r>
      <w:r w:rsidR="009D046F" w:rsidRPr="008232B2">
        <w:rPr>
          <w:szCs w:val="20"/>
        </w:rPr>
        <w:t>V porovnaní s očakávanou skutočnosťou roku 2023 sú vyššie o 871,9 mil. eur (o 12,3 %).</w:t>
      </w:r>
      <w:r w:rsidR="009D046F">
        <w:rPr>
          <w:szCs w:val="20"/>
        </w:rPr>
        <w:t xml:space="preserve"> </w:t>
      </w:r>
      <w:r w:rsidR="009D046F" w:rsidRPr="008232B2">
        <w:rPr>
          <w:szCs w:val="20"/>
        </w:rPr>
        <w:t xml:space="preserve">Najväčší podiel na celkových výdavkoch VZP predstavujú výdavky na zdravotnú starostlivosť, ktoré </w:t>
      </w:r>
      <w:r w:rsidR="009D046F">
        <w:rPr>
          <w:szCs w:val="20"/>
        </w:rPr>
        <w:t>sú</w:t>
      </w:r>
      <w:r w:rsidR="009D046F" w:rsidRPr="008232B2">
        <w:rPr>
          <w:szCs w:val="20"/>
        </w:rPr>
        <w:t xml:space="preserve"> na rok 2024 rozpočtované vo výške </w:t>
      </w:r>
      <w:r w:rsidR="009D046F">
        <w:rPr>
          <w:szCs w:val="20"/>
        </w:rPr>
        <w:t xml:space="preserve">takmer </w:t>
      </w:r>
      <w:r w:rsidR="009D046F" w:rsidRPr="008232B2">
        <w:rPr>
          <w:szCs w:val="20"/>
        </w:rPr>
        <w:t>7</w:t>
      </w:r>
      <w:r w:rsidR="009D046F">
        <w:rPr>
          <w:szCs w:val="20"/>
        </w:rPr>
        <w:t>,</w:t>
      </w:r>
      <w:r w:rsidR="009D046F" w:rsidRPr="008232B2">
        <w:rPr>
          <w:szCs w:val="20"/>
        </w:rPr>
        <w:t>7 ml</w:t>
      </w:r>
      <w:r w:rsidR="009D046F">
        <w:rPr>
          <w:szCs w:val="20"/>
        </w:rPr>
        <w:t>d</w:t>
      </w:r>
      <w:r w:rsidR="009D046F" w:rsidRPr="008232B2">
        <w:rPr>
          <w:szCs w:val="20"/>
        </w:rPr>
        <w:t>. eur a ich podiel tvor</w:t>
      </w:r>
      <w:r w:rsidR="009D046F">
        <w:rPr>
          <w:szCs w:val="20"/>
        </w:rPr>
        <w:t>í</w:t>
      </w:r>
      <w:r w:rsidR="00FA7077">
        <w:rPr>
          <w:szCs w:val="20"/>
        </w:rPr>
        <w:t xml:space="preserve"> 96,2 %.</w:t>
      </w:r>
    </w:p>
    <w:p w14:paraId="66A501DB" w14:textId="157B92B5" w:rsidR="009D046F" w:rsidRDefault="009D046F" w:rsidP="009D046F">
      <w:pPr>
        <w:rPr>
          <w:szCs w:val="20"/>
        </w:rPr>
      </w:pPr>
      <w:r>
        <w:rPr>
          <w:szCs w:val="20"/>
        </w:rPr>
        <w:t xml:space="preserve">NKÚ SR sa vo svojich stanoviskách zameriava aj na vyhodnotenie rizík v tých oblastiach zdravotníctva, v ktorých dochádza k neefektívnemu využívaniu zdrojov VZP. </w:t>
      </w:r>
      <w:r w:rsidRPr="00FA7077">
        <w:rPr>
          <w:szCs w:val="20"/>
        </w:rPr>
        <w:t xml:space="preserve">Jedným z nástrojov na efektívnu alokáciu zdrojov sú revízie výdavkov, ktoré pomáhajú hľadať úspory a ich využitie pre dosiahnutie kvalitnej zdravotnej starostlivosti. </w:t>
      </w:r>
      <w:r w:rsidRPr="00FA7077">
        <w:rPr>
          <w:b/>
          <w:szCs w:val="20"/>
        </w:rPr>
        <w:t xml:space="preserve">NKÚ SR v tejto súvislosti upozorňuje, že v predloženom návrhu RVS nie </w:t>
      </w:r>
      <w:r w:rsidR="007F704A">
        <w:rPr>
          <w:b/>
          <w:szCs w:val="20"/>
        </w:rPr>
        <w:t>sú spomenuté</w:t>
      </w:r>
      <w:r w:rsidRPr="00FA7077">
        <w:rPr>
          <w:b/>
          <w:szCs w:val="20"/>
        </w:rPr>
        <w:t> úsporn</w:t>
      </w:r>
      <w:r w:rsidR="007F704A">
        <w:rPr>
          <w:b/>
          <w:szCs w:val="20"/>
        </w:rPr>
        <w:t>é</w:t>
      </w:r>
      <w:r w:rsidRPr="00FA7077">
        <w:rPr>
          <w:b/>
          <w:szCs w:val="20"/>
        </w:rPr>
        <w:t xml:space="preserve"> opatrenia vyplývajúc</w:t>
      </w:r>
      <w:r w:rsidR="007F704A">
        <w:rPr>
          <w:b/>
          <w:szCs w:val="20"/>
        </w:rPr>
        <w:t>e</w:t>
      </w:r>
      <w:r w:rsidRPr="00FA7077">
        <w:rPr>
          <w:b/>
          <w:szCs w:val="20"/>
        </w:rPr>
        <w:t xml:space="preserve"> z Aktualizácie implementačného plánu</w:t>
      </w:r>
      <w:r>
        <w:rPr>
          <w:rStyle w:val="Odkaznapoznmkupodiarou"/>
          <w:szCs w:val="20"/>
        </w:rPr>
        <w:footnoteReference w:id="33"/>
      </w:r>
      <w:r>
        <w:rPr>
          <w:szCs w:val="20"/>
        </w:rPr>
        <w:t xml:space="preserve">. Celkový potenciál úspor do roku 2030 predstavuje 483 mil. eur, z toho 425 mil. eur je vo výdavkoch VZP. Najväčší objem úspor vo výdavkoch VZP vo výške </w:t>
      </w:r>
      <w:r w:rsidRPr="00E478C7">
        <w:rPr>
          <w:szCs w:val="20"/>
        </w:rPr>
        <w:t xml:space="preserve">184 </w:t>
      </w:r>
      <w:r>
        <w:rPr>
          <w:szCs w:val="20"/>
        </w:rPr>
        <w:t>mil. eur (43 %) je sústredený v liekovej politike. V jednotlivých oblastiach liekovej politiky sa v roku 2024 predpokladá úspora 142,4 mil. eur, čo predstavuje takmer 50 % z celkových úspor. NKÚ SR v predchádzajúcich stanoviskách opakovane poukazoval na riziká plnenia úspor v rozpočte VZP.</w:t>
      </w:r>
    </w:p>
    <w:p w14:paraId="3E9507BA" w14:textId="77777777" w:rsidR="0029471F" w:rsidRDefault="0029471F" w:rsidP="0029471F">
      <w:pPr>
        <w:spacing w:after="0"/>
        <w:ind w:right="163"/>
        <w:rPr>
          <w:b/>
          <w:color w:val="314364" w:themeColor="text2"/>
          <w:szCs w:val="20"/>
        </w:rPr>
      </w:pPr>
      <w:r>
        <w:rPr>
          <w:b/>
          <w:color w:val="314364" w:themeColor="text2"/>
          <w:szCs w:val="20"/>
        </w:rPr>
        <w:t>Tabuľka 12</w:t>
      </w:r>
      <w:r w:rsidRPr="00C60492">
        <w:rPr>
          <w:b/>
          <w:color w:val="314364" w:themeColor="text2"/>
          <w:szCs w:val="20"/>
        </w:rPr>
        <w:t>:</w:t>
      </w:r>
      <w:r w:rsidRPr="0060393A">
        <w:rPr>
          <w:b/>
          <w:szCs w:val="20"/>
        </w:rPr>
        <w:t xml:space="preserve"> </w:t>
      </w:r>
      <w:r>
        <w:rPr>
          <w:b/>
          <w:color w:val="314364" w:themeColor="text2"/>
          <w:szCs w:val="20"/>
        </w:rPr>
        <w:t>Výdavky verejného zdravotného poistenia – vybraná štruktúra (v mil. eur)</w:t>
      </w:r>
    </w:p>
    <w:tbl>
      <w:tblPr>
        <w:tblW w:w="5000" w:type="pct"/>
        <w:tblBorders>
          <w:bottom w:val="single" w:sz="4" w:space="0" w:color="314364" w:themeColor="text2"/>
        </w:tblBorders>
        <w:tblCellMar>
          <w:left w:w="70" w:type="dxa"/>
          <w:right w:w="70" w:type="dxa"/>
        </w:tblCellMar>
        <w:tblLook w:val="04A0" w:firstRow="1" w:lastRow="0" w:firstColumn="1" w:lastColumn="0" w:noHBand="0" w:noVBand="1"/>
      </w:tblPr>
      <w:tblGrid>
        <w:gridCol w:w="4091"/>
        <w:gridCol w:w="818"/>
        <w:gridCol w:w="818"/>
        <w:gridCol w:w="818"/>
        <w:gridCol w:w="818"/>
        <w:gridCol w:w="818"/>
        <w:gridCol w:w="889"/>
      </w:tblGrid>
      <w:tr w:rsidR="0029471F" w:rsidRPr="00522FB0" w14:paraId="33B4C37A" w14:textId="77777777" w:rsidTr="004A05BA">
        <w:trPr>
          <w:trHeight w:val="283"/>
        </w:trPr>
        <w:tc>
          <w:tcPr>
            <w:tcW w:w="2255" w:type="pct"/>
            <w:shd w:val="clear" w:color="000000" w:fill="314364"/>
            <w:vAlign w:val="center"/>
            <w:hideMark/>
          </w:tcPr>
          <w:p w14:paraId="76563845" w14:textId="77777777" w:rsidR="0029471F" w:rsidRPr="00522FB0" w:rsidRDefault="0029471F" w:rsidP="004A05BA">
            <w:pPr>
              <w:spacing w:after="0" w:line="240" w:lineRule="auto"/>
              <w:jc w:val="left"/>
              <w:rPr>
                <w:rFonts w:eastAsia="Times New Roman" w:cs="Segoe UI"/>
                <w:b/>
                <w:bCs/>
                <w:color w:val="FFFFFF"/>
                <w:sz w:val="18"/>
                <w:szCs w:val="18"/>
                <w:lang w:eastAsia="sk-SK"/>
              </w:rPr>
            </w:pPr>
            <w:r>
              <w:rPr>
                <w:rFonts w:eastAsia="Times New Roman" w:cs="Segoe UI"/>
                <w:b/>
                <w:bCs/>
                <w:color w:val="FFFFFF"/>
                <w:sz w:val="18"/>
                <w:szCs w:val="18"/>
                <w:lang w:eastAsia="sk-SK"/>
              </w:rPr>
              <w:t>Typ zdravotnej starostlivosti</w:t>
            </w:r>
          </w:p>
        </w:tc>
        <w:tc>
          <w:tcPr>
            <w:tcW w:w="451" w:type="pct"/>
            <w:shd w:val="clear" w:color="000000" w:fill="314364"/>
            <w:vAlign w:val="center"/>
            <w:hideMark/>
          </w:tcPr>
          <w:p w14:paraId="64B996C4" w14:textId="77777777" w:rsidR="0029471F" w:rsidRPr="00522FB0" w:rsidRDefault="0029471F" w:rsidP="004A05BA">
            <w:pPr>
              <w:spacing w:after="0" w:line="240" w:lineRule="auto"/>
              <w:jc w:val="right"/>
              <w:rPr>
                <w:rFonts w:eastAsia="Times New Roman" w:cs="Segoe UI"/>
                <w:b/>
                <w:bCs/>
                <w:color w:val="FFFFFF"/>
                <w:sz w:val="18"/>
                <w:szCs w:val="18"/>
                <w:lang w:eastAsia="sk-SK"/>
              </w:rPr>
            </w:pPr>
            <w:r w:rsidRPr="00522FB0">
              <w:rPr>
                <w:rFonts w:eastAsia="Times New Roman" w:cs="Segoe UI"/>
                <w:b/>
                <w:bCs/>
                <w:color w:val="FFFFFF"/>
                <w:sz w:val="18"/>
                <w:szCs w:val="18"/>
                <w:lang w:eastAsia="sk-SK"/>
              </w:rPr>
              <w:t>S 2018</w:t>
            </w:r>
          </w:p>
        </w:tc>
        <w:tc>
          <w:tcPr>
            <w:tcW w:w="451" w:type="pct"/>
            <w:shd w:val="clear" w:color="000000" w:fill="314364"/>
            <w:vAlign w:val="center"/>
            <w:hideMark/>
          </w:tcPr>
          <w:p w14:paraId="3ED9C607" w14:textId="77777777" w:rsidR="0029471F" w:rsidRPr="00522FB0" w:rsidRDefault="0029471F" w:rsidP="004A05BA">
            <w:pPr>
              <w:spacing w:after="0" w:line="240" w:lineRule="auto"/>
              <w:jc w:val="right"/>
              <w:rPr>
                <w:rFonts w:eastAsia="Times New Roman" w:cs="Segoe UI"/>
                <w:b/>
                <w:bCs/>
                <w:color w:val="FFFFFF"/>
                <w:sz w:val="18"/>
                <w:szCs w:val="18"/>
                <w:lang w:eastAsia="sk-SK"/>
              </w:rPr>
            </w:pPr>
            <w:r w:rsidRPr="00522FB0">
              <w:rPr>
                <w:rFonts w:eastAsia="Times New Roman" w:cs="Segoe UI"/>
                <w:b/>
                <w:bCs/>
                <w:color w:val="FFFFFF"/>
                <w:sz w:val="18"/>
                <w:szCs w:val="18"/>
                <w:lang w:eastAsia="sk-SK"/>
              </w:rPr>
              <w:t>S 2019</w:t>
            </w:r>
          </w:p>
        </w:tc>
        <w:tc>
          <w:tcPr>
            <w:tcW w:w="451" w:type="pct"/>
            <w:shd w:val="clear" w:color="000000" w:fill="314364"/>
            <w:vAlign w:val="center"/>
            <w:hideMark/>
          </w:tcPr>
          <w:p w14:paraId="438ED8CE" w14:textId="77777777" w:rsidR="0029471F" w:rsidRPr="00522FB0" w:rsidRDefault="0029471F" w:rsidP="004A05BA">
            <w:pPr>
              <w:spacing w:after="0" w:line="240" w:lineRule="auto"/>
              <w:jc w:val="right"/>
              <w:rPr>
                <w:rFonts w:eastAsia="Times New Roman" w:cs="Segoe UI"/>
                <w:b/>
                <w:bCs/>
                <w:color w:val="FFFFFF"/>
                <w:sz w:val="18"/>
                <w:szCs w:val="18"/>
                <w:lang w:eastAsia="sk-SK"/>
              </w:rPr>
            </w:pPr>
            <w:r w:rsidRPr="00522FB0">
              <w:rPr>
                <w:rFonts w:eastAsia="Times New Roman" w:cs="Segoe UI"/>
                <w:b/>
                <w:bCs/>
                <w:color w:val="FFFFFF"/>
                <w:sz w:val="18"/>
                <w:szCs w:val="18"/>
                <w:lang w:eastAsia="sk-SK"/>
              </w:rPr>
              <w:t>S 2020</w:t>
            </w:r>
          </w:p>
        </w:tc>
        <w:tc>
          <w:tcPr>
            <w:tcW w:w="451" w:type="pct"/>
            <w:shd w:val="clear" w:color="000000" w:fill="314364"/>
            <w:vAlign w:val="center"/>
            <w:hideMark/>
          </w:tcPr>
          <w:p w14:paraId="5A201DA4" w14:textId="77777777" w:rsidR="0029471F" w:rsidRPr="00522FB0" w:rsidRDefault="0029471F" w:rsidP="004A05BA">
            <w:pPr>
              <w:spacing w:after="0" w:line="240" w:lineRule="auto"/>
              <w:jc w:val="right"/>
              <w:rPr>
                <w:rFonts w:eastAsia="Times New Roman" w:cs="Segoe UI"/>
                <w:b/>
                <w:bCs/>
                <w:color w:val="FFFFFF"/>
                <w:sz w:val="18"/>
                <w:szCs w:val="18"/>
                <w:lang w:eastAsia="sk-SK"/>
              </w:rPr>
            </w:pPr>
            <w:r w:rsidRPr="00522FB0">
              <w:rPr>
                <w:rFonts w:eastAsia="Times New Roman" w:cs="Segoe UI"/>
                <w:b/>
                <w:bCs/>
                <w:color w:val="FFFFFF"/>
                <w:sz w:val="18"/>
                <w:szCs w:val="18"/>
                <w:lang w:eastAsia="sk-SK"/>
              </w:rPr>
              <w:t>S 2021</w:t>
            </w:r>
          </w:p>
        </w:tc>
        <w:tc>
          <w:tcPr>
            <w:tcW w:w="451" w:type="pct"/>
            <w:shd w:val="clear" w:color="000000" w:fill="314364"/>
            <w:vAlign w:val="center"/>
            <w:hideMark/>
          </w:tcPr>
          <w:p w14:paraId="1D1E0F5F" w14:textId="77777777" w:rsidR="0029471F" w:rsidRPr="00522FB0" w:rsidRDefault="0029471F" w:rsidP="004A05BA">
            <w:pPr>
              <w:spacing w:after="0" w:line="240" w:lineRule="auto"/>
              <w:jc w:val="right"/>
              <w:rPr>
                <w:rFonts w:eastAsia="Times New Roman" w:cs="Segoe UI"/>
                <w:b/>
                <w:bCs/>
                <w:color w:val="FFFFFF"/>
                <w:sz w:val="18"/>
                <w:szCs w:val="18"/>
                <w:lang w:eastAsia="sk-SK"/>
              </w:rPr>
            </w:pPr>
            <w:r w:rsidRPr="00522FB0">
              <w:rPr>
                <w:rFonts w:eastAsia="Times New Roman" w:cs="Segoe UI"/>
                <w:b/>
                <w:bCs/>
                <w:color w:val="FFFFFF"/>
                <w:sz w:val="18"/>
                <w:szCs w:val="18"/>
                <w:lang w:eastAsia="sk-SK"/>
              </w:rPr>
              <w:t>S 2022</w:t>
            </w:r>
          </w:p>
        </w:tc>
        <w:tc>
          <w:tcPr>
            <w:tcW w:w="490" w:type="pct"/>
            <w:shd w:val="clear" w:color="000000" w:fill="314364"/>
            <w:vAlign w:val="center"/>
            <w:hideMark/>
          </w:tcPr>
          <w:p w14:paraId="25406D7B" w14:textId="77777777" w:rsidR="0029471F" w:rsidRPr="00522FB0" w:rsidRDefault="0029471F" w:rsidP="004A05BA">
            <w:pPr>
              <w:spacing w:after="0" w:line="240" w:lineRule="auto"/>
              <w:jc w:val="right"/>
              <w:rPr>
                <w:rFonts w:eastAsia="Times New Roman" w:cs="Segoe UI"/>
                <w:b/>
                <w:bCs/>
                <w:color w:val="FFFFFF"/>
                <w:sz w:val="18"/>
                <w:szCs w:val="18"/>
                <w:lang w:eastAsia="sk-SK"/>
              </w:rPr>
            </w:pPr>
            <w:r w:rsidRPr="00522FB0">
              <w:rPr>
                <w:rFonts w:eastAsia="Times New Roman" w:cs="Segoe UI"/>
                <w:b/>
                <w:bCs/>
                <w:color w:val="FFFFFF"/>
                <w:sz w:val="18"/>
                <w:szCs w:val="18"/>
                <w:lang w:eastAsia="sk-SK"/>
              </w:rPr>
              <w:t xml:space="preserve">OS 2023 </w:t>
            </w:r>
          </w:p>
        </w:tc>
      </w:tr>
      <w:tr w:rsidR="0029471F" w:rsidRPr="00522FB0" w14:paraId="0927B4C6" w14:textId="77777777" w:rsidTr="004A05BA">
        <w:trPr>
          <w:trHeight w:val="283"/>
        </w:trPr>
        <w:tc>
          <w:tcPr>
            <w:tcW w:w="2255" w:type="pct"/>
            <w:shd w:val="clear" w:color="auto" w:fill="auto"/>
            <w:vAlign w:val="center"/>
            <w:hideMark/>
          </w:tcPr>
          <w:p w14:paraId="38BBF736" w14:textId="77777777" w:rsidR="0029471F" w:rsidRPr="00EF3CE7" w:rsidRDefault="0029471F" w:rsidP="004A05BA">
            <w:pPr>
              <w:spacing w:after="0" w:line="240" w:lineRule="auto"/>
              <w:jc w:val="left"/>
              <w:rPr>
                <w:rFonts w:eastAsia="Times New Roman" w:cs="Segoe UI"/>
                <w:b/>
                <w:color w:val="000000"/>
                <w:sz w:val="18"/>
                <w:szCs w:val="18"/>
                <w:lang w:eastAsia="sk-SK"/>
              </w:rPr>
            </w:pPr>
            <w:r w:rsidRPr="00EF3CE7">
              <w:rPr>
                <w:rFonts w:eastAsia="Times New Roman" w:cs="Segoe UI"/>
                <w:b/>
                <w:color w:val="000000"/>
                <w:sz w:val="18"/>
                <w:szCs w:val="18"/>
                <w:lang w:eastAsia="sk-SK"/>
              </w:rPr>
              <w:t>Zdravotná starostlivosť</w:t>
            </w:r>
          </w:p>
        </w:tc>
        <w:tc>
          <w:tcPr>
            <w:tcW w:w="451" w:type="pct"/>
            <w:shd w:val="clear" w:color="auto" w:fill="auto"/>
            <w:vAlign w:val="center"/>
            <w:hideMark/>
          </w:tcPr>
          <w:p w14:paraId="1E07AEEE" w14:textId="77777777" w:rsidR="0029471F" w:rsidRPr="00EF3CE7" w:rsidRDefault="0029471F" w:rsidP="004A05BA">
            <w:pPr>
              <w:spacing w:after="0" w:line="240" w:lineRule="auto"/>
              <w:jc w:val="right"/>
              <w:rPr>
                <w:rFonts w:eastAsia="Times New Roman" w:cs="Segoe UI"/>
                <w:b/>
                <w:color w:val="000000"/>
                <w:sz w:val="18"/>
                <w:szCs w:val="18"/>
                <w:lang w:eastAsia="sk-SK"/>
              </w:rPr>
            </w:pPr>
            <w:r w:rsidRPr="00EF3CE7">
              <w:rPr>
                <w:rFonts w:eastAsia="Times New Roman" w:cs="Segoe UI"/>
                <w:b/>
                <w:color w:val="000000"/>
                <w:sz w:val="18"/>
                <w:szCs w:val="18"/>
                <w:lang w:eastAsia="sk-SK"/>
              </w:rPr>
              <w:t>4 542</w:t>
            </w:r>
          </w:p>
        </w:tc>
        <w:tc>
          <w:tcPr>
            <w:tcW w:w="451" w:type="pct"/>
            <w:shd w:val="clear" w:color="auto" w:fill="auto"/>
            <w:vAlign w:val="center"/>
            <w:hideMark/>
          </w:tcPr>
          <w:p w14:paraId="27CEB1E9" w14:textId="77777777" w:rsidR="0029471F" w:rsidRPr="00EF3CE7" w:rsidRDefault="0029471F" w:rsidP="004A05BA">
            <w:pPr>
              <w:spacing w:after="0" w:line="240" w:lineRule="auto"/>
              <w:jc w:val="right"/>
              <w:rPr>
                <w:rFonts w:eastAsia="Times New Roman" w:cs="Segoe UI"/>
                <w:b/>
                <w:color w:val="000000"/>
                <w:sz w:val="18"/>
                <w:szCs w:val="18"/>
                <w:lang w:eastAsia="sk-SK"/>
              </w:rPr>
            </w:pPr>
            <w:r w:rsidRPr="00EF3CE7">
              <w:rPr>
                <w:rFonts w:eastAsia="Times New Roman" w:cs="Segoe UI"/>
                <w:b/>
                <w:color w:val="000000"/>
                <w:sz w:val="18"/>
                <w:szCs w:val="18"/>
                <w:lang w:eastAsia="sk-SK"/>
              </w:rPr>
              <w:t>4 910</w:t>
            </w:r>
          </w:p>
        </w:tc>
        <w:tc>
          <w:tcPr>
            <w:tcW w:w="451" w:type="pct"/>
            <w:shd w:val="clear" w:color="auto" w:fill="auto"/>
            <w:vAlign w:val="center"/>
            <w:hideMark/>
          </w:tcPr>
          <w:p w14:paraId="3F8BFC21" w14:textId="77777777" w:rsidR="0029471F" w:rsidRPr="00EF3CE7" w:rsidRDefault="0029471F" w:rsidP="004A05BA">
            <w:pPr>
              <w:spacing w:after="0" w:line="240" w:lineRule="auto"/>
              <w:jc w:val="right"/>
              <w:rPr>
                <w:rFonts w:eastAsia="Times New Roman" w:cs="Segoe UI"/>
                <w:b/>
                <w:color w:val="000000"/>
                <w:sz w:val="18"/>
                <w:szCs w:val="18"/>
                <w:lang w:eastAsia="sk-SK"/>
              </w:rPr>
            </w:pPr>
            <w:r w:rsidRPr="00EF3CE7">
              <w:rPr>
                <w:rFonts w:eastAsia="Times New Roman" w:cs="Segoe UI"/>
                <w:b/>
                <w:color w:val="000000"/>
                <w:sz w:val="18"/>
                <w:szCs w:val="18"/>
                <w:lang w:eastAsia="sk-SK"/>
              </w:rPr>
              <w:t>5 005</w:t>
            </w:r>
          </w:p>
        </w:tc>
        <w:tc>
          <w:tcPr>
            <w:tcW w:w="451" w:type="pct"/>
            <w:shd w:val="clear" w:color="auto" w:fill="auto"/>
            <w:vAlign w:val="center"/>
            <w:hideMark/>
          </w:tcPr>
          <w:p w14:paraId="78545893" w14:textId="77777777" w:rsidR="0029471F" w:rsidRPr="00EF3CE7" w:rsidRDefault="0029471F" w:rsidP="004A05BA">
            <w:pPr>
              <w:spacing w:after="0" w:line="240" w:lineRule="auto"/>
              <w:jc w:val="right"/>
              <w:rPr>
                <w:rFonts w:eastAsia="Times New Roman" w:cs="Segoe UI"/>
                <w:b/>
                <w:color w:val="000000"/>
                <w:sz w:val="18"/>
                <w:szCs w:val="18"/>
                <w:lang w:eastAsia="sk-SK"/>
              </w:rPr>
            </w:pPr>
            <w:r w:rsidRPr="00EF3CE7">
              <w:rPr>
                <w:rFonts w:eastAsia="Times New Roman" w:cs="Segoe UI"/>
                <w:b/>
                <w:color w:val="000000"/>
                <w:sz w:val="18"/>
                <w:szCs w:val="18"/>
                <w:lang w:eastAsia="sk-SK"/>
              </w:rPr>
              <w:t>5 425</w:t>
            </w:r>
          </w:p>
        </w:tc>
        <w:tc>
          <w:tcPr>
            <w:tcW w:w="451" w:type="pct"/>
            <w:shd w:val="clear" w:color="auto" w:fill="auto"/>
            <w:vAlign w:val="center"/>
            <w:hideMark/>
          </w:tcPr>
          <w:p w14:paraId="56D6F065" w14:textId="77777777" w:rsidR="0029471F" w:rsidRPr="00EF3CE7" w:rsidRDefault="0029471F" w:rsidP="004A05BA">
            <w:pPr>
              <w:spacing w:after="0" w:line="240" w:lineRule="auto"/>
              <w:jc w:val="right"/>
              <w:rPr>
                <w:rFonts w:eastAsia="Times New Roman" w:cs="Segoe UI"/>
                <w:b/>
                <w:color w:val="000000"/>
                <w:sz w:val="18"/>
                <w:szCs w:val="18"/>
                <w:lang w:eastAsia="sk-SK"/>
              </w:rPr>
            </w:pPr>
            <w:r w:rsidRPr="00EF3CE7">
              <w:rPr>
                <w:rFonts w:eastAsia="Times New Roman" w:cs="Segoe UI"/>
                <w:b/>
                <w:color w:val="000000"/>
                <w:sz w:val="18"/>
                <w:szCs w:val="18"/>
                <w:lang w:eastAsia="sk-SK"/>
              </w:rPr>
              <w:t>5 911</w:t>
            </w:r>
          </w:p>
        </w:tc>
        <w:tc>
          <w:tcPr>
            <w:tcW w:w="490" w:type="pct"/>
            <w:shd w:val="clear" w:color="auto" w:fill="auto"/>
            <w:vAlign w:val="center"/>
            <w:hideMark/>
          </w:tcPr>
          <w:p w14:paraId="0ED1293D" w14:textId="77777777" w:rsidR="0029471F" w:rsidRPr="00EF3CE7" w:rsidRDefault="0029471F" w:rsidP="004A05BA">
            <w:pPr>
              <w:spacing w:after="0" w:line="240" w:lineRule="auto"/>
              <w:jc w:val="right"/>
              <w:rPr>
                <w:rFonts w:eastAsia="Times New Roman" w:cs="Segoe UI"/>
                <w:b/>
                <w:color w:val="000000"/>
                <w:sz w:val="18"/>
                <w:szCs w:val="18"/>
                <w:lang w:eastAsia="sk-SK"/>
              </w:rPr>
            </w:pPr>
            <w:r w:rsidRPr="00EF3CE7">
              <w:rPr>
                <w:rFonts w:eastAsia="Times New Roman" w:cs="Segoe UI"/>
                <w:b/>
                <w:color w:val="000000"/>
                <w:sz w:val="18"/>
                <w:szCs w:val="18"/>
                <w:lang w:eastAsia="sk-SK"/>
              </w:rPr>
              <w:t>6 887</w:t>
            </w:r>
          </w:p>
        </w:tc>
      </w:tr>
      <w:tr w:rsidR="0029471F" w:rsidRPr="00522FB0" w14:paraId="0AC2AE2B" w14:textId="77777777" w:rsidTr="004A05BA">
        <w:trPr>
          <w:trHeight w:val="283"/>
        </w:trPr>
        <w:tc>
          <w:tcPr>
            <w:tcW w:w="2255" w:type="pct"/>
            <w:shd w:val="clear" w:color="auto" w:fill="auto"/>
            <w:vAlign w:val="center"/>
            <w:hideMark/>
          </w:tcPr>
          <w:p w14:paraId="534EB877" w14:textId="77777777" w:rsidR="0029471F" w:rsidRPr="00522FB0" w:rsidRDefault="0029471F" w:rsidP="004A05BA">
            <w:pPr>
              <w:spacing w:after="0" w:line="240" w:lineRule="auto"/>
              <w:jc w:val="left"/>
              <w:rPr>
                <w:rFonts w:eastAsia="Times New Roman" w:cs="Segoe UI"/>
                <w:color w:val="000000"/>
                <w:sz w:val="18"/>
                <w:szCs w:val="18"/>
                <w:lang w:eastAsia="sk-SK"/>
              </w:rPr>
            </w:pPr>
            <w:r>
              <w:rPr>
                <w:rFonts w:eastAsia="Times New Roman" w:cs="Segoe UI"/>
                <w:color w:val="000000"/>
                <w:sz w:val="18"/>
                <w:szCs w:val="18"/>
                <w:lang w:eastAsia="sk-SK"/>
              </w:rPr>
              <w:t xml:space="preserve">   </w:t>
            </w:r>
            <w:r w:rsidRPr="00522FB0">
              <w:rPr>
                <w:rFonts w:eastAsia="Times New Roman" w:cs="Segoe UI"/>
                <w:color w:val="000000"/>
                <w:sz w:val="18"/>
                <w:szCs w:val="18"/>
                <w:lang w:eastAsia="sk-SK"/>
              </w:rPr>
              <w:t>z toho:</w:t>
            </w:r>
          </w:p>
        </w:tc>
        <w:tc>
          <w:tcPr>
            <w:tcW w:w="451" w:type="pct"/>
            <w:shd w:val="clear" w:color="auto" w:fill="auto"/>
            <w:vAlign w:val="center"/>
            <w:hideMark/>
          </w:tcPr>
          <w:p w14:paraId="0E079157"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 </w:t>
            </w:r>
          </w:p>
        </w:tc>
        <w:tc>
          <w:tcPr>
            <w:tcW w:w="451" w:type="pct"/>
            <w:shd w:val="clear" w:color="auto" w:fill="auto"/>
            <w:vAlign w:val="center"/>
            <w:hideMark/>
          </w:tcPr>
          <w:p w14:paraId="535F5D7E"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 </w:t>
            </w:r>
          </w:p>
        </w:tc>
        <w:tc>
          <w:tcPr>
            <w:tcW w:w="451" w:type="pct"/>
            <w:shd w:val="clear" w:color="auto" w:fill="auto"/>
            <w:vAlign w:val="center"/>
            <w:hideMark/>
          </w:tcPr>
          <w:p w14:paraId="0C928F08"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 </w:t>
            </w:r>
          </w:p>
        </w:tc>
        <w:tc>
          <w:tcPr>
            <w:tcW w:w="451" w:type="pct"/>
            <w:shd w:val="clear" w:color="auto" w:fill="auto"/>
            <w:vAlign w:val="center"/>
            <w:hideMark/>
          </w:tcPr>
          <w:p w14:paraId="6D85DABA"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 </w:t>
            </w:r>
          </w:p>
        </w:tc>
        <w:tc>
          <w:tcPr>
            <w:tcW w:w="451" w:type="pct"/>
            <w:shd w:val="clear" w:color="auto" w:fill="auto"/>
            <w:vAlign w:val="center"/>
            <w:hideMark/>
          </w:tcPr>
          <w:p w14:paraId="432513F2"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 </w:t>
            </w:r>
          </w:p>
        </w:tc>
        <w:tc>
          <w:tcPr>
            <w:tcW w:w="490" w:type="pct"/>
            <w:shd w:val="clear" w:color="auto" w:fill="auto"/>
            <w:vAlign w:val="center"/>
            <w:hideMark/>
          </w:tcPr>
          <w:p w14:paraId="007B06DB"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 </w:t>
            </w:r>
          </w:p>
        </w:tc>
      </w:tr>
      <w:tr w:rsidR="0029471F" w:rsidRPr="00522FB0" w14:paraId="47D5B27B" w14:textId="77777777" w:rsidTr="004A05BA">
        <w:trPr>
          <w:trHeight w:val="283"/>
        </w:trPr>
        <w:tc>
          <w:tcPr>
            <w:tcW w:w="2255" w:type="pct"/>
            <w:shd w:val="clear" w:color="auto" w:fill="auto"/>
            <w:vAlign w:val="center"/>
            <w:hideMark/>
          </w:tcPr>
          <w:p w14:paraId="69A05A59" w14:textId="77777777" w:rsidR="0029471F" w:rsidRPr="00522FB0" w:rsidRDefault="0029471F" w:rsidP="004A05BA">
            <w:pPr>
              <w:spacing w:after="0" w:line="240" w:lineRule="auto"/>
              <w:jc w:val="left"/>
              <w:rPr>
                <w:rFonts w:eastAsia="Times New Roman" w:cs="Segoe UI"/>
                <w:color w:val="000000"/>
                <w:sz w:val="18"/>
                <w:szCs w:val="18"/>
                <w:lang w:eastAsia="sk-SK"/>
              </w:rPr>
            </w:pPr>
            <w:r w:rsidRPr="00522FB0">
              <w:rPr>
                <w:rFonts w:eastAsia="Times New Roman" w:cs="Segoe UI"/>
                <w:color w:val="000000"/>
                <w:sz w:val="18"/>
                <w:szCs w:val="18"/>
                <w:lang w:eastAsia="sk-SK"/>
              </w:rPr>
              <w:t>Lieky a dietetické potraviny</w:t>
            </w:r>
          </w:p>
        </w:tc>
        <w:tc>
          <w:tcPr>
            <w:tcW w:w="451" w:type="pct"/>
            <w:shd w:val="clear" w:color="auto" w:fill="auto"/>
            <w:vAlign w:val="center"/>
            <w:hideMark/>
          </w:tcPr>
          <w:p w14:paraId="47B6EC8C"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1 064</w:t>
            </w:r>
          </w:p>
        </w:tc>
        <w:tc>
          <w:tcPr>
            <w:tcW w:w="451" w:type="pct"/>
            <w:shd w:val="clear" w:color="auto" w:fill="auto"/>
            <w:vAlign w:val="center"/>
            <w:hideMark/>
          </w:tcPr>
          <w:p w14:paraId="4F9DA1B5"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1 091</w:t>
            </w:r>
          </w:p>
        </w:tc>
        <w:tc>
          <w:tcPr>
            <w:tcW w:w="451" w:type="pct"/>
            <w:shd w:val="clear" w:color="auto" w:fill="auto"/>
            <w:vAlign w:val="center"/>
            <w:hideMark/>
          </w:tcPr>
          <w:p w14:paraId="6D517757"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1 228</w:t>
            </w:r>
          </w:p>
        </w:tc>
        <w:tc>
          <w:tcPr>
            <w:tcW w:w="451" w:type="pct"/>
            <w:shd w:val="clear" w:color="auto" w:fill="auto"/>
            <w:vAlign w:val="center"/>
            <w:hideMark/>
          </w:tcPr>
          <w:p w14:paraId="695C3598"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1 256</w:t>
            </w:r>
          </w:p>
        </w:tc>
        <w:tc>
          <w:tcPr>
            <w:tcW w:w="451" w:type="pct"/>
            <w:shd w:val="clear" w:color="auto" w:fill="auto"/>
            <w:vAlign w:val="center"/>
            <w:hideMark/>
          </w:tcPr>
          <w:p w14:paraId="11810521"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1 304</w:t>
            </w:r>
          </w:p>
        </w:tc>
        <w:tc>
          <w:tcPr>
            <w:tcW w:w="490" w:type="pct"/>
            <w:shd w:val="clear" w:color="auto" w:fill="auto"/>
            <w:vAlign w:val="center"/>
            <w:hideMark/>
          </w:tcPr>
          <w:p w14:paraId="1DAE6E99"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1 505</w:t>
            </w:r>
          </w:p>
        </w:tc>
      </w:tr>
      <w:tr w:rsidR="0029471F" w:rsidRPr="00522FB0" w14:paraId="46FA75EB" w14:textId="77777777" w:rsidTr="004A05BA">
        <w:trPr>
          <w:trHeight w:val="283"/>
        </w:trPr>
        <w:tc>
          <w:tcPr>
            <w:tcW w:w="2255" w:type="pct"/>
            <w:shd w:val="clear" w:color="auto" w:fill="auto"/>
            <w:vAlign w:val="center"/>
            <w:hideMark/>
          </w:tcPr>
          <w:p w14:paraId="6C2CFCC9" w14:textId="77777777" w:rsidR="0029471F" w:rsidRPr="00522FB0" w:rsidRDefault="0029471F" w:rsidP="004A05BA">
            <w:pPr>
              <w:spacing w:after="0" w:line="240" w:lineRule="auto"/>
              <w:jc w:val="left"/>
              <w:rPr>
                <w:rFonts w:eastAsia="Times New Roman" w:cs="Segoe UI"/>
                <w:color w:val="000000"/>
                <w:sz w:val="18"/>
                <w:szCs w:val="18"/>
                <w:lang w:eastAsia="sk-SK"/>
              </w:rPr>
            </w:pPr>
            <w:r w:rsidRPr="00522FB0">
              <w:rPr>
                <w:rFonts w:eastAsia="Times New Roman" w:cs="Segoe UI"/>
                <w:color w:val="000000"/>
                <w:sz w:val="18"/>
                <w:szCs w:val="18"/>
                <w:lang w:eastAsia="sk-SK"/>
              </w:rPr>
              <w:t>% nárast*</w:t>
            </w:r>
          </w:p>
        </w:tc>
        <w:tc>
          <w:tcPr>
            <w:tcW w:w="451" w:type="pct"/>
            <w:shd w:val="clear" w:color="auto" w:fill="auto"/>
            <w:vAlign w:val="center"/>
            <w:hideMark/>
          </w:tcPr>
          <w:p w14:paraId="14EA9EA3"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 </w:t>
            </w:r>
          </w:p>
        </w:tc>
        <w:tc>
          <w:tcPr>
            <w:tcW w:w="451" w:type="pct"/>
            <w:shd w:val="clear" w:color="auto" w:fill="auto"/>
            <w:vAlign w:val="center"/>
            <w:hideMark/>
          </w:tcPr>
          <w:p w14:paraId="07D4912F"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2,5</w:t>
            </w:r>
          </w:p>
        </w:tc>
        <w:tc>
          <w:tcPr>
            <w:tcW w:w="451" w:type="pct"/>
            <w:shd w:val="clear" w:color="auto" w:fill="auto"/>
            <w:vAlign w:val="center"/>
            <w:hideMark/>
          </w:tcPr>
          <w:p w14:paraId="00D273DF"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12,6</w:t>
            </w:r>
          </w:p>
        </w:tc>
        <w:tc>
          <w:tcPr>
            <w:tcW w:w="451" w:type="pct"/>
            <w:shd w:val="clear" w:color="auto" w:fill="auto"/>
            <w:vAlign w:val="center"/>
            <w:hideMark/>
          </w:tcPr>
          <w:p w14:paraId="24B3E38B"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2,3</w:t>
            </w:r>
          </w:p>
        </w:tc>
        <w:tc>
          <w:tcPr>
            <w:tcW w:w="451" w:type="pct"/>
            <w:shd w:val="clear" w:color="auto" w:fill="auto"/>
            <w:vAlign w:val="center"/>
            <w:hideMark/>
          </w:tcPr>
          <w:p w14:paraId="242D0173"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3,8</w:t>
            </w:r>
          </w:p>
        </w:tc>
        <w:tc>
          <w:tcPr>
            <w:tcW w:w="490" w:type="pct"/>
            <w:shd w:val="clear" w:color="auto" w:fill="auto"/>
            <w:vAlign w:val="center"/>
            <w:hideMark/>
          </w:tcPr>
          <w:p w14:paraId="6D9D4F5C"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15,4</w:t>
            </w:r>
          </w:p>
        </w:tc>
      </w:tr>
      <w:tr w:rsidR="0029471F" w:rsidRPr="00522FB0" w14:paraId="7F67A4AD" w14:textId="77777777" w:rsidTr="004A05BA">
        <w:trPr>
          <w:trHeight w:val="283"/>
        </w:trPr>
        <w:tc>
          <w:tcPr>
            <w:tcW w:w="2255" w:type="pct"/>
            <w:shd w:val="clear" w:color="auto" w:fill="auto"/>
            <w:noWrap/>
            <w:vAlign w:val="center"/>
            <w:hideMark/>
          </w:tcPr>
          <w:p w14:paraId="118A936A" w14:textId="77777777" w:rsidR="0029471F" w:rsidRPr="00522FB0" w:rsidRDefault="0029471F" w:rsidP="004A05BA">
            <w:pPr>
              <w:spacing w:after="0" w:line="240" w:lineRule="auto"/>
              <w:jc w:val="left"/>
              <w:rPr>
                <w:rFonts w:eastAsia="Times New Roman" w:cs="Segoe UI"/>
                <w:color w:val="000000"/>
                <w:sz w:val="18"/>
                <w:szCs w:val="18"/>
                <w:lang w:eastAsia="sk-SK"/>
              </w:rPr>
            </w:pPr>
            <w:r w:rsidRPr="00522FB0">
              <w:rPr>
                <w:rFonts w:eastAsia="Times New Roman" w:cs="Segoe UI"/>
                <w:color w:val="000000"/>
                <w:sz w:val="18"/>
                <w:szCs w:val="18"/>
                <w:lang w:eastAsia="sk-SK"/>
              </w:rPr>
              <w:t>Ústavná zdravotná starostlivosť</w:t>
            </w:r>
          </w:p>
        </w:tc>
        <w:tc>
          <w:tcPr>
            <w:tcW w:w="451" w:type="pct"/>
            <w:shd w:val="clear" w:color="auto" w:fill="auto"/>
            <w:vAlign w:val="center"/>
            <w:hideMark/>
          </w:tcPr>
          <w:p w14:paraId="0C45F139"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1 320</w:t>
            </w:r>
          </w:p>
        </w:tc>
        <w:tc>
          <w:tcPr>
            <w:tcW w:w="451" w:type="pct"/>
            <w:shd w:val="clear" w:color="auto" w:fill="auto"/>
            <w:vAlign w:val="center"/>
            <w:hideMark/>
          </w:tcPr>
          <w:p w14:paraId="7243D585"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1 448</w:t>
            </w:r>
          </w:p>
        </w:tc>
        <w:tc>
          <w:tcPr>
            <w:tcW w:w="451" w:type="pct"/>
            <w:shd w:val="clear" w:color="auto" w:fill="auto"/>
            <w:vAlign w:val="center"/>
            <w:hideMark/>
          </w:tcPr>
          <w:p w14:paraId="2F6349E7"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1 469</w:t>
            </w:r>
          </w:p>
        </w:tc>
        <w:tc>
          <w:tcPr>
            <w:tcW w:w="451" w:type="pct"/>
            <w:shd w:val="clear" w:color="auto" w:fill="auto"/>
            <w:vAlign w:val="center"/>
            <w:hideMark/>
          </w:tcPr>
          <w:p w14:paraId="0F16DCB1"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1 595</w:t>
            </w:r>
          </w:p>
        </w:tc>
        <w:tc>
          <w:tcPr>
            <w:tcW w:w="451" w:type="pct"/>
            <w:shd w:val="clear" w:color="auto" w:fill="auto"/>
            <w:vAlign w:val="center"/>
            <w:hideMark/>
          </w:tcPr>
          <w:p w14:paraId="7B1D277F"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2 089</w:t>
            </w:r>
          </w:p>
        </w:tc>
        <w:tc>
          <w:tcPr>
            <w:tcW w:w="490" w:type="pct"/>
            <w:shd w:val="clear" w:color="auto" w:fill="auto"/>
            <w:vAlign w:val="center"/>
            <w:hideMark/>
          </w:tcPr>
          <w:p w14:paraId="288131FE"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2 471</w:t>
            </w:r>
          </w:p>
        </w:tc>
      </w:tr>
      <w:tr w:rsidR="0029471F" w:rsidRPr="00522FB0" w14:paraId="56E1E399" w14:textId="77777777" w:rsidTr="004A05BA">
        <w:trPr>
          <w:trHeight w:val="283"/>
        </w:trPr>
        <w:tc>
          <w:tcPr>
            <w:tcW w:w="2255" w:type="pct"/>
            <w:shd w:val="clear" w:color="auto" w:fill="auto"/>
            <w:vAlign w:val="center"/>
            <w:hideMark/>
          </w:tcPr>
          <w:p w14:paraId="46258505" w14:textId="77777777" w:rsidR="0029471F" w:rsidRPr="00522FB0" w:rsidRDefault="0029471F" w:rsidP="004A05BA">
            <w:pPr>
              <w:spacing w:after="0" w:line="240" w:lineRule="auto"/>
              <w:jc w:val="left"/>
              <w:rPr>
                <w:rFonts w:eastAsia="Times New Roman" w:cs="Segoe UI"/>
                <w:color w:val="000000"/>
                <w:sz w:val="18"/>
                <w:szCs w:val="18"/>
                <w:lang w:eastAsia="sk-SK"/>
              </w:rPr>
            </w:pPr>
            <w:r w:rsidRPr="00522FB0">
              <w:rPr>
                <w:rFonts w:eastAsia="Times New Roman" w:cs="Segoe UI"/>
                <w:color w:val="000000"/>
                <w:sz w:val="18"/>
                <w:szCs w:val="18"/>
                <w:lang w:eastAsia="sk-SK"/>
              </w:rPr>
              <w:t>% nárast</w:t>
            </w:r>
          </w:p>
        </w:tc>
        <w:tc>
          <w:tcPr>
            <w:tcW w:w="451" w:type="pct"/>
            <w:shd w:val="clear" w:color="auto" w:fill="auto"/>
            <w:vAlign w:val="center"/>
            <w:hideMark/>
          </w:tcPr>
          <w:p w14:paraId="286CFA8B"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 </w:t>
            </w:r>
          </w:p>
        </w:tc>
        <w:tc>
          <w:tcPr>
            <w:tcW w:w="451" w:type="pct"/>
            <w:shd w:val="clear" w:color="auto" w:fill="auto"/>
            <w:vAlign w:val="center"/>
            <w:hideMark/>
          </w:tcPr>
          <w:p w14:paraId="77D46548"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9,7</w:t>
            </w:r>
          </w:p>
        </w:tc>
        <w:tc>
          <w:tcPr>
            <w:tcW w:w="451" w:type="pct"/>
            <w:shd w:val="clear" w:color="auto" w:fill="auto"/>
            <w:vAlign w:val="center"/>
            <w:hideMark/>
          </w:tcPr>
          <w:p w14:paraId="2A3E839A"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1,5</w:t>
            </w:r>
          </w:p>
        </w:tc>
        <w:tc>
          <w:tcPr>
            <w:tcW w:w="451" w:type="pct"/>
            <w:shd w:val="clear" w:color="auto" w:fill="auto"/>
            <w:vAlign w:val="center"/>
            <w:hideMark/>
          </w:tcPr>
          <w:p w14:paraId="3B4B7BF2"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8,6</w:t>
            </w:r>
          </w:p>
        </w:tc>
        <w:tc>
          <w:tcPr>
            <w:tcW w:w="451" w:type="pct"/>
            <w:shd w:val="clear" w:color="auto" w:fill="auto"/>
            <w:vAlign w:val="center"/>
            <w:hideMark/>
          </w:tcPr>
          <w:p w14:paraId="59DEB3F3"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31,0</w:t>
            </w:r>
          </w:p>
        </w:tc>
        <w:tc>
          <w:tcPr>
            <w:tcW w:w="490" w:type="pct"/>
            <w:shd w:val="clear" w:color="auto" w:fill="auto"/>
            <w:vAlign w:val="center"/>
            <w:hideMark/>
          </w:tcPr>
          <w:p w14:paraId="4FAA6497"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18,3</w:t>
            </w:r>
          </w:p>
        </w:tc>
      </w:tr>
      <w:tr w:rsidR="0029471F" w:rsidRPr="00522FB0" w14:paraId="114C302E" w14:textId="77777777" w:rsidTr="004A05BA">
        <w:trPr>
          <w:trHeight w:val="283"/>
        </w:trPr>
        <w:tc>
          <w:tcPr>
            <w:tcW w:w="2255" w:type="pct"/>
            <w:shd w:val="clear" w:color="auto" w:fill="auto"/>
            <w:noWrap/>
            <w:vAlign w:val="center"/>
            <w:hideMark/>
          </w:tcPr>
          <w:p w14:paraId="32E55041" w14:textId="77777777" w:rsidR="0029471F" w:rsidRPr="00522FB0" w:rsidRDefault="0029471F" w:rsidP="004A05BA">
            <w:pPr>
              <w:spacing w:after="0" w:line="240" w:lineRule="auto"/>
              <w:jc w:val="left"/>
              <w:rPr>
                <w:rFonts w:eastAsia="Times New Roman" w:cs="Segoe UI"/>
                <w:color w:val="000000"/>
                <w:sz w:val="18"/>
                <w:szCs w:val="18"/>
                <w:lang w:eastAsia="sk-SK"/>
              </w:rPr>
            </w:pPr>
            <w:r w:rsidRPr="00522FB0">
              <w:rPr>
                <w:rFonts w:eastAsia="Times New Roman" w:cs="Segoe UI"/>
                <w:color w:val="000000"/>
                <w:sz w:val="18"/>
                <w:szCs w:val="18"/>
                <w:lang w:eastAsia="sk-SK"/>
              </w:rPr>
              <w:t>Špecializovaná ambulantná starostlivosť</w:t>
            </w:r>
          </w:p>
        </w:tc>
        <w:tc>
          <w:tcPr>
            <w:tcW w:w="451" w:type="pct"/>
            <w:shd w:val="clear" w:color="auto" w:fill="auto"/>
            <w:vAlign w:val="center"/>
            <w:hideMark/>
          </w:tcPr>
          <w:p w14:paraId="2244A821"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885</w:t>
            </w:r>
          </w:p>
        </w:tc>
        <w:tc>
          <w:tcPr>
            <w:tcW w:w="451" w:type="pct"/>
            <w:shd w:val="clear" w:color="auto" w:fill="auto"/>
            <w:vAlign w:val="center"/>
            <w:hideMark/>
          </w:tcPr>
          <w:p w14:paraId="3EF2BDA6"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997</w:t>
            </w:r>
          </w:p>
        </w:tc>
        <w:tc>
          <w:tcPr>
            <w:tcW w:w="451" w:type="pct"/>
            <w:shd w:val="clear" w:color="auto" w:fill="auto"/>
            <w:vAlign w:val="center"/>
            <w:hideMark/>
          </w:tcPr>
          <w:p w14:paraId="016263F9"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855</w:t>
            </w:r>
          </w:p>
        </w:tc>
        <w:tc>
          <w:tcPr>
            <w:tcW w:w="451" w:type="pct"/>
            <w:shd w:val="clear" w:color="auto" w:fill="auto"/>
            <w:vAlign w:val="center"/>
            <w:hideMark/>
          </w:tcPr>
          <w:p w14:paraId="36A1F2B1"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992</w:t>
            </w:r>
          </w:p>
        </w:tc>
        <w:tc>
          <w:tcPr>
            <w:tcW w:w="451" w:type="pct"/>
            <w:shd w:val="clear" w:color="auto" w:fill="auto"/>
            <w:vAlign w:val="center"/>
            <w:hideMark/>
          </w:tcPr>
          <w:p w14:paraId="7DE842B8"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1 068</w:t>
            </w:r>
          </w:p>
        </w:tc>
        <w:tc>
          <w:tcPr>
            <w:tcW w:w="490" w:type="pct"/>
            <w:shd w:val="clear" w:color="auto" w:fill="auto"/>
            <w:vAlign w:val="center"/>
            <w:hideMark/>
          </w:tcPr>
          <w:p w14:paraId="52549104"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1 263</w:t>
            </w:r>
          </w:p>
        </w:tc>
      </w:tr>
      <w:tr w:rsidR="0029471F" w:rsidRPr="00522FB0" w14:paraId="449CA52A" w14:textId="77777777" w:rsidTr="004A05BA">
        <w:trPr>
          <w:trHeight w:val="283"/>
        </w:trPr>
        <w:tc>
          <w:tcPr>
            <w:tcW w:w="2255" w:type="pct"/>
            <w:shd w:val="clear" w:color="auto" w:fill="auto"/>
            <w:vAlign w:val="center"/>
            <w:hideMark/>
          </w:tcPr>
          <w:p w14:paraId="32E11381" w14:textId="77777777" w:rsidR="0029471F" w:rsidRPr="00522FB0" w:rsidRDefault="0029471F" w:rsidP="004A05BA">
            <w:pPr>
              <w:spacing w:after="0" w:line="240" w:lineRule="auto"/>
              <w:jc w:val="left"/>
              <w:rPr>
                <w:rFonts w:eastAsia="Times New Roman" w:cs="Segoe UI"/>
                <w:color w:val="000000"/>
                <w:sz w:val="18"/>
                <w:szCs w:val="18"/>
                <w:lang w:eastAsia="sk-SK"/>
              </w:rPr>
            </w:pPr>
            <w:r w:rsidRPr="00522FB0">
              <w:rPr>
                <w:rFonts w:eastAsia="Times New Roman" w:cs="Segoe UI"/>
                <w:color w:val="000000"/>
                <w:sz w:val="18"/>
                <w:szCs w:val="18"/>
                <w:lang w:eastAsia="sk-SK"/>
              </w:rPr>
              <w:t>% nárast</w:t>
            </w:r>
          </w:p>
        </w:tc>
        <w:tc>
          <w:tcPr>
            <w:tcW w:w="451" w:type="pct"/>
            <w:shd w:val="clear" w:color="auto" w:fill="auto"/>
            <w:vAlign w:val="center"/>
            <w:hideMark/>
          </w:tcPr>
          <w:p w14:paraId="7FB5F794"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 </w:t>
            </w:r>
          </w:p>
        </w:tc>
        <w:tc>
          <w:tcPr>
            <w:tcW w:w="451" w:type="pct"/>
            <w:shd w:val="clear" w:color="auto" w:fill="auto"/>
            <w:vAlign w:val="center"/>
            <w:hideMark/>
          </w:tcPr>
          <w:p w14:paraId="02E7E00E"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12,7</w:t>
            </w:r>
          </w:p>
        </w:tc>
        <w:tc>
          <w:tcPr>
            <w:tcW w:w="451" w:type="pct"/>
            <w:shd w:val="clear" w:color="auto" w:fill="auto"/>
            <w:vAlign w:val="center"/>
            <w:hideMark/>
          </w:tcPr>
          <w:p w14:paraId="148B3329"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-14,2</w:t>
            </w:r>
          </w:p>
        </w:tc>
        <w:tc>
          <w:tcPr>
            <w:tcW w:w="451" w:type="pct"/>
            <w:shd w:val="clear" w:color="auto" w:fill="auto"/>
            <w:vAlign w:val="center"/>
            <w:hideMark/>
          </w:tcPr>
          <w:p w14:paraId="3B36569B"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16,0</w:t>
            </w:r>
          </w:p>
        </w:tc>
        <w:tc>
          <w:tcPr>
            <w:tcW w:w="451" w:type="pct"/>
            <w:shd w:val="clear" w:color="auto" w:fill="auto"/>
            <w:vAlign w:val="center"/>
            <w:hideMark/>
          </w:tcPr>
          <w:p w14:paraId="2EA55752"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7,7</w:t>
            </w:r>
          </w:p>
        </w:tc>
        <w:tc>
          <w:tcPr>
            <w:tcW w:w="490" w:type="pct"/>
            <w:shd w:val="clear" w:color="auto" w:fill="auto"/>
            <w:vAlign w:val="center"/>
            <w:hideMark/>
          </w:tcPr>
          <w:p w14:paraId="1813A48E" w14:textId="77777777" w:rsidR="0029471F" w:rsidRPr="00522FB0" w:rsidRDefault="0029471F" w:rsidP="004A05BA">
            <w:pPr>
              <w:spacing w:after="0" w:line="240" w:lineRule="auto"/>
              <w:jc w:val="right"/>
              <w:rPr>
                <w:rFonts w:eastAsia="Times New Roman" w:cs="Segoe UI"/>
                <w:color w:val="000000"/>
                <w:sz w:val="18"/>
                <w:szCs w:val="18"/>
                <w:lang w:eastAsia="sk-SK"/>
              </w:rPr>
            </w:pPr>
            <w:r w:rsidRPr="00522FB0">
              <w:rPr>
                <w:rFonts w:eastAsia="Times New Roman" w:cs="Segoe UI"/>
                <w:color w:val="000000"/>
                <w:sz w:val="18"/>
                <w:szCs w:val="18"/>
                <w:lang w:eastAsia="sk-SK"/>
              </w:rPr>
              <w:t>18,3</w:t>
            </w:r>
          </w:p>
        </w:tc>
      </w:tr>
    </w:tbl>
    <w:p w14:paraId="48792455" w14:textId="77777777" w:rsidR="0029471F" w:rsidRPr="003B1A54" w:rsidRDefault="0029471F" w:rsidP="0029471F">
      <w:pPr>
        <w:pStyle w:val="Zdroj"/>
      </w:pPr>
      <w:r>
        <w:t xml:space="preserve">Zdroj: MZ SR, S – skutočnosť, OS – očakávaná skutočnosť, </w:t>
      </w:r>
      <w:r>
        <w:br/>
        <w:t>*oproti skutočnosti predchádzajúceho roka</w:t>
      </w:r>
    </w:p>
    <w:p w14:paraId="63451B47" w14:textId="094073A7" w:rsidR="009D046F" w:rsidRDefault="009D046F" w:rsidP="009D046F">
      <w:pPr>
        <w:rPr>
          <w:szCs w:val="20"/>
        </w:rPr>
      </w:pPr>
      <w:r w:rsidRPr="007F704A">
        <w:rPr>
          <w:b/>
          <w:szCs w:val="20"/>
        </w:rPr>
        <w:t>Okrem vývoja úspor významný vplyv na alokáciu zdrojov VZP medzi jednotlivé programy ZS majú legislatívne úpravy</w:t>
      </w:r>
      <w:r w:rsidRPr="007F704A">
        <w:rPr>
          <w:b/>
          <w:color w:val="FF0000"/>
          <w:szCs w:val="20"/>
        </w:rPr>
        <w:t xml:space="preserve"> </w:t>
      </w:r>
      <w:r w:rsidRPr="007F704A">
        <w:rPr>
          <w:b/>
          <w:szCs w:val="20"/>
        </w:rPr>
        <w:t>zo strany MZ SR.</w:t>
      </w:r>
      <w:r>
        <w:rPr>
          <w:szCs w:val="20"/>
        </w:rPr>
        <w:t xml:space="preserve"> Pre rok 2023 MZ SR určilo </w:t>
      </w:r>
      <w:r w:rsidR="007F704A">
        <w:rPr>
          <w:szCs w:val="20"/>
        </w:rPr>
        <w:t>ZP</w:t>
      </w:r>
      <w:r>
        <w:rPr>
          <w:szCs w:val="20"/>
        </w:rPr>
        <w:t xml:space="preserve"> vo </w:t>
      </w:r>
      <w:r w:rsidRPr="007F704A">
        <w:rPr>
          <w:szCs w:val="20"/>
        </w:rPr>
        <w:t xml:space="preserve">vyhláške č. 100/2023 Z. z. (ďalej len vyhláška) s účinnosťou od konca marca 2023 objem financií (percentuálne i absolútne), ktoré má </w:t>
      </w:r>
      <w:r w:rsidR="007F704A" w:rsidRPr="007F704A">
        <w:rPr>
          <w:szCs w:val="20"/>
        </w:rPr>
        <w:t>ZP</w:t>
      </w:r>
      <w:r w:rsidRPr="007F704A">
        <w:rPr>
          <w:szCs w:val="20"/>
        </w:rPr>
        <w:t xml:space="preserve"> vynaložiť na jednotlivé typy zdravotnej starostlivosti. Prekročenie stanoveného nárastu v percentách pri niektorom type zdravotnej starostlivosti vytvára potrebu dofinancovania systému VZP. NKÚ SR upozorňuje na záväzný percentuálny nárast minimálnej celkovej sumy výdavkov na zdravotnú starostlivosť oproti skutočným výdavkom za rok 2022 vo vyhláške. V type zdravotnej starostlivosti „Lieky a dietetické potraviny“ je uvedený nárast na rok 2023 oproti</w:t>
      </w:r>
      <w:r>
        <w:rPr>
          <w:szCs w:val="20"/>
        </w:rPr>
        <w:t xml:space="preserve"> skutočným výdavkom za rok 2022 na úrovni </w:t>
      </w:r>
      <w:r w:rsidRPr="007F704A">
        <w:rPr>
          <w:szCs w:val="20"/>
        </w:rPr>
        <w:t>2 %</w:t>
      </w:r>
      <w:r>
        <w:rPr>
          <w:rStyle w:val="Odkaznapoznmkupodiarou"/>
          <w:szCs w:val="20"/>
        </w:rPr>
        <w:footnoteReference w:id="34"/>
      </w:r>
      <w:r>
        <w:rPr>
          <w:szCs w:val="20"/>
        </w:rPr>
        <w:t xml:space="preserve">. Ale skutočný percentuálny medziročný nárast výdavkov na lieky a dietetické potraviny od roku 2019 bol vyšší ako určené percento vo vyhláške. Vysoký medziročný nárast sa očakáva za rok 2023, pretože aktuálny rast očakávanej skutočnosti 2023 oproti skutočnosti 2022 je na úrovni </w:t>
      </w:r>
      <w:r w:rsidRPr="00C9767F">
        <w:rPr>
          <w:szCs w:val="20"/>
        </w:rPr>
        <w:t xml:space="preserve">15,4 % </w:t>
      </w:r>
      <w:r>
        <w:rPr>
          <w:szCs w:val="20"/>
        </w:rPr>
        <w:t>(tabuľka</w:t>
      </w:r>
      <w:r w:rsidR="007F704A">
        <w:rPr>
          <w:szCs w:val="20"/>
        </w:rPr>
        <w:t xml:space="preserve"> 12</w:t>
      </w:r>
      <w:r>
        <w:rPr>
          <w:szCs w:val="20"/>
        </w:rPr>
        <w:t>). Pod uvedený nárast sa podpísala</w:t>
      </w:r>
      <w:r w:rsidRPr="009C213E">
        <w:rPr>
          <w:color w:val="000000" w:themeColor="text1"/>
          <w:szCs w:val="20"/>
        </w:rPr>
        <w:t xml:space="preserve"> </w:t>
      </w:r>
      <w:r w:rsidR="007178AD">
        <w:rPr>
          <w:color w:val="000000" w:themeColor="text1"/>
          <w:szCs w:val="20"/>
        </w:rPr>
        <w:t>aj</w:t>
      </w:r>
      <w:r w:rsidRPr="009C213E">
        <w:rPr>
          <w:color w:val="000000" w:themeColor="text1"/>
          <w:szCs w:val="20"/>
        </w:rPr>
        <w:t xml:space="preserve"> </w:t>
      </w:r>
      <w:r>
        <w:rPr>
          <w:szCs w:val="20"/>
        </w:rPr>
        <w:t xml:space="preserve">kategorizácia nových liekov a neplnenie úsporných opatrení. Pre rok 2024 je potrebné počítať s ďalším medziročným nárastom nákladov na lieky. Prejaví sa vplyv vstupu </w:t>
      </w:r>
      <w:r>
        <w:rPr>
          <w:szCs w:val="20"/>
        </w:rPr>
        <w:lastRenderedPageBreak/>
        <w:t>nových liekov do úhradového systému</w:t>
      </w:r>
      <w:r w:rsidRPr="00B8660C">
        <w:rPr>
          <w:szCs w:val="20"/>
        </w:rPr>
        <w:t xml:space="preserve">, nakoľko bude postupne narastať počet pacientov, </w:t>
      </w:r>
      <w:r w:rsidR="007F704A">
        <w:rPr>
          <w:szCs w:val="20"/>
        </w:rPr>
        <w:t>aj</w:t>
      </w:r>
      <w:r w:rsidRPr="00B8660C">
        <w:rPr>
          <w:szCs w:val="20"/>
        </w:rPr>
        <w:t xml:space="preserve"> z dôvodu starnutia populácie.</w:t>
      </w:r>
    </w:p>
    <w:p w14:paraId="009F8049" w14:textId="7650D6EF" w:rsidR="007F704A" w:rsidRDefault="007F704A" w:rsidP="007F704A">
      <w:r>
        <w:rPr>
          <w:b/>
          <w:szCs w:val="20"/>
        </w:rPr>
        <w:t>N</w:t>
      </w:r>
      <w:r w:rsidRPr="00F15428">
        <w:rPr>
          <w:b/>
          <w:szCs w:val="20"/>
        </w:rPr>
        <w:t xml:space="preserve">árast výdavkov na lieky a dietetické potraviny stanovený vo vyhláške na 2 % predstavuje </w:t>
      </w:r>
      <w:r w:rsidRPr="00EA095E">
        <w:rPr>
          <w:b/>
          <w:szCs w:val="20"/>
        </w:rPr>
        <w:t xml:space="preserve">riziko </w:t>
      </w:r>
      <w:proofErr w:type="spellStart"/>
      <w:r w:rsidRPr="00EA095E">
        <w:rPr>
          <w:b/>
          <w:szCs w:val="20"/>
        </w:rPr>
        <w:t>podfinancovania</w:t>
      </w:r>
      <w:proofErr w:type="spellEnd"/>
      <w:r>
        <w:rPr>
          <w:szCs w:val="20"/>
        </w:rPr>
        <w:t xml:space="preserve">, čo sa následne premieta do hospodárenia ZP a tým pádom aj obmedzovania financovania zdravotnej starostlivosti. Uvedená problematika </w:t>
      </w:r>
      <w:r w:rsidR="00E9760B">
        <w:rPr>
          <w:szCs w:val="20"/>
        </w:rPr>
        <w:t>sa týka</w:t>
      </w:r>
      <w:r>
        <w:rPr>
          <w:szCs w:val="20"/>
        </w:rPr>
        <w:t xml:space="preserve"> všetk</w:t>
      </w:r>
      <w:r w:rsidR="00E9760B">
        <w:rPr>
          <w:szCs w:val="20"/>
        </w:rPr>
        <w:t>ých</w:t>
      </w:r>
      <w:r>
        <w:rPr>
          <w:szCs w:val="20"/>
        </w:rPr>
        <w:t xml:space="preserve"> ZP, najviac však VšZP, pretože má aj vzhľadom na povahu svojho poistného kmeňa vyššie náklady na lieky v porovnaní s ostatnými ZP. V zmysle platnej legislatívy je </w:t>
      </w:r>
      <w:r>
        <w:t>MZ SR povinné v procese kategorizácie prihliadať na to, aby finančné prostriedky, s ktorými hospodária ZP, postačovali na úhradu liekov, zdravotníckych pomôcok a dietetických potravín na základe VZP.</w:t>
      </w:r>
    </w:p>
    <w:p w14:paraId="093D0365" w14:textId="0CCC3957" w:rsidR="009D046F" w:rsidRDefault="009D046F" w:rsidP="009D046F">
      <w:pPr>
        <w:spacing w:before="120"/>
        <w:ind w:right="-2"/>
        <w:rPr>
          <w:szCs w:val="20"/>
        </w:rPr>
      </w:pPr>
      <w:r w:rsidRPr="007F704A">
        <w:rPr>
          <w:b/>
          <w:szCs w:val="20"/>
        </w:rPr>
        <w:t>Vzhľadom na obmedzenú dostupnosť finančných prostriedkov</w:t>
      </w:r>
      <w:r>
        <w:rPr>
          <w:szCs w:val="20"/>
        </w:rPr>
        <w:t xml:space="preserve"> </w:t>
      </w:r>
      <w:r w:rsidR="007178AD" w:rsidRPr="007178AD">
        <w:rPr>
          <w:b/>
          <w:szCs w:val="20"/>
        </w:rPr>
        <w:t xml:space="preserve">odporúča </w:t>
      </w:r>
      <w:r w:rsidRPr="00F15428">
        <w:rPr>
          <w:b/>
          <w:szCs w:val="20"/>
        </w:rPr>
        <w:t>NKÚ SR zabezpečiť plnenie úsporných opatrení</w:t>
      </w:r>
      <w:r>
        <w:rPr>
          <w:szCs w:val="20"/>
        </w:rPr>
        <w:t xml:space="preserve">. Účinnými opatreniami v tomto ohľade by mohla byť </w:t>
      </w:r>
      <w:r w:rsidRPr="00EF5A80">
        <w:rPr>
          <w:szCs w:val="20"/>
        </w:rPr>
        <w:t xml:space="preserve">výraznejšia </w:t>
      </w:r>
      <w:r w:rsidRPr="00F15428">
        <w:rPr>
          <w:szCs w:val="20"/>
        </w:rPr>
        <w:t>podpora vstupu generických a biologicky podobných liekov, prehodnotenie postupu súvisiaceho s podpisovaním neverejných zmlúv medzi MZ SR a vybranými držiteľmi registrácie liekov pre potreby kategorizácie liekov</w:t>
      </w:r>
      <w:r w:rsidRPr="00EF5A80">
        <w:rPr>
          <w:szCs w:val="20"/>
        </w:rPr>
        <w:t xml:space="preserve">, ako aj </w:t>
      </w:r>
      <w:r w:rsidRPr="00F15428">
        <w:rPr>
          <w:szCs w:val="20"/>
        </w:rPr>
        <w:t>zníženie hranice nákladovej efektívnosti pre proces kategorizácie liekov</w:t>
      </w:r>
      <w:r w:rsidRPr="00EF5A80">
        <w:rPr>
          <w:szCs w:val="20"/>
        </w:rPr>
        <w:t>, ktorá by zohľadň</w:t>
      </w:r>
      <w:r>
        <w:rPr>
          <w:szCs w:val="20"/>
        </w:rPr>
        <w:t>ovala medzinárodné odporúčania v tejto oblasti</w:t>
      </w:r>
      <w:r w:rsidR="000D631B">
        <w:rPr>
          <w:szCs w:val="20"/>
        </w:rPr>
        <w:t xml:space="preserve"> a vývoj HDP na obyvateľa v SR.</w:t>
      </w:r>
    </w:p>
    <w:p w14:paraId="3A9EBFB9" w14:textId="295A105D" w:rsidR="000D631B" w:rsidRDefault="000D631B" w:rsidP="000D631B">
      <w:pPr>
        <w:pStyle w:val="Nadpis2"/>
      </w:pPr>
      <w:bookmarkStart w:id="31" w:name="_Toc153784706"/>
      <w:r>
        <w:t>Udržateľný sociálny systém</w:t>
      </w:r>
      <w:bookmarkEnd w:id="31"/>
    </w:p>
    <w:p w14:paraId="772DFBE3" w14:textId="77777777" w:rsidR="000D631B" w:rsidRDefault="000D631B" w:rsidP="000D631B">
      <w:pPr>
        <w:rPr>
          <w:rFonts w:cs="Segoe UI"/>
          <w:szCs w:val="20"/>
        </w:rPr>
      </w:pPr>
      <w:r w:rsidRPr="007C1487">
        <w:rPr>
          <w:rFonts w:cs="Segoe UI"/>
          <w:b/>
          <w:szCs w:val="20"/>
        </w:rPr>
        <w:t xml:space="preserve">Pred novu vládou stojí výzva, ako udržať súčasný sociálny štandard a zároveň naplniť krátkodobé priority stanovené v PVV, čo naráža na možnosti </w:t>
      </w:r>
      <w:r>
        <w:rPr>
          <w:rFonts w:cs="Segoe UI"/>
          <w:b/>
          <w:szCs w:val="20"/>
        </w:rPr>
        <w:t>rozpočtu</w:t>
      </w:r>
      <w:r>
        <w:rPr>
          <w:rFonts w:cs="Segoe UI"/>
          <w:szCs w:val="20"/>
        </w:rPr>
        <w:t>. Okrem krátkodobých priorít významný vplyv na rozpočet SP ako aj rozpočet rezortu práce budú mať navrhované konsolidačné opatrenia a legislatívne zmeny prijaté ešte predchádzajúcou vládou. Z krát</w:t>
      </w:r>
      <w:r w:rsidRPr="00D12F31">
        <w:rPr>
          <w:rFonts w:cs="Segoe UI"/>
          <w:szCs w:val="20"/>
        </w:rPr>
        <w:t>kodob</w:t>
      </w:r>
      <w:r>
        <w:rPr>
          <w:rFonts w:cs="Segoe UI"/>
          <w:szCs w:val="20"/>
        </w:rPr>
        <w:t xml:space="preserve">ých </w:t>
      </w:r>
      <w:r w:rsidRPr="00D12F31">
        <w:rPr>
          <w:rFonts w:cs="Segoe UI"/>
          <w:szCs w:val="20"/>
        </w:rPr>
        <w:t>prior</w:t>
      </w:r>
      <w:r>
        <w:rPr>
          <w:rFonts w:cs="Segoe UI"/>
          <w:szCs w:val="20"/>
        </w:rPr>
        <w:t>í</w:t>
      </w:r>
      <w:r w:rsidRPr="00D12F31">
        <w:rPr>
          <w:rFonts w:cs="Segoe UI"/>
          <w:szCs w:val="20"/>
        </w:rPr>
        <w:t>t</w:t>
      </w:r>
      <w:r>
        <w:rPr>
          <w:rFonts w:cs="Segoe UI"/>
          <w:szCs w:val="20"/>
        </w:rPr>
        <w:t xml:space="preserve"> sa do návrhu</w:t>
      </w:r>
      <w:r w:rsidRPr="00D12F31">
        <w:rPr>
          <w:rFonts w:cs="Segoe UI"/>
          <w:szCs w:val="20"/>
        </w:rPr>
        <w:t> rozpočt</w:t>
      </w:r>
      <w:r>
        <w:rPr>
          <w:rFonts w:cs="Segoe UI"/>
          <w:szCs w:val="20"/>
        </w:rPr>
        <w:t>u</w:t>
      </w:r>
      <w:r w:rsidRPr="00D12F31">
        <w:rPr>
          <w:rFonts w:cs="Segoe UI"/>
          <w:szCs w:val="20"/>
        </w:rPr>
        <w:t xml:space="preserve"> </w:t>
      </w:r>
      <w:r>
        <w:rPr>
          <w:rFonts w:cs="Segoe UI"/>
          <w:szCs w:val="20"/>
        </w:rPr>
        <w:t>premietla</w:t>
      </w:r>
      <w:r w:rsidRPr="00D12F31">
        <w:rPr>
          <w:rFonts w:cs="Segoe UI"/>
          <w:szCs w:val="20"/>
        </w:rPr>
        <w:t xml:space="preserve"> </w:t>
      </w:r>
      <w:r>
        <w:rPr>
          <w:rFonts w:cs="Segoe UI"/>
          <w:szCs w:val="20"/>
        </w:rPr>
        <w:t xml:space="preserve">transformácia doterajšieho </w:t>
      </w:r>
      <w:r w:rsidRPr="00D12F31">
        <w:rPr>
          <w:rFonts w:cs="Segoe UI"/>
          <w:szCs w:val="20"/>
        </w:rPr>
        <w:t xml:space="preserve">13. dôchodku </w:t>
      </w:r>
      <w:r>
        <w:rPr>
          <w:rFonts w:cs="Segoe UI"/>
          <w:szCs w:val="20"/>
        </w:rPr>
        <w:t xml:space="preserve">na plnohodnotný 13. dôchodok </w:t>
      </w:r>
      <w:r w:rsidRPr="00D12F31">
        <w:rPr>
          <w:rFonts w:cs="Segoe UI"/>
          <w:szCs w:val="20"/>
        </w:rPr>
        <w:t xml:space="preserve">vo výške priemerného </w:t>
      </w:r>
      <w:r>
        <w:rPr>
          <w:rFonts w:cs="Segoe UI"/>
          <w:szCs w:val="20"/>
        </w:rPr>
        <w:t>dôchodku za predchádzajúci rok (606 eur) v sume 823 mil. eur, pomoc so splátkami hypoték v čiastke 64 mil. eur a minimálna mzda</w:t>
      </w:r>
      <w:r w:rsidRPr="00D12F31">
        <w:rPr>
          <w:rFonts w:cs="Segoe UI"/>
          <w:szCs w:val="20"/>
        </w:rPr>
        <w:t xml:space="preserve"> na úrovn</w:t>
      </w:r>
      <w:r>
        <w:rPr>
          <w:rFonts w:cs="Segoe UI"/>
          <w:szCs w:val="20"/>
        </w:rPr>
        <w:t xml:space="preserve">i </w:t>
      </w:r>
      <w:r w:rsidRPr="00D12F31">
        <w:rPr>
          <w:rFonts w:cs="Segoe UI"/>
          <w:szCs w:val="20"/>
        </w:rPr>
        <w:t>60 % priemernej mzdy v národnom hospodárstve</w:t>
      </w:r>
      <w:r>
        <w:rPr>
          <w:rFonts w:cs="Segoe UI"/>
          <w:szCs w:val="20"/>
        </w:rPr>
        <w:t xml:space="preserve"> (750 eur), čo je vo zvýšených osobných výdavkoch zamestnancov verejnej správy v sume 2,65 mil. eur</w:t>
      </w:r>
    </w:p>
    <w:p w14:paraId="3A2531F2" w14:textId="3D4A3809" w:rsidR="000D631B" w:rsidRDefault="000D631B" w:rsidP="000D631B">
      <w:pPr>
        <w:rPr>
          <w:rFonts w:cs="Segoe UI"/>
          <w:szCs w:val="20"/>
        </w:rPr>
      </w:pPr>
      <w:r w:rsidRPr="00821911">
        <w:rPr>
          <w:rFonts w:cs="Segoe UI"/>
          <w:b/>
          <w:szCs w:val="20"/>
        </w:rPr>
        <w:t xml:space="preserve">Vzhľadom na veľmi krátke obdobie pre prípravu rozpočtu </w:t>
      </w:r>
      <w:r w:rsidR="006B2BB0">
        <w:rPr>
          <w:rFonts w:cs="Segoe UI"/>
          <w:b/>
          <w:szCs w:val="20"/>
        </w:rPr>
        <w:t>sa</w:t>
      </w:r>
      <w:r w:rsidRPr="00821911">
        <w:rPr>
          <w:rFonts w:cs="Segoe UI"/>
          <w:b/>
          <w:szCs w:val="20"/>
        </w:rPr>
        <w:t xml:space="preserve"> ostatné krátkodobé priority nepodarilo do rozpočtu zahrnúť</w:t>
      </w:r>
      <w:r>
        <w:rPr>
          <w:rFonts w:cs="Segoe UI"/>
          <w:szCs w:val="20"/>
        </w:rPr>
        <w:t>, ako je napr. podpora</w:t>
      </w:r>
      <w:r w:rsidRPr="00D12F31">
        <w:rPr>
          <w:rFonts w:cs="Segoe UI"/>
          <w:szCs w:val="20"/>
        </w:rPr>
        <w:t xml:space="preserve"> sociá</w:t>
      </w:r>
      <w:r>
        <w:rPr>
          <w:rFonts w:cs="Segoe UI"/>
          <w:szCs w:val="20"/>
        </w:rPr>
        <w:t xml:space="preserve">lnej ekonomiky, pomoc </w:t>
      </w:r>
      <w:r w:rsidRPr="00D12F31">
        <w:rPr>
          <w:rFonts w:cs="Segoe UI"/>
          <w:szCs w:val="20"/>
        </w:rPr>
        <w:t xml:space="preserve">rodinám </w:t>
      </w:r>
      <w:r>
        <w:rPr>
          <w:rFonts w:cs="Segoe UI"/>
          <w:szCs w:val="20"/>
        </w:rPr>
        <w:t xml:space="preserve">s deťmi </w:t>
      </w:r>
      <w:r w:rsidRPr="00D12F31">
        <w:rPr>
          <w:rFonts w:cs="Segoe UI"/>
          <w:szCs w:val="20"/>
        </w:rPr>
        <w:t>nielen vo form</w:t>
      </w:r>
      <w:r>
        <w:rPr>
          <w:rFonts w:cs="Segoe UI"/>
          <w:szCs w:val="20"/>
        </w:rPr>
        <w:t>e finančnej, ale aj nefinančnej</w:t>
      </w:r>
      <w:r w:rsidRPr="00D12F31">
        <w:rPr>
          <w:rFonts w:cs="Segoe UI"/>
          <w:szCs w:val="20"/>
        </w:rPr>
        <w:t>, nový koncept životného minima</w:t>
      </w:r>
      <w:r>
        <w:rPr>
          <w:rFonts w:cs="Segoe UI"/>
          <w:szCs w:val="20"/>
        </w:rPr>
        <w:t xml:space="preserve">, </w:t>
      </w:r>
      <w:r w:rsidRPr="00D12F31">
        <w:rPr>
          <w:rFonts w:cs="Segoe UI"/>
          <w:szCs w:val="20"/>
        </w:rPr>
        <w:t>poskytnutie jednorazového účelovo viazaného štátneho príspevku pre mladých po vstupe do zamestnania a založení rodiny</w:t>
      </w:r>
      <w:r>
        <w:rPr>
          <w:rFonts w:cs="Segoe UI"/>
          <w:szCs w:val="20"/>
        </w:rPr>
        <w:t xml:space="preserve"> a pod.</w:t>
      </w:r>
    </w:p>
    <w:p w14:paraId="022BA369" w14:textId="5CE1F49A" w:rsidR="006B2BB0" w:rsidRPr="009E7C7A" w:rsidRDefault="002A58E5" w:rsidP="006B2BB0">
      <w:pPr>
        <w:pStyle w:val="Nadpis3"/>
      </w:pPr>
      <w:r>
        <w:t xml:space="preserve"> </w:t>
      </w:r>
      <w:bookmarkStart w:id="32" w:name="_Toc153784707"/>
      <w:r w:rsidR="006B2BB0" w:rsidRPr="009E7C7A">
        <w:t>Dôchodkový systém</w:t>
      </w:r>
      <w:bookmarkEnd w:id="32"/>
      <w:r w:rsidR="006B2BB0" w:rsidRPr="009E7C7A">
        <w:t xml:space="preserve"> </w:t>
      </w:r>
    </w:p>
    <w:p w14:paraId="3FF9DBC5" w14:textId="77777777" w:rsidR="000D631B" w:rsidRDefault="000D631B" w:rsidP="000D631B">
      <w:pPr>
        <w:rPr>
          <w:rFonts w:cs="Segoe UI"/>
          <w:szCs w:val="20"/>
        </w:rPr>
      </w:pPr>
      <w:r w:rsidRPr="00821911">
        <w:rPr>
          <w:rFonts w:cs="Segoe UI"/>
          <w:b/>
          <w:szCs w:val="20"/>
        </w:rPr>
        <w:t>Na zlepšenie stavu verejných financií boli predložené dve konsolidačné opatrenia, ktoré sa týkajú dôchodkového systému.</w:t>
      </w:r>
      <w:r>
        <w:rPr>
          <w:rFonts w:cs="Segoe UI"/>
          <w:szCs w:val="20"/>
        </w:rPr>
        <w:t xml:space="preserve"> Prvé opatrenie prinesie trvalé zníženie sadzby povinných príspevkov na starobné dôchodkové sporenie na 4 % z vymeriavacieho základu sporiteľa zo súčasných 5,5 % a druhé výplatu rodičovského dôchodku raz ročne v jednej úhrnnej splátke.</w:t>
      </w:r>
    </w:p>
    <w:p w14:paraId="6F70D9A6" w14:textId="77777777" w:rsidR="000D631B" w:rsidRDefault="000D631B" w:rsidP="000D631B">
      <w:pPr>
        <w:rPr>
          <w:rFonts w:cs="Segoe UI"/>
          <w:szCs w:val="20"/>
        </w:rPr>
      </w:pPr>
      <w:r>
        <w:rPr>
          <w:rFonts w:cs="Segoe UI"/>
          <w:szCs w:val="20"/>
        </w:rPr>
        <w:t>Rozpočet SP bude ovplyvnený predovšetkým príjmami z poistenia od EAO, deficitom nemocenského a starobného poistenia, plánovaným transferom zo ŠR a objemom vyplatených dôchodkových dávok v roku 2023. Príjmy z bežného poistenia od EAO sa predpokladajú v doteraz najväčšom objeme 11 034,7 mil. eur, čo predstavuje 82,5 % celkových príjmov. Oproti minuloročnému rozpočtu (10 100,2 mil. eur) sú vyššie o 9,3 % a oproti očakávanej skutočnosti (9 867 mil. eur) o 11,8 % (graf 16).</w:t>
      </w:r>
    </w:p>
    <w:p w14:paraId="575AA146" w14:textId="77777777" w:rsidR="000D631B" w:rsidRDefault="000D631B" w:rsidP="000D631B">
      <w:pPr>
        <w:rPr>
          <w:rFonts w:cs="Segoe UI"/>
          <w:szCs w:val="20"/>
        </w:rPr>
      </w:pPr>
      <w:r w:rsidRPr="007C1487">
        <w:rPr>
          <w:rFonts w:cs="Segoe UI"/>
          <w:b/>
          <w:szCs w:val="20"/>
        </w:rPr>
        <w:lastRenderedPageBreak/>
        <w:t xml:space="preserve">Problematický deficit v základnom fonde nemocenského ako aj starobného poistenia bude opäť riešený presunmi z vnútorných zdrojov a doplnený transferom finančných prostriedkov zo ŠR v historicky najvyššej sume 1,6 mld. eur </w:t>
      </w:r>
      <w:r>
        <w:rPr>
          <w:rFonts w:cs="Segoe UI"/>
          <w:szCs w:val="20"/>
        </w:rPr>
        <w:t>(graf 17).</w:t>
      </w:r>
    </w:p>
    <w:p w14:paraId="4AE9F0E4" w14:textId="208425F7" w:rsidR="000D631B" w:rsidRDefault="000D631B" w:rsidP="000D631B">
      <w:pPr>
        <w:rPr>
          <w:rFonts w:cs="Segoe UI"/>
          <w:szCs w:val="20"/>
        </w:rPr>
      </w:pPr>
      <w:r>
        <w:rPr>
          <w:rFonts w:cs="Segoe UI"/>
          <w:b/>
          <w:szCs w:val="20"/>
        </w:rPr>
        <w:t>Očakávaný r</w:t>
      </w:r>
      <w:r w:rsidRPr="00217674">
        <w:rPr>
          <w:rFonts w:cs="Segoe UI"/>
          <w:b/>
          <w:szCs w:val="20"/>
        </w:rPr>
        <w:t xml:space="preserve">ekordný objem vyplatených dôchodkových dávok v roku 2023 </w:t>
      </w:r>
      <w:r w:rsidRPr="0029471F">
        <w:rPr>
          <w:rFonts w:cs="Segoe UI"/>
          <w:szCs w:val="20"/>
        </w:rPr>
        <w:t>(9 186,6 mil. eur)</w:t>
      </w:r>
      <w:r w:rsidRPr="00217674">
        <w:rPr>
          <w:rFonts w:cs="Segoe UI"/>
          <w:b/>
          <w:szCs w:val="20"/>
        </w:rPr>
        <w:t xml:space="preserve"> je o 916,2 mil. eur v</w:t>
      </w:r>
      <w:r w:rsidR="0029471F">
        <w:rPr>
          <w:rFonts w:cs="Segoe UI"/>
          <w:b/>
          <w:szCs w:val="20"/>
        </w:rPr>
        <w:t xml:space="preserve">yšší </w:t>
      </w:r>
      <w:r w:rsidRPr="00217674">
        <w:rPr>
          <w:rFonts w:cs="Segoe UI"/>
          <w:b/>
          <w:szCs w:val="20"/>
        </w:rPr>
        <w:t>ako sa plánovalo</w:t>
      </w:r>
      <w:r w:rsidR="0029471F">
        <w:rPr>
          <w:rFonts w:cs="Segoe UI"/>
          <w:b/>
          <w:szCs w:val="20"/>
        </w:rPr>
        <w:t xml:space="preserve"> a</w:t>
      </w:r>
      <w:r w:rsidRPr="00217674">
        <w:rPr>
          <w:rFonts w:cs="Segoe UI"/>
          <w:b/>
          <w:szCs w:val="20"/>
        </w:rPr>
        <w:t xml:space="preserve"> ovplyvní </w:t>
      </w:r>
      <w:r w:rsidR="0029471F">
        <w:rPr>
          <w:rFonts w:cs="Segoe UI"/>
          <w:b/>
          <w:szCs w:val="20"/>
        </w:rPr>
        <w:t xml:space="preserve">tak výrazne </w:t>
      </w:r>
      <w:r w:rsidRPr="00217674">
        <w:rPr>
          <w:rFonts w:cs="Segoe UI"/>
          <w:b/>
          <w:szCs w:val="20"/>
        </w:rPr>
        <w:t>budúcoročný rozpočet a</w:t>
      </w:r>
      <w:r w:rsidR="00E938AE">
        <w:rPr>
          <w:rFonts w:cs="Segoe UI"/>
          <w:b/>
          <w:szCs w:val="20"/>
        </w:rPr>
        <w:t xml:space="preserve"> dôchodky</w:t>
      </w:r>
      <w:r w:rsidRPr="00217674">
        <w:rPr>
          <w:rFonts w:cs="Segoe UI"/>
          <w:b/>
          <w:szCs w:val="20"/>
        </w:rPr>
        <w:t xml:space="preserve"> v najbližších rokoch. </w:t>
      </w:r>
      <w:r w:rsidRPr="00AB021D">
        <w:rPr>
          <w:rFonts w:cs="Segoe UI"/>
          <w:szCs w:val="20"/>
        </w:rPr>
        <w:t>Príčin</w:t>
      </w:r>
      <w:r>
        <w:rPr>
          <w:rFonts w:cs="Segoe UI"/>
          <w:szCs w:val="20"/>
        </w:rPr>
        <w:t>ou</w:t>
      </w:r>
      <w:r w:rsidRPr="00AB021D">
        <w:rPr>
          <w:rFonts w:cs="Segoe UI"/>
          <w:szCs w:val="20"/>
        </w:rPr>
        <w:t xml:space="preserve"> </w:t>
      </w:r>
      <w:r>
        <w:rPr>
          <w:rFonts w:cs="Segoe UI"/>
          <w:szCs w:val="20"/>
        </w:rPr>
        <w:t>významného nárastu výdavkov na dôchodkové dávky je</w:t>
      </w:r>
      <w:r w:rsidRPr="00AB021D">
        <w:rPr>
          <w:rFonts w:cs="Segoe UI"/>
          <w:szCs w:val="20"/>
        </w:rPr>
        <w:t xml:space="preserve"> zaveden</w:t>
      </w:r>
      <w:r>
        <w:rPr>
          <w:rFonts w:cs="Segoe UI"/>
          <w:szCs w:val="20"/>
        </w:rPr>
        <w:t>ie</w:t>
      </w:r>
      <w:r w:rsidRPr="00AB021D">
        <w:rPr>
          <w:rFonts w:cs="Segoe UI"/>
          <w:szCs w:val="20"/>
        </w:rPr>
        <w:t xml:space="preserve"> rodičovského dôchodku, </w:t>
      </w:r>
      <w:r w:rsidR="00217D25">
        <w:rPr>
          <w:rFonts w:cs="Segoe UI"/>
          <w:szCs w:val="20"/>
        </w:rPr>
        <w:t xml:space="preserve">plnohodnotný </w:t>
      </w:r>
      <w:r>
        <w:rPr>
          <w:rFonts w:cs="Segoe UI"/>
          <w:szCs w:val="20"/>
        </w:rPr>
        <w:t>13. dôchod</w:t>
      </w:r>
      <w:r w:rsidR="00217D25">
        <w:rPr>
          <w:rFonts w:cs="Segoe UI"/>
          <w:szCs w:val="20"/>
        </w:rPr>
        <w:t>o</w:t>
      </w:r>
      <w:r>
        <w:rPr>
          <w:rFonts w:cs="Segoe UI"/>
          <w:szCs w:val="20"/>
        </w:rPr>
        <w:t xml:space="preserve">k, </w:t>
      </w:r>
      <w:r w:rsidR="00217D25">
        <w:rPr>
          <w:rFonts w:cs="Segoe UI"/>
          <w:szCs w:val="20"/>
        </w:rPr>
        <w:t xml:space="preserve">ktorý je zatiaľ vo VPS v legislatívnej rezerve, </w:t>
      </w:r>
      <w:r w:rsidRPr="00AB021D">
        <w:rPr>
          <w:rFonts w:cs="Segoe UI"/>
          <w:szCs w:val="20"/>
        </w:rPr>
        <w:t>predčasn</w:t>
      </w:r>
      <w:r>
        <w:rPr>
          <w:rFonts w:cs="Segoe UI"/>
          <w:szCs w:val="20"/>
        </w:rPr>
        <w:t>é</w:t>
      </w:r>
      <w:r w:rsidRPr="00AB021D">
        <w:rPr>
          <w:rFonts w:cs="Segoe UI"/>
          <w:szCs w:val="20"/>
        </w:rPr>
        <w:t xml:space="preserve"> starobn</w:t>
      </w:r>
      <w:r>
        <w:rPr>
          <w:rFonts w:cs="Segoe UI"/>
          <w:szCs w:val="20"/>
        </w:rPr>
        <w:t>é</w:t>
      </w:r>
      <w:r w:rsidRPr="00AB021D">
        <w:rPr>
          <w:rFonts w:cs="Segoe UI"/>
          <w:szCs w:val="20"/>
        </w:rPr>
        <w:t xml:space="preserve"> dôchodk</w:t>
      </w:r>
      <w:r>
        <w:rPr>
          <w:rFonts w:cs="Segoe UI"/>
          <w:szCs w:val="20"/>
        </w:rPr>
        <w:t>y</w:t>
      </w:r>
      <w:r w:rsidRPr="00AB021D">
        <w:rPr>
          <w:rFonts w:cs="Segoe UI"/>
          <w:szCs w:val="20"/>
        </w:rPr>
        <w:t xml:space="preserve"> po odpracovaní 40-tich rokov, zvýšen</w:t>
      </w:r>
      <w:r>
        <w:rPr>
          <w:rFonts w:cs="Segoe UI"/>
          <w:szCs w:val="20"/>
        </w:rPr>
        <w:t>ie</w:t>
      </w:r>
      <w:r w:rsidRPr="00AB021D">
        <w:rPr>
          <w:rFonts w:cs="Segoe UI"/>
          <w:szCs w:val="20"/>
        </w:rPr>
        <w:t xml:space="preserve"> minimálnych dôchodkov (od júla a od októbra 2023),  valorizáci</w:t>
      </w:r>
      <w:r>
        <w:rPr>
          <w:rFonts w:cs="Segoe UI"/>
          <w:szCs w:val="20"/>
        </w:rPr>
        <w:t>a</w:t>
      </w:r>
      <w:r w:rsidRPr="00AB021D">
        <w:rPr>
          <w:rFonts w:cs="Segoe UI"/>
          <w:szCs w:val="20"/>
        </w:rPr>
        <w:t xml:space="preserve"> všetkých dôchodkov, ktorá sa uskutočnila dvakrát (o 11,8 %, o 10,6 %), </w:t>
      </w:r>
      <w:r>
        <w:rPr>
          <w:rFonts w:cs="Segoe UI"/>
          <w:szCs w:val="20"/>
        </w:rPr>
        <w:t>budúcoročná</w:t>
      </w:r>
      <w:r w:rsidRPr="00AB021D">
        <w:rPr>
          <w:rFonts w:cs="Segoe UI"/>
          <w:szCs w:val="20"/>
        </w:rPr>
        <w:t> januárov</w:t>
      </w:r>
      <w:r>
        <w:rPr>
          <w:rFonts w:cs="Segoe UI"/>
          <w:szCs w:val="20"/>
        </w:rPr>
        <w:t>á</w:t>
      </w:r>
      <w:r w:rsidRPr="00AB021D">
        <w:rPr>
          <w:rFonts w:cs="Segoe UI"/>
          <w:szCs w:val="20"/>
        </w:rPr>
        <w:t xml:space="preserve"> valorizáci</w:t>
      </w:r>
      <w:r>
        <w:rPr>
          <w:rFonts w:cs="Segoe UI"/>
          <w:szCs w:val="20"/>
        </w:rPr>
        <w:t>a</w:t>
      </w:r>
      <w:r w:rsidRPr="00AB021D">
        <w:rPr>
          <w:rFonts w:cs="Segoe UI"/>
          <w:szCs w:val="20"/>
        </w:rPr>
        <w:t xml:space="preserve"> dôchodkov a dlhš</w:t>
      </w:r>
      <w:r>
        <w:rPr>
          <w:rFonts w:cs="Segoe UI"/>
          <w:szCs w:val="20"/>
        </w:rPr>
        <w:t>ie</w:t>
      </w:r>
      <w:r w:rsidRPr="00AB021D">
        <w:rPr>
          <w:rFonts w:cs="Segoe UI"/>
          <w:szCs w:val="20"/>
        </w:rPr>
        <w:t xml:space="preserve"> obdob</w:t>
      </w:r>
      <w:r>
        <w:rPr>
          <w:rFonts w:cs="Segoe UI"/>
          <w:szCs w:val="20"/>
        </w:rPr>
        <w:t>ie</w:t>
      </w:r>
      <w:r w:rsidRPr="00AB021D">
        <w:rPr>
          <w:rFonts w:cs="Segoe UI"/>
          <w:szCs w:val="20"/>
        </w:rPr>
        <w:t xml:space="preserve"> poberania vdovského a vdoveckého dôchodku</w:t>
      </w:r>
      <w:r>
        <w:rPr>
          <w:rFonts w:cs="Segoe UI"/>
          <w:szCs w:val="20"/>
        </w:rPr>
        <w:t>.</w:t>
      </w:r>
    </w:p>
    <w:tbl>
      <w:tblPr>
        <w:tblStyle w:val="Mriekatabuky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9"/>
        <w:gridCol w:w="4019"/>
        <w:gridCol w:w="222"/>
      </w:tblGrid>
      <w:tr w:rsidR="00F92886" w:rsidRPr="00D40AB4" w14:paraId="30B94ADD" w14:textId="77777777" w:rsidTr="004A05BA">
        <w:trPr>
          <w:trHeight w:val="197"/>
        </w:trPr>
        <w:tc>
          <w:tcPr>
            <w:tcW w:w="2505" w:type="pct"/>
            <w:tcBorders>
              <w:bottom w:val="single" w:sz="4" w:space="0" w:color="314364"/>
            </w:tcBorders>
            <w:shd w:val="clear" w:color="auto" w:fill="auto"/>
          </w:tcPr>
          <w:p w14:paraId="2E7880DD" w14:textId="77777777" w:rsidR="00F92886" w:rsidRPr="00D40AB4" w:rsidRDefault="00F92886" w:rsidP="004A05BA">
            <w:pPr>
              <w:pStyle w:val="Popis"/>
              <w:keepNext/>
              <w:ind w:right="-108"/>
              <w:jc w:val="left"/>
              <w:rPr>
                <w:color w:val="314364"/>
              </w:rPr>
            </w:pPr>
            <w:r w:rsidRPr="00D40AB4">
              <w:rPr>
                <w:color w:val="314364"/>
              </w:rPr>
              <w:t>Graf</w:t>
            </w:r>
            <w:r>
              <w:rPr>
                <w:color w:val="314364"/>
              </w:rPr>
              <w:t xml:space="preserve"> 16</w:t>
            </w:r>
            <w:r w:rsidRPr="00D40AB4">
              <w:rPr>
                <w:color w:val="314364"/>
              </w:rPr>
              <w:t xml:space="preserve">: </w:t>
            </w:r>
            <w:r>
              <w:rPr>
                <w:color w:val="314364"/>
              </w:rPr>
              <w:t>Príjmy SP z poistného od EAO a z poistného od štátu v</w:t>
            </w:r>
            <w:r>
              <w:rPr>
                <w:rFonts w:eastAsia="Calibri" w:cs="Times New Roman"/>
                <w:color w:val="314364"/>
              </w:rPr>
              <w:t xml:space="preserve"> období 2013 až 2024 (v mil. eur)</w:t>
            </w:r>
          </w:p>
        </w:tc>
        <w:tc>
          <w:tcPr>
            <w:tcW w:w="2378" w:type="pct"/>
            <w:tcBorders>
              <w:bottom w:val="single" w:sz="4" w:space="0" w:color="314364"/>
            </w:tcBorders>
            <w:shd w:val="clear" w:color="auto" w:fill="auto"/>
          </w:tcPr>
          <w:p w14:paraId="5FF46457" w14:textId="77777777" w:rsidR="00F92886" w:rsidRPr="00D40AB4" w:rsidRDefault="00F92886" w:rsidP="004A05BA">
            <w:pPr>
              <w:pStyle w:val="Popis"/>
              <w:keepNext/>
              <w:ind w:left="8"/>
              <w:jc w:val="left"/>
              <w:rPr>
                <w:color w:val="314364"/>
              </w:rPr>
            </w:pPr>
            <w:r w:rsidRPr="00D40AB4">
              <w:rPr>
                <w:color w:val="314364"/>
              </w:rPr>
              <w:t xml:space="preserve">Graf </w:t>
            </w:r>
            <w:r>
              <w:rPr>
                <w:color w:val="314364"/>
              </w:rPr>
              <w:t>17: Vývoj transferov zo ŠR v období 2013 až 2024 (v mil. eur)</w:t>
            </w:r>
          </w:p>
        </w:tc>
        <w:tc>
          <w:tcPr>
            <w:tcW w:w="118" w:type="pct"/>
            <w:tcBorders>
              <w:bottom w:val="single" w:sz="4" w:space="0" w:color="314364"/>
            </w:tcBorders>
          </w:tcPr>
          <w:p w14:paraId="3DBA5770" w14:textId="77777777" w:rsidR="00F92886" w:rsidRPr="00D40AB4" w:rsidRDefault="00F92886" w:rsidP="004A05BA">
            <w:pPr>
              <w:pStyle w:val="Popis"/>
              <w:keepNext/>
              <w:ind w:left="8"/>
              <w:jc w:val="left"/>
              <w:rPr>
                <w:color w:val="314364"/>
              </w:rPr>
            </w:pPr>
          </w:p>
        </w:tc>
      </w:tr>
      <w:tr w:rsidR="00F92886" w:rsidRPr="00402675" w14:paraId="27869A99" w14:textId="77777777" w:rsidTr="004A05BA">
        <w:tblPrEx>
          <w:tblCellMar>
            <w:left w:w="70" w:type="dxa"/>
            <w:right w:w="70" w:type="dxa"/>
          </w:tblCellMar>
        </w:tblPrEx>
        <w:trPr>
          <w:trHeight w:val="3402"/>
        </w:trPr>
        <w:tc>
          <w:tcPr>
            <w:tcW w:w="2505" w:type="pct"/>
            <w:tcBorders>
              <w:top w:val="single" w:sz="4" w:space="0" w:color="314364"/>
              <w:bottom w:val="single" w:sz="4" w:space="0" w:color="314364"/>
            </w:tcBorders>
            <w:vAlign w:val="center"/>
          </w:tcPr>
          <w:p w14:paraId="4F79DEB2" w14:textId="77777777" w:rsidR="00F92886" w:rsidRPr="00402675" w:rsidRDefault="00F92886" w:rsidP="004A05BA">
            <w:pPr>
              <w:spacing w:after="0"/>
              <w:rPr>
                <w:rFonts w:cs="Segoe UI"/>
                <w:b/>
                <w:szCs w:val="20"/>
              </w:rPr>
            </w:pPr>
            <w:r>
              <w:rPr>
                <w:noProof/>
                <w:lang w:eastAsia="sk-SK"/>
              </w:rPr>
              <w:drawing>
                <wp:inline distT="0" distB="0" distL="0" distR="0" wp14:anchorId="0F7855ED" wp14:editId="16851EDF">
                  <wp:extent cx="3086100" cy="2156460"/>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2378" w:type="pct"/>
            <w:tcBorders>
              <w:top w:val="single" w:sz="4" w:space="0" w:color="314364"/>
              <w:bottom w:val="single" w:sz="4" w:space="0" w:color="314364"/>
            </w:tcBorders>
            <w:vAlign w:val="center"/>
          </w:tcPr>
          <w:p w14:paraId="11612769" w14:textId="77777777" w:rsidR="00F92886" w:rsidRPr="00402675" w:rsidRDefault="00F92886" w:rsidP="004A05BA">
            <w:pPr>
              <w:spacing w:after="0"/>
              <w:rPr>
                <w:rFonts w:cs="Segoe UI"/>
                <w:b/>
                <w:szCs w:val="20"/>
              </w:rPr>
            </w:pPr>
            <w:r>
              <w:rPr>
                <w:noProof/>
                <w:lang w:eastAsia="sk-SK"/>
              </w:rPr>
              <w:drawing>
                <wp:inline distT="0" distB="0" distL="0" distR="0" wp14:anchorId="0BFE0637" wp14:editId="2B411E1C">
                  <wp:extent cx="2545080" cy="2110740"/>
                  <wp:effectExtent l="0" t="0" r="7620" b="381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118" w:type="pct"/>
            <w:tcBorders>
              <w:top w:val="single" w:sz="4" w:space="0" w:color="314364"/>
              <w:bottom w:val="single" w:sz="4" w:space="0" w:color="314364"/>
            </w:tcBorders>
          </w:tcPr>
          <w:p w14:paraId="5731AB54" w14:textId="77777777" w:rsidR="00F92886" w:rsidRDefault="00F92886" w:rsidP="004A05BA">
            <w:pPr>
              <w:rPr>
                <w:noProof/>
                <w:lang w:eastAsia="sk-SK"/>
              </w:rPr>
            </w:pPr>
          </w:p>
        </w:tc>
      </w:tr>
    </w:tbl>
    <w:p w14:paraId="71E59454" w14:textId="77777777" w:rsidR="00F92886" w:rsidRDefault="00F92886" w:rsidP="00F92886">
      <w:pPr>
        <w:pStyle w:val="Zdroj"/>
      </w:pPr>
      <w:r>
        <w:t xml:space="preserve">Zdroj: SP, spracovanie </w:t>
      </w:r>
      <w:r w:rsidRPr="0033663A">
        <w:t>NKÚ</w:t>
      </w:r>
      <w:r>
        <w:t xml:space="preserve"> SR</w:t>
      </w:r>
    </w:p>
    <w:p w14:paraId="688E067B" w14:textId="448CDB0E" w:rsidR="00217D25" w:rsidRDefault="00217D25" w:rsidP="00217D25">
      <w:pPr>
        <w:rPr>
          <w:rFonts w:cs="Segoe UI"/>
          <w:szCs w:val="20"/>
        </w:rPr>
      </w:pPr>
      <w:r w:rsidRPr="007C1487">
        <w:rPr>
          <w:rFonts w:cs="Segoe UI"/>
          <w:b/>
          <w:szCs w:val="20"/>
        </w:rPr>
        <w:t xml:space="preserve">NKÚ v tejto súvislosti upozorňuje na </w:t>
      </w:r>
      <w:r>
        <w:rPr>
          <w:rFonts w:cs="Segoe UI"/>
          <w:b/>
          <w:szCs w:val="20"/>
        </w:rPr>
        <w:t xml:space="preserve">príliš vysoký </w:t>
      </w:r>
      <w:r w:rsidRPr="007C1487">
        <w:rPr>
          <w:rFonts w:cs="Segoe UI"/>
          <w:b/>
          <w:szCs w:val="20"/>
        </w:rPr>
        <w:t xml:space="preserve"> transfer zo </w:t>
      </w:r>
      <w:r>
        <w:rPr>
          <w:rFonts w:cs="Segoe UI"/>
          <w:b/>
          <w:szCs w:val="20"/>
        </w:rPr>
        <w:t>ŠR</w:t>
      </w:r>
      <w:r w:rsidRPr="0029471F">
        <w:rPr>
          <w:rFonts w:cs="Segoe UI"/>
          <w:szCs w:val="20"/>
        </w:rPr>
        <w:t>, ktorý</w:t>
      </w:r>
      <w:r>
        <w:rPr>
          <w:rFonts w:cs="Segoe UI"/>
          <w:b/>
          <w:szCs w:val="20"/>
        </w:rPr>
        <w:t xml:space="preserve"> </w:t>
      </w:r>
      <w:r>
        <w:rPr>
          <w:rFonts w:cs="Segoe UI"/>
          <w:szCs w:val="20"/>
        </w:rPr>
        <w:t>v zmysle zákona č. 461/2003 Z.</w:t>
      </w:r>
      <w:r w:rsidR="0029471F">
        <w:rPr>
          <w:rFonts w:cs="Segoe UI"/>
          <w:szCs w:val="20"/>
        </w:rPr>
        <w:t xml:space="preserve"> </w:t>
      </w:r>
      <w:r>
        <w:rPr>
          <w:rFonts w:cs="Segoe UI"/>
          <w:szCs w:val="20"/>
        </w:rPr>
        <w:t xml:space="preserve">z. má zabezpečiť platobnú schopnosť základných fondov Sociálne poisťovne. V navrhovanom rozpočte sa spomína jeho využitie na rodičovský dôchodok ako aj na valorizáciu dôchodkov.  Na druhej strane aj samotné príjmy SP z poistného od EAO sa zvýšia o 1 mld. eur, čo by mohlo vytvoriť rezervu pre zvýšené dôchodkové dávky. NKÚ SR súčasne poukazuje na predčasný starobný dôchodok po odpracovaní 40 rokoch, nakoľko sa eviduje zvýšený záujem zo strany budúcich dôchodcov kvôli výhodnejším podmienkam, čo tiež prinesie vyššie výdavky. Podľa daňovej prognózy IFP sa očakáva v roku 2023 13 tisíc žiadateľov a v roku 2024 až </w:t>
      </w:r>
      <w:r w:rsidRPr="00583739">
        <w:rPr>
          <w:rFonts w:cs="Segoe UI"/>
          <w:szCs w:val="20"/>
        </w:rPr>
        <w:t>21 tis. žiadateľov</w:t>
      </w:r>
      <w:r w:rsidRPr="00583739">
        <w:rPr>
          <w:rFonts w:cs="Segoe UI"/>
          <w:szCs w:val="20"/>
          <w:vertAlign w:val="superscript"/>
        </w:rPr>
        <w:footnoteReference w:id="35"/>
      </w:r>
      <w:r w:rsidRPr="00583739">
        <w:rPr>
          <w:rFonts w:cs="Segoe UI"/>
          <w:szCs w:val="20"/>
        </w:rPr>
        <w:t>.</w:t>
      </w:r>
      <w:r>
        <w:rPr>
          <w:rFonts w:cs="Segoe UI"/>
          <w:szCs w:val="20"/>
        </w:rPr>
        <w:t xml:space="preserve"> Plnohodnotný 13. dôchodok sa už v kapitole  MPSVR SR nenachádza, ale je vo VPS vo forme rozpočtovej rezervy odkiaľ bude presunutý v čase jeho výplaty do rozpočtu SP.</w:t>
      </w:r>
    </w:p>
    <w:p w14:paraId="323B8467" w14:textId="34E007EC" w:rsidR="002A58E5" w:rsidRPr="009E7C7A" w:rsidRDefault="002A58E5" w:rsidP="002A58E5">
      <w:pPr>
        <w:pStyle w:val="Nadpis3"/>
      </w:pPr>
      <w:r>
        <w:t xml:space="preserve"> </w:t>
      </w:r>
      <w:bookmarkStart w:id="33" w:name="_Toc153784708"/>
      <w:r w:rsidRPr="009E7C7A">
        <w:t>Sociálne dávky a opatrenia</w:t>
      </w:r>
      <w:bookmarkEnd w:id="33"/>
      <w:r w:rsidRPr="009E7C7A">
        <w:t xml:space="preserve"> </w:t>
      </w:r>
    </w:p>
    <w:p w14:paraId="395C2785" w14:textId="77777777" w:rsidR="000D631B" w:rsidRDefault="000D631B" w:rsidP="000D631B">
      <w:pPr>
        <w:rPr>
          <w:rFonts w:cs="Segoe UI"/>
          <w:szCs w:val="20"/>
        </w:rPr>
      </w:pPr>
      <w:r w:rsidRPr="00217674">
        <w:rPr>
          <w:rFonts w:cs="Segoe UI"/>
          <w:b/>
          <w:szCs w:val="20"/>
        </w:rPr>
        <w:t>V rozpočte kapitoly rezortu práce sa vláda bude musieť vyrovnať aj s predchádzajúcimi prijatými legislatívnymi zmenami v sociálnom systéme</w:t>
      </w:r>
      <w:r>
        <w:rPr>
          <w:rFonts w:cs="Segoe UI"/>
          <w:szCs w:val="20"/>
        </w:rPr>
        <w:t xml:space="preserve"> ako je </w:t>
      </w:r>
      <w:r w:rsidRPr="00D12F31">
        <w:rPr>
          <w:rFonts w:cs="Segoe UI"/>
          <w:szCs w:val="20"/>
        </w:rPr>
        <w:t>opätovné zavedenie obedov zadarmo pre všetky deti v ZŠ a v poslednom ročníku MŠ (</w:t>
      </w:r>
      <w:r>
        <w:rPr>
          <w:rFonts w:cs="Segoe UI"/>
          <w:szCs w:val="20"/>
        </w:rPr>
        <w:t xml:space="preserve">207 </w:t>
      </w:r>
      <w:r w:rsidRPr="00D12F31">
        <w:rPr>
          <w:rFonts w:cs="Segoe UI"/>
          <w:szCs w:val="20"/>
        </w:rPr>
        <w:t>mil. eur), pred</w:t>
      </w:r>
      <w:r>
        <w:rPr>
          <w:rFonts w:cs="Segoe UI"/>
          <w:szCs w:val="20"/>
        </w:rPr>
        <w:t>ĺ</w:t>
      </w:r>
      <w:r w:rsidRPr="00D12F31">
        <w:rPr>
          <w:rFonts w:cs="Segoe UI"/>
          <w:szCs w:val="20"/>
        </w:rPr>
        <w:t>ženie obdobia nároku na rodičovský príspevok v súvislosti s neumiestnením dieťaťa v MŠ (</w:t>
      </w:r>
      <w:r>
        <w:rPr>
          <w:rFonts w:cs="Segoe UI"/>
          <w:szCs w:val="20"/>
        </w:rPr>
        <w:t xml:space="preserve">136 </w:t>
      </w:r>
      <w:r w:rsidRPr="00D12F31">
        <w:rPr>
          <w:rFonts w:cs="Segoe UI"/>
          <w:szCs w:val="20"/>
        </w:rPr>
        <w:t>mil. eur</w:t>
      </w:r>
      <w:r>
        <w:rPr>
          <w:rFonts w:cs="Segoe UI"/>
          <w:szCs w:val="20"/>
        </w:rPr>
        <w:t>, čím sa zvýši rozpočet na rodičovský príspevok na 861,7 mil. eur</w:t>
      </w:r>
      <w:r w:rsidRPr="00D12F31">
        <w:rPr>
          <w:rFonts w:cs="Segoe UI"/>
          <w:szCs w:val="20"/>
        </w:rPr>
        <w:t>), zvýšený prídavok na dieťa (</w:t>
      </w:r>
      <w:r>
        <w:rPr>
          <w:rFonts w:cs="Segoe UI"/>
          <w:szCs w:val="20"/>
        </w:rPr>
        <w:t xml:space="preserve">828 </w:t>
      </w:r>
      <w:r w:rsidRPr="00D12F31">
        <w:rPr>
          <w:rFonts w:cs="Segoe UI"/>
          <w:szCs w:val="20"/>
        </w:rPr>
        <w:t>mil. eur)</w:t>
      </w:r>
      <w:r>
        <w:rPr>
          <w:rFonts w:cs="Segoe UI"/>
          <w:szCs w:val="20"/>
        </w:rPr>
        <w:t xml:space="preserve">, zvýšenie príspevku na poskytovanie </w:t>
      </w:r>
      <w:r>
        <w:rPr>
          <w:rFonts w:cs="Segoe UI"/>
          <w:szCs w:val="20"/>
        </w:rPr>
        <w:lastRenderedPageBreak/>
        <w:t>sociálnych služieb (238 mil. eur) a pod</w:t>
      </w:r>
      <w:r w:rsidRPr="00D12F31">
        <w:rPr>
          <w:rFonts w:cs="Segoe UI"/>
          <w:szCs w:val="20"/>
        </w:rPr>
        <w:t xml:space="preserve">. </w:t>
      </w:r>
      <w:r>
        <w:rPr>
          <w:rFonts w:cs="Segoe UI"/>
          <w:szCs w:val="20"/>
        </w:rPr>
        <w:t xml:space="preserve">Z dôvodu zvýšenia príspevku na opatrovanie a hodinovej sadzby osobnej asistencie sa zvýšia výdavky na kompenzáciu následkov ťažkého zdravotného postihnutia o 106 mil. eur na 668,1 mil. eur.  </w:t>
      </w:r>
      <w:r w:rsidRPr="00D12F31">
        <w:rPr>
          <w:rFonts w:cs="Segoe UI"/>
          <w:szCs w:val="20"/>
        </w:rPr>
        <w:t xml:space="preserve">Predsunutá valorizácia pomoci v hmotnej núdzi z januára 2024 na október 2023 </w:t>
      </w:r>
      <w:r>
        <w:rPr>
          <w:rFonts w:cs="Segoe UI"/>
          <w:szCs w:val="20"/>
        </w:rPr>
        <w:t xml:space="preserve">prinesie celkové výdavky v sume 193,1 mil. eur. </w:t>
      </w:r>
    </w:p>
    <w:p w14:paraId="1F64F64E" w14:textId="77777777" w:rsidR="000D631B" w:rsidRPr="00551DAB" w:rsidRDefault="000D631B" w:rsidP="000D631B">
      <w:pPr>
        <w:rPr>
          <w:rFonts w:eastAsia="Times New Roman" w:cs="Segoe UI"/>
          <w:color w:val="000000"/>
          <w:szCs w:val="20"/>
          <w:lang w:eastAsia="sk-SK"/>
        </w:rPr>
      </w:pPr>
      <w:r w:rsidRPr="007C1487">
        <w:rPr>
          <w:rFonts w:eastAsia="Times New Roman" w:cs="Segoe UI"/>
          <w:b/>
          <w:color w:val="000000"/>
          <w:szCs w:val="20"/>
          <w:lang w:eastAsia="sk-SK"/>
        </w:rPr>
        <w:t>Zníženie, resp. zrušenie hociktorej z týchto dávok, či pomoci by síce prinieslo zlepšenie verejných financií, avšak na strane druhej zhoršenie sociálnej situácie obyvateľstva a pád do ešte väčšej chudoby.</w:t>
      </w:r>
      <w:r w:rsidRPr="00D12F31">
        <w:rPr>
          <w:rFonts w:eastAsia="Times New Roman" w:cs="Segoe UI"/>
          <w:color w:val="000000"/>
          <w:szCs w:val="20"/>
          <w:lang w:eastAsia="sk-SK"/>
        </w:rPr>
        <w:t xml:space="preserve"> </w:t>
      </w:r>
      <w:r>
        <w:rPr>
          <w:rFonts w:eastAsia="Times New Roman" w:cs="Segoe UI"/>
          <w:color w:val="000000"/>
          <w:szCs w:val="20"/>
          <w:lang w:eastAsia="sk-SK"/>
        </w:rPr>
        <w:t xml:space="preserve">Neprospieva tomu ani nízka úroveň príjmov na Slovensku, ktorá nás radí medzi posledných v EÚ27. </w:t>
      </w:r>
      <w:r w:rsidRPr="00D12F31">
        <w:rPr>
          <w:rFonts w:eastAsia="Times New Roman" w:cs="Segoe UI"/>
          <w:color w:val="000000"/>
          <w:szCs w:val="20"/>
          <w:lang w:eastAsia="sk-SK"/>
        </w:rPr>
        <w:t>Podľa údajov z posledného EU SILC sa od roku 2020 miera rizika chudoby alebo sociálneho vylúčenia zvyšuje ako aj počet ľudí v pásme chudoby</w:t>
      </w:r>
      <w:r>
        <w:rPr>
          <w:rFonts w:eastAsia="Times New Roman" w:cs="Segoe UI"/>
          <w:color w:val="000000"/>
          <w:szCs w:val="20"/>
          <w:lang w:eastAsia="sk-SK"/>
        </w:rPr>
        <w:t xml:space="preserve">. </w:t>
      </w:r>
      <w:r w:rsidRPr="00CC35DE">
        <w:rPr>
          <w:rFonts w:eastAsia="Times New Roman" w:cs="Segoe UI"/>
          <w:color w:val="000000"/>
          <w:szCs w:val="20"/>
          <w:lang w:eastAsia="sk-SK"/>
        </w:rPr>
        <w:t xml:space="preserve">V roku 2022 sa v nej nachádzalo 888 tis. osôb, z toho 252 tis. detí do 18 rokov </w:t>
      </w:r>
      <w:r w:rsidRPr="00D12F31">
        <w:rPr>
          <w:rFonts w:eastAsia="Times New Roman" w:cs="Segoe UI"/>
          <w:color w:val="000000"/>
          <w:szCs w:val="20"/>
          <w:lang w:eastAsia="sk-SK"/>
        </w:rPr>
        <w:t xml:space="preserve">(graf </w:t>
      </w:r>
      <w:r>
        <w:rPr>
          <w:rFonts w:eastAsia="Times New Roman" w:cs="Segoe UI"/>
          <w:color w:val="000000"/>
          <w:szCs w:val="20"/>
          <w:lang w:eastAsia="sk-SK"/>
        </w:rPr>
        <w:t>18</w:t>
      </w:r>
      <w:r w:rsidRPr="00D12F31">
        <w:rPr>
          <w:rFonts w:eastAsia="Times New Roman" w:cs="Segoe UI"/>
          <w:color w:val="000000"/>
          <w:szCs w:val="20"/>
          <w:lang w:eastAsia="sk-SK"/>
        </w:rPr>
        <w:t xml:space="preserve">). Najvýraznejšie je </w:t>
      </w:r>
      <w:r>
        <w:rPr>
          <w:rFonts w:eastAsia="Times New Roman" w:cs="Segoe UI"/>
          <w:color w:val="000000"/>
          <w:szCs w:val="20"/>
          <w:lang w:eastAsia="sk-SK"/>
        </w:rPr>
        <w:t xml:space="preserve">miera rizika chudoby </w:t>
      </w:r>
      <w:r w:rsidRPr="00D12F31">
        <w:rPr>
          <w:rFonts w:eastAsia="Times New Roman" w:cs="Segoe UI"/>
          <w:color w:val="000000"/>
          <w:szCs w:val="20"/>
          <w:lang w:eastAsia="sk-SK"/>
        </w:rPr>
        <w:t>badateľn</w:t>
      </w:r>
      <w:r>
        <w:rPr>
          <w:rFonts w:eastAsia="Times New Roman" w:cs="Segoe UI"/>
          <w:color w:val="000000"/>
          <w:szCs w:val="20"/>
          <w:lang w:eastAsia="sk-SK"/>
        </w:rPr>
        <w:t>á</w:t>
      </w:r>
      <w:r w:rsidRPr="00D12F31">
        <w:rPr>
          <w:rFonts w:eastAsia="Times New Roman" w:cs="Segoe UI"/>
          <w:color w:val="000000"/>
          <w:szCs w:val="20"/>
          <w:lang w:eastAsia="sk-SK"/>
        </w:rPr>
        <w:t xml:space="preserve"> v Prešovskom (25,2 %), Banskobystrickom (22,0 %) a Košickom kraji (21,0 %), čo je nad úrovňou Slovenska (16,5 %) (graf</w:t>
      </w:r>
      <w:r>
        <w:rPr>
          <w:rFonts w:eastAsia="Times New Roman" w:cs="Segoe UI"/>
          <w:color w:val="000000"/>
          <w:szCs w:val="20"/>
          <w:lang w:eastAsia="sk-SK"/>
        </w:rPr>
        <w:t xml:space="preserve"> 19</w:t>
      </w:r>
      <w:r w:rsidRPr="00D12F31">
        <w:rPr>
          <w:rFonts w:eastAsia="Times New Roman" w:cs="Segoe UI"/>
          <w:color w:val="000000"/>
          <w:szCs w:val="20"/>
          <w:lang w:eastAsia="sk-SK"/>
        </w:rPr>
        <w:t>).</w:t>
      </w:r>
      <w:r>
        <w:rPr>
          <w:rFonts w:eastAsia="Times New Roman" w:cs="Segoe UI"/>
          <w:color w:val="000000"/>
          <w:szCs w:val="20"/>
          <w:lang w:eastAsia="sk-SK"/>
        </w:rPr>
        <w:t xml:space="preserve"> </w:t>
      </w:r>
    </w:p>
    <w:tbl>
      <w:tblPr>
        <w:tblStyle w:val="Mriekatabuky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4156"/>
        <w:gridCol w:w="222"/>
      </w:tblGrid>
      <w:tr w:rsidR="000D631B" w:rsidRPr="00D40AB4" w14:paraId="2EFA1FB9" w14:textId="77777777" w:rsidTr="006056E7">
        <w:trPr>
          <w:trHeight w:val="139"/>
        </w:trPr>
        <w:tc>
          <w:tcPr>
            <w:tcW w:w="0" w:type="auto"/>
            <w:tcBorders>
              <w:bottom w:val="single" w:sz="4" w:space="0" w:color="314364"/>
            </w:tcBorders>
            <w:shd w:val="clear" w:color="auto" w:fill="auto"/>
          </w:tcPr>
          <w:p w14:paraId="7F49D1C5" w14:textId="77777777" w:rsidR="000D631B" w:rsidRPr="00D40AB4" w:rsidRDefault="000D631B" w:rsidP="006056E7">
            <w:pPr>
              <w:pStyle w:val="Popis"/>
              <w:keepNext/>
              <w:rPr>
                <w:color w:val="314364"/>
              </w:rPr>
            </w:pPr>
            <w:r w:rsidRPr="00D40AB4">
              <w:rPr>
                <w:color w:val="314364"/>
              </w:rPr>
              <w:t>Graf</w:t>
            </w:r>
            <w:r>
              <w:rPr>
                <w:color w:val="314364"/>
              </w:rPr>
              <w:t xml:space="preserve"> 18</w:t>
            </w:r>
            <w:r w:rsidRPr="00D40AB4">
              <w:rPr>
                <w:color w:val="314364"/>
              </w:rPr>
              <w:t xml:space="preserve">: </w:t>
            </w:r>
            <w:r>
              <w:rPr>
                <w:color w:val="314364"/>
              </w:rPr>
              <w:t>Vývoj počtu osôb a počtu detí do 18 rokov v riziku chudoby alebo sociálneho vylúčenia v SR v 2015 - 2022 (v tis. osôb)</w:t>
            </w:r>
          </w:p>
        </w:tc>
        <w:tc>
          <w:tcPr>
            <w:tcW w:w="0" w:type="auto"/>
            <w:tcBorders>
              <w:bottom w:val="single" w:sz="4" w:space="0" w:color="314364"/>
            </w:tcBorders>
            <w:shd w:val="clear" w:color="auto" w:fill="auto"/>
          </w:tcPr>
          <w:p w14:paraId="4E015EB0" w14:textId="77777777" w:rsidR="000D631B" w:rsidRPr="00D40AB4" w:rsidRDefault="000D631B" w:rsidP="006056E7">
            <w:pPr>
              <w:pStyle w:val="Popis"/>
              <w:keepNext/>
              <w:ind w:left="8"/>
              <w:jc w:val="left"/>
              <w:rPr>
                <w:color w:val="314364"/>
              </w:rPr>
            </w:pPr>
            <w:r w:rsidRPr="00D40AB4">
              <w:rPr>
                <w:color w:val="314364"/>
              </w:rPr>
              <w:t xml:space="preserve">Graf </w:t>
            </w:r>
            <w:r>
              <w:rPr>
                <w:color w:val="314364"/>
              </w:rPr>
              <w:t>19: Miera rizika chudoby alebo sociálneho vylúčenia v krajoch (%)</w:t>
            </w:r>
          </w:p>
        </w:tc>
        <w:tc>
          <w:tcPr>
            <w:tcW w:w="0" w:type="auto"/>
            <w:tcBorders>
              <w:bottom w:val="single" w:sz="4" w:space="0" w:color="314364"/>
            </w:tcBorders>
          </w:tcPr>
          <w:p w14:paraId="259A63F9" w14:textId="77777777" w:rsidR="000D631B" w:rsidRPr="00D40AB4" w:rsidRDefault="000D631B" w:rsidP="006056E7">
            <w:pPr>
              <w:pStyle w:val="Popis"/>
              <w:keepNext/>
              <w:ind w:left="8"/>
              <w:jc w:val="left"/>
              <w:rPr>
                <w:color w:val="314364"/>
              </w:rPr>
            </w:pPr>
          </w:p>
        </w:tc>
      </w:tr>
      <w:tr w:rsidR="000D631B" w:rsidRPr="00402675" w14:paraId="023D6700" w14:textId="77777777" w:rsidTr="006056E7">
        <w:tblPrEx>
          <w:tblCellMar>
            <w:left w:w="70" w:type="dxa"/>
            <w:right w:w="70" w:type="dxa"/>
          </w:tblCellMar>
        </w:tblPrEx>
        <w:trPr>
          <w:trHeight w:val="3402"/>
        </w:trPr>
        <w:tc>
          <w:tcPr>
            <w:tcW w:w="0" w:type="auto"/>
            <w:tcBorders>
              <w:top w:val="single" w:sz="4" w:space="0" w:color="314364"/>
              <w:bottom w:val="single" w:sz="4" w:space="0" w:color="314364"/>
            </w:tcBorders>
            <w:vAlign w:val="center"/>
          </w:tcPr>
          <w:p w14:paraId="4C9FD4FF" w14:textId="77777777" w:rsidR="000D631B" w:rsidRPr="00402675" w:rsidRDefault="000D631B" w:rsidP="006056E7">
            <w:pPr>
              <w:spacing w:after="0"/>
              <w:rPr>
                <w:rFonts w:cs="Segoe UI"/>
                <w:b/>
                <w:szCs w:val="20"/>
              </w:rPr>
            </w:pPr>
            <w:r>
              <w:rPr>
                <w:noProof/>
                <w:lang w:eastAsia="sk-SK"/>
              </w:rPr>
              <w:drawing>
                <wp:inline distT="0" distB="0" distL="0" distR="0" wp14:anchorId="331CC0DA" wp14:editId="711F32D3">
                  <wp:extent cx="3063240" cy="2141220"/>
                  <wp:effectExtent l="0" t="0" r="381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0" w:type="auto"/>
            <w:tcBorders>
              <w:top w:val="single" w:sz="4" w:space="0" w:color="314364"/>
              <w:bottom w:val="single" w:sz="4" w:space="0" w:color="314364"/>
            </w:tcBorders>
            <w:vAlign w:val="center"/>
          </w:tcPr>
          <w:p w14:paraId="2ABB1DD8" w14:textId="77777777" w:rsidR="000D631B" w:rsidRPr="00402675" w:rsidRDefault="000D631B" w:rsidP="006056E7">
            <w:pPr>
              <w:spacing w:after="0"/>
              <w:rPr>
                <w:rFonts w:cs="Segoe UI"/>
                <w:b/>
                <w:szCs w:val="20"/>
              </w:rPr>
            </w:pPr>
            <w:r>
              <w:rPr>
                <w:noProof/>
                <w:lang w:eastAsia="sk-SK"/>
              </w:rPr>
              <w:drawing>
                <wp:inline distT="0" distB="0" distL="0" distR="0" wp14:anchorId="54EDBB5E" wp14:editId="3F39E296">
                  <wp:extent cx="2697480" cy="2118360"/>
                  <wp:effectExtent l="0" t="0" r="762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0" w:type="auto"/>
            <w:tcBorders>
              <w:top w:val="single" w:sz="4" w:space="0" w:color="314364"/>
              <w:bottom w:val="single" w:sz="4" w:space="0" w:color="314364"/>
            </w:tcBorders>
          </w:tcPr>
          <w:p w14:paraId="6774ADD3" w14:textId="77777777" w:rsidR="000D631B" w:rsidRDefault="000D631B" w:rsidP="006056E7">
            <w:pPr>
              <w:rPr>
                <w:noProof/>
                <w:lang w:eastAsia="sk-SK"/>
              </w:rPr>
            </w:pPr>
          </w:p>
        </w:tc>
      </w:tr>
    </w:tbl>
    <w:p w14:paraId="08A51B55" w14:textId="77777777" w:rsidR="000D631B" w:rsidRDefault="000D631B" w:rsidP="000D631B">
      <w:pPr>
        <w:pStyle w:val="Zdroj"/>
      </w:pPr>
      <w:r>
        <w:t xml:space="preserve">Zdroj: Eurostat, EU SILC 2022, </w:t>
      </w:r>
      <w:r w:rsidRPr="00434A21">
        <w:t>spracovanie</w:t>
      </w:r>
      <w:r>
        <w:t xml:space="preserve"> NKÚ SR</w:t>
      </w:r>
    </w:p>
    <w:p w14:paraId="4116456D" w14:textId="77777777" w:rsidR="000D631B" w:rsidRPr="006D3CB0" w:rsidRDefault="000D631B" w:rsidP="000D631B">
      <w:pPr>
        <w:rPr>
          <w:rFonts w:eastAsia="Times New Roman" w:cs="Segoe UI"/>
          <w:color w:val="000000"/>
          <w:szCs w:val="20"/>
          <w:lang w:eastAsia="sk-SK"/>
        </w:rPr>
      </w:pPr>
      <w:r w:rsidRPr="007C1487">
        <w:rPr>
          <w:rFonts w:eastAsia="Times New Roman" w:cs="Segoe UI"/>
          <w:b/>
          <w:color w:val="000000"/>
          <w:szCs w:val="20"/>
          <w:lang w:eastAsia="sk-SK"/>
        </w:rPr>
        <w:t>NKÚ SR upozorňuje aj na zvýšenie rizika chudoby alebo sociálneho vylúčenia vo všetkých domácnostiach s deťmi</w:t>
      </w:r>
      <w:r w:rsidRPr="006D3CB0">
        <w:rPr>
          <w:rFonts w:eastAsia="Times New Roman" w:cs="Segoe UI"/>
          <w:color w:val="000000"/>
          <w:szCs w:val="20"/>
          <w:lang w:eastAsia="sk-SK"/>
        </w:rPr>
        <w:t xml:space="preserve">, najvýraznejšie v jednorodičovských </w:t>
      </w:r>
      <w:r>
        <w:rPr>
          <w:rFonts w:eastAsia="Times New Roman" w:cs="Segoe UI"/>
          <w:color w:val="000000"/>
          <w:szCs w:val="20"/>
          <w:lang w:eastAsia="sk-SK"/>
        </w:rPr>
        <w:t xml:space="preserve">s aspoň jedným dieťaťom, ktoré stúplo </w:t>
      </w:r>
      <w:r w:rsidRPr="006D3CB0">
        <w:rPr>
          <w:rFonts w:eastAsia="Times New Roman" w:cs="Segoe UI"/>
          <w:color w:val="000000"/>
          <w:szCs w:val="20"/>
          <w:lang w:eastAsia="sk-SK"/>
        </w:rPr>
        <w:t>o 11,3 p.</w:t>
      </w:r>
      <w:r>
        <w:rPr>
          <w:rFonts w:eastAsia="Times New Roman" w:cs="Segoe UI"/>
          <w:color w:val="000000"/>
          <w:szCs w:val="20"/>
          <w:lang w:eastAsia="sk-SK"/>
        </w:rPr>
        <w:t xml:space="preserve"> </w:t>
      </w:r>
      <w:r w:rsidRPr="006D3CB0">
        <w:rPr>
          <w:rFonts w:eastAsia="Times New Roman" w:cs="Segoe UI"/>
          <w:color w:val="000000"/>
          <w:szCs w:val="20"/>
          <w:lang w:eastAsia="sk-SK"/>
        </w:rPr>
        <w:t>b. oproti roku 2021</w:t>
      </w:r>
      <w:r>
        <w:rPr>
          <w:rFonts w:eastAsia="Times New Roman" w:cs="Segoe UI"/>
          <w:color w:val="000000"/>
          <w:szCs w:val="20"/>
          <w:lang w:eastAsia="sk-SK"/>
        </w:rPr>
        <w:t xml:space="preserve"> (graf 20)</w:t>
      </w:r>
      <w:r w:rsidRPr="006D3CB0">
        <w:rPr>
          <w:rFonts w:eastAsia="Times New Roman" w:cs="Segoe UI"/>
          <w:color w:val="000000"/>
          <w:szCs w:val="20"/>
          <w:lang w:eastAsia="sk-SK"/>
        </w:rPr>
        <w:t>.</w:t>
      </w:r>
    </w:p>
    <w:p w14:paraId="0E724441" w14:textId="77777777" w:rsidR="000D631B" w:rsidRPr="00E94A77" w:rsidRDefault="000D631B" w:rsidP="000D631B">
      <w:pPr>
        <w:pStyle w:val="Popis"/>
        <w:keepNext/>
        <w:rPr>
          <w:color w:val="314364"/>
        </w:rPr>
      </w:pPr>
      <w:r>
        <w:rPr>
          <w:color w:val="314364"/>
        </w:rPr>
        <w:t>Graf 20</w:t>
      </w:r>
      <w:r w:rsidRPr="00E94A77">
        <w:rPr>
          <w:color w:val="314364"/>
        </w:rPr>
        <w:t>: Vývoj miery rizika chudoby alebo sociálneho vylúčenia podľa typu domácnosti v SR v rokoch 2015 až 2022 (%)</w:t>
      </w:r>
    </w:p>
    <w:tbl>
      <w:tblPr>
        <w:tblStyle w:val="Mriekatabuky"/>
        <w:tblW w:w="9356" w:type="dxa"/>
        <w:tblCellMar>
          <w:left w:w="70" w:type="dxa"/>
          <w:right w:w="70" w:type="dxa"/>
        </w:tblCellMar>
        <w:tblLook w:val="04A0" w:firstRow="1" w:lastRow="0" w:firstColumn="1" w:lastColumn="0" w:noHBand="0" w:noVBand="1"/>
      </w:tblPr>
      <w:tblGrid>
        <w:gridCol w:w="9356"/>
      </w:tblGrid>
      <w:tr w:rsidR="000D631B" w:rsidRPr="00ED5C50" w14:paraId="34E90C0C" w14:textId="77777777" w:rsidTr="006056E7">
        <w:trPr>
          <w:trHeight w:val="3402"/>
        </w:trPr>
        <w:tc>
          <w:tcPr>
            <w:tcW w:w="9356" w:type="dxa"/>
            <w:tcBorders>
              <w:top w:val="single" w:sz="4" w:space="0" w:color="314364" w:themeColor="text2"/>
              <w:left w:val="nil"/>
              <w:bottom w:val="single" w:sz="4" w:space="0" w:color="314364" w:themeColor="text2"/>
              <w:right w:val="nil"/>
            </w:tcBorders>
          </w:tcPr>
          <w:p w14:paraId="50B117C0" w14:textId="77777777" w:rsidR="000D631B" w:rsidRPr="00ED5C50" w:rsidRDefault="000D631B" w:rsidP="006056E7">
            <w:pPr>
              <w:spacing w:after="0"/>
              <w:rPr>
                <w:highlight w:val="yellow"/>
              </w:rPr>
            </w:pPr>
            <w:r>
              <w:rPr>
                <w:noProof/>
                <w:lang w:eastAsia="sk-SK"/>
              </w:rPr>
              <w:drawing>
                <wp:inline distT="0" distB="0" distL="0" distR="0" wp14:anchorId="2AB65B60" wp14:editId="30DC4545">
                  <wp:extent cx="5745480" cy="2118360"/>
                  <wp:effectExtent l="0" t="0" r="762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6B800664" w14:textId="77777777" w:rsidR="000D631B" w:rsidRDefault="000D631B" w:rsidP="000D631B">
      <w:pPr>
        <w:pStyle w:val="Zdroj"/>
        <w:spacing w:after="0"/>
      </w:pPr>
      <w:r w:rsidRPr="00E94A77">
        <w:rPr>
          <w:rFonts w:cs="Segoe UI"/>
          <w:noProof/>
          <w:szCs w:val="16"/>
          <w:lang w:eastAsia="sk-SK"/>
        </w:rPr>
        <w:t xml:space="preserve"> </w:t>
      </w:r>
      <w:r w:rsidRPr="00E94A77">
        <w:rPr>
          <w:rFonts w:cs="Segoe UI"/>
          <w:szCs w:val="16"/>
        </w:rPr>
        <w:t>Zdroj: Eurostat</w:t>
      </w:r>
      <w:r>
        <w:rPr>
          <w:rFonts w:cs="Segoe UI"/>
          <w:i w:val="0"/>
          <w:szCs w:val="16"/>
        </w:rPr>
        <w:t xml:space="preserve">, spracovanie </w:t>
      </w:r>
      <w:r>
        <w:t>NKÚ SR</w:t>
      </w:r>
    </w:p>
    <w:p w14:paraId="5097E739" w14:textId="70E9D08C" w:rsidR="00D36B99" w:rsidRDefault="00D36B99" w:rsidP="000D631B">
      <w:pPr>
        <w:pStyle w:val="Nadpis2"/>
      </w:pPr>
      <w:bookmarkStart w:id="34" w:name="_Toc119482912"/>
      <w:bookmarkStart w:id="35" w:name="_Toc153784709"/>
      <w:r>
        <w:lastRenderedPageBreak/>
        <w:t>Vzdelávanie</w:t>
      </w:r>
      <w:bookmarkEnd w:id="34"/>
      <w:bookmarkEnd w:id="35"/>
    </w:p>
    <w:p w14:paraId="0CA10194" w14:textId="0372764C" w:rsidR="00887AA2" w:rsidRPr="0013782A" w:rsidRDefault="00887AA2" w:rsidP="00887AA2">
      <w:r>
        <w:t xml:space="preserve">Pre oblasť vzdelávania sa v PVV nachádzajú </w:t>
      </w:r>
      <w:r w:rsidRPr="00E52809">
        <w:rPr>
          <w:b/>
        </w:rPr>
        <w:t>viaceré krátkodobé priority</w:t>
      </w:r>
      <w:r>
        <w:t xml:space="preserve">.  </w:t>
      </w:r>
      <w:r w:rsidRPr="00E52809">
        <w:rPr>
          <w:b/>
        </w:rPr>
        <w:t xml:space="preserve">Detailnejšie sme </w:t>
      </w:r>
      <w:r w:rsidR="007A35C9">
        <w:rPr>
          <w:b/>
        </w:rPr>
        <w:t>hodnotil</w:t>
      </w:r>
      <w:r w:rsidRPr="00E52809">
        <w:rPr>
          <w:b/>
        </w:rPr>
        <w:t>i</w:t>
      </w:r>
      <w:r w:rsidR="007A35C9">
        <w:rPr>
          <w:b/>
        </w:rPr>
        <w:t xml:space="preserve"> problematiku</w:t>
      </w:r>
      <w:r w:rsidRPr="00E52809">
        <w:rPr>
          <w:b/>
        </w:rPr>
        <w:t xml:space="preserve"> odmeňovania a nedostatku pedagógov a predprimárneho vzdelávania</w:t>
      </w:r>
      <w:r w:rsidRPr="0013782A">
        <w:t>.</w:t>
      </w:r>
      <w:r>
        <w:t xml:space="preserve"> Okrem nich chce vláda v krátkodobom horizonte napríklad zvýšiť normatívy na financovanie ZŠ a SŠ, zaviesť do praxe a udržateľne financovať schválený systém podporných opatrení, posilniť systém poradenstva a prevencie, zabezpečiť rast financovania vysokých škôl, výskumu a vývoja a kultivované, </w:t>
      </w:r>
      <w:proofErr w:type="spellStart"/>
      <w:r>
        <w:t>inkluzívne</w:t>
      </w:r>
      <w:proofErr w:type="spellEnd"/>
      <w:r>
        <w:t xml:space="preserve"> a atraktívne prostredie na ubytovanie študentov či zaviesť individuálne vzdelávacie účty pre celoživotné vzdelávanie. Na zabezpečenie pôsobenia 2 000 pedagogických asistentov a 1 723 odborných zamestnancov a školských špeciálnych pedagógov na ZŠ a SŠ žiadalo ministerstvo na rok 2024 </w:t>
      </w:r>
      <w:r w:rsidR="007A35C9">
        <w:t xml:space="preserve">celkovo </w:t>
      </w:r>
      <w:r>
        <w:t>31 mil. eur.</w:t>
      </w:r>
      <w:r>
        <w:rPr>
          <w:rStyle w:val="Odkaznapoznmkupodiarou"/>
        </w:rPr>
        <w:footnoteReference w:id="36"/>
      </w:r>
      <w:r>
        <w:t xml:space="preserve"> Táto požiadavka bola premietnutá aj do návrhu rozpočtu (34,8 mil. eur). V súvislosti s transformáciou poradenského systému je potrebné</w:t>
      </w:r>
      <w:r w:rsidRPr="00E20EFD">
        <w:t xml:space="preserve"> navýšiť súčasný počet zamestnancov o 400 zamestnancov</w:t>
      </w:r>
      <w:r>
        <w:t xml:space="preserve"> v roku 2024 (10,8 mil. eur).</w:t>
      </w:r>
      <w:r>
        <w:rPr>
          <w:rStyle w:val="Odkaznapoznmkupodiarou"/>
        </w:rPr>
        <w:footnoteReference w:id="37"/>
      </w:r>
      <w:r>
        <w:t xml:space="preserve"> </w:t>
      </w:r>
      <w:r w:rsidRPr="00D174ED">
        <w:t xml:space="preserve">Návrh rozpočtu však s takýmto navýšením nepočíta. </w:t>
      </w:r>
      <w:r w:rsidR="00B505D4">
        <w:t>Otázne je aj</w:t>
      </w:r>
      <w:r w:rsidRPr="00D174ED">
        <w:t xml:space="preserve"> zabezpečenie kultivovaného, inkluzívneho a atraktívneho prostredia na ubytovanie študentov. </w:t>
      </w:r>
      <w:r w:rsidRPr="007A35C9">
        <w:rPr>
          <w:b/>
        </w:rPr>
        <w:t>Kapitálové výdavky verejných vysokých škôl by oproti posledným trom rokom mali byť výrazne nižšie.</w:t>
      </w:r>
      <w:r>
        <w:t xml:space="preserve"> </w:t>
      </w:r>
      <w:r w:rsidR="00B505D4" w:rsidRPr="006205A0">
        <w:t>Z plánu obnovy je na kapitálové investície vysokých škôl v 2024 vyčlenených 44,4 mil. eur. V rokoch 2022 a 2023 sa však na tento účel nepodarilo vy</w:t>
      </w:r>
      <w:r w:rsidR="00B505D4">
        <w:t>čerpať ani</w:t>
      </w:r>
      <w:r w:rsidR="00B505D4" w:rsidRPr="006205A0">
        <w:t xml:space="preserve"> eur</w:t>
      </w:r>
      <w:r w:rsidR="00B505D4">
        <w:t>o</w:t>
      </w:r>
      <w:r w:rsidR="00B505D4" w:rsidRPr="006205A0">
        <w:t>.</w:t>
      </w:r>
      <w:r w:rsidR="00B505D4">
        <w:t xml:space="preserve"> </w:t>
      </w:r>
      <w:r>
        <w:t>Na individuálne vzdelávacie účty by podľa akčného plánu k stratégii celoživotného vzdelávania malo ísť v roku 2024 5 mil. eur.</w:t>
      </w:r>
      <w:r>
        <w:rPr>
          <w:rStyle w:val="Odkaznapoznmkupodiarou"/>
        </w:rPr>
        <w:footnoteReference w:id="38"/>
      </w:r>
      <w:r>
        <w:t xml:space="preserve"> V rokoch 2022 a 2023 sa na tento účel malo vyčerpať 6 mil. eur. Kvôli časovému</w:t>
      </w:r>
      <w:r w:rsidRPr="00D7293B">
        <w:t xml:space="preserve"> posun</w:t>
      </w:r>
      <w:r>
        <w:t>u</w:t>
      </w:r>
      <w:r w:rsidRPr="00D7293B">
        <w:t xml:space="preserve"> prípravy systémového nástroja</w:t>
      </w:r>
      <w:r>
        <w:rPr>
          <w:rStyle w:val="Odkaznapoznmkupodiarou"/>
        </w:rPr>
        <w:footnoteReference w:id="39"/>
      </w:r>
      <w:r>
        <w:t xml:space="preserve"> sa však zatiaľ nevyčerpalo ani euro. Zvýšenie normatívov na financovanie ZŠ a SŠ a zabezpečenie rastu financovania vysokých škôl</w:t>
      </w:r>
      <w:r w:rsidR="00B96B56">
        <w:t>, výskumu a vývoja</w:t>
      </w:r>
      <w:r>
        <w:t xml:space="preserve"> sa do návrhu rozpočtu dostalo.</w:t>
      </w:r>
    </w:p>
    <w:p w14:paraId="17C646DC" w14:textId="13496D23" w:rsidR="00887AA2" w:rsidRDefault="00887AA2" w:rsidP="00BA10B2">
      <w:pPr>
        <w:pStyle w:val="Nadpis3"/>
      </w:pPr>
      <w:bookmarkStart w:id="36" w:name="_Toc152945598"/>
      <w:r>
        <w:t xml:space="preserve"> </w:t>
      </w:r>
      <w:bookmarkStart w:id="37" w:name="_Toc153784710"/>
      <w:r>
        <w:t>Nedostatočné odmeňovanie učiteľov</w:t>
      </w:r>
      <w:bookmarkEnd w:id="36"/>
      <w:bookmarkEnd w:id="37"/>
    </w:p>
    <w:p w14:paraId="2C993353" w14:textId="65BA5723" w:rsidR="00887AA2" w:rsidRDefault="00887AA2" w:rsidP="00887AA2">
      <w:r w:rsidRPr="00CF46E9">
        <w:rPr>
          <w:b/>
        </w:rPr>
        <w:t xml:space="preserve">V </w:t>
      </w:r>
      <w:r w:rsidR="00CF46E9" w:rsidRPr="00CF46E9">
        <w:rPr>
          <w:b/>
        </w:rPr>
        <w:t>PVV</w:t>
      </w:r>
      <w:r w:rsidRPr="00CF46E9">
        <w:rPr>
          <w:b/>
        </w:rPr>
        <w:t xml:space="preserve"> sa vláda zaviazala zabezpečiť každoročný rast miezd pedagógov</w:t>
      </w:r>
      <w:r>
        <w:t xml:space="preserve"> a odborných zamestnancov,</w:t>
      </w:r>
      <w:r w:rsidRPr="00D51A7F">
        <w:t xml:space="preserve"> podporiť opatrenia na zvyšovanie atraktivity zamestnania v</w:t>
      </w:r>
      <w:r>
        <w:t> </w:t>
      </w:r>
      <w:r w:rsidRPr="00D51A7F">
        <w:t>školstve</w:t>
      </w:r>
      <w:r>
        <w:t>, prilákať do učiteľského povolania nové talenty a predísť budúcemu kritickému nedostatku pedagógov v regionálnom školstve</w:t>
      </w:r>
      <w:r w:rsidRPr="00D51A7F">
        <w:t>.</w:t>
      </w:r>
      <w:r>
        <w:t xml:space="preserve"> Ide o krátkodobé priority, keďže</w:t>
      </w:r>
      <w:r w:rsidRPr="00D51A7F">
        <w:t xml:space="preserve"> </w:t>
      </w:r>
      <w:r w:rsidRPr="00CF46E9">
        <w:t>vláda si uvedomuje závažnosť problému nízkej atraktívnosti učiteľského povolania,</w:t>
      </w:r>
      <w:r w:rsidRPr="00D51A7F">
        <w:t xml:space="preserve"> pre ktorú podľa dokumentu Slovensku už v blízkej budúcnosti hrozí nedostatok pedagógov a odborných zamestnancov v regionálnom školstve. Valorizácia platov v rokoch 2022 a 2023 pri vysokej inflácii nezabránila poklesu reálnych miezd pedagogických zamestnancov v regionálnom školstve</w:t>
      </w:r>
      <w:r>
        <w:t xml:space="preserve"> </w:t>
      </w:r>
      <w:r w:rsidRPr="00C931D2">
        <w:t>(graf</w:t>
      </w:r>
      <w:r w:rsidR="0033663A" w:rsidRPr="00C931D2">
        <w:t xml:space="preserve"> 10</w:t>
      </w:r>
      <w:r w:rsidRPr="00C931D2">
        <w:t xml:space="preserve">). </w:t>
      </w:r>
      <w:r w:rsidRPr="00C931D2">
        <w:rPr>
          <w:b/>
        </w:rPr>
        <w:t>Nezvyšovanie platov v roku 2024 udrží reálne príjmy pedagogických zamestnancov stále pod úrovňou z roku 2021</w:t>
      </w:r>
      <w:r w:rsidRPr="00C931D2">
        <w:t>. Ak by sa platy nezvyšovali ani v rokoch 2025 a 2026, začala by navyše rásť</w:t>
      </w:r>
      <w:r w:rsidRPr="00D51A7F">
        <w:t xml:space="preserve"> aj medzera medzi priemernou mzdou pedagogických zamestnancov a priemernou mzdou v hospodárstve. Zarážajúce je, že samotné ministerstvo žiadalo len 10 % zvýšenie platov pedagogických a odborných zamestnancov od septembra 2024 (65,6 mil. eur).</w:t>
      </w:r>
      <w:r>
        <w:rPr>
          <w:rStyle w:val="Odkaznapoznmkupodiarou"/>
        </w:rPr>
        <w:footnoteReference w:id="40"/>
      </w:r>
      <w:r>
        <w:t xml:space="preserve"> </w:t>
      </w:r>
      <w:r w:rsidRPr="00D51A7F">
        <w:t>Takéto zvýšenie by st</w:t>
      </w:r>
      <w:r>
        <w:t>ačilo len na minimálny nárast reálnych miezd oproti roku 2021</w:t>
      </w:r>
      <w:r w:rsidRPr="00D51A7F">
        <w:t>.</w:t>
      </w:r>
    </w:p>
    <w:p w14:paraId="0C52C2FC" w14:textId="3C4527F7" w:rsidR="00887AA2" w:rsidRPr="00BC3CA3" w:rsidRDefault="00887AA2" w:rsidP="00887AA2">
      <w:pPr>
        <w:pStyle w:val="Popis"/>
        <w:keepNext/>
        <w:rPr>
          <w:color w:val="314364"/>
        </w:rPr>
      </w:pPr>
      <w:r>
        <w:rPr>
          <w:color w:val="314364"/>
        </w:rPr>
        <w:lastRenderedPageBreak/>
        <w:t xml:space="preserve">Graf </w:t>
      </w:r>
      <w:r w:rsidR="0033663A">
        <w:rPr>
          <w:color w:val="314364"/>
        </w:rPr>
        <w:t>10</w:t>
      </w:r>
      <w:r>
        <w:rPr>
          <w:color w:val="314364"/>
        </w:rPr>
        <w:t xml:space="preserve">: </w:t>
      </w:r>
      <w:r w:rsidRPr="00D51A7F">
        <w:rPr>
          <w:color w:val="314364"/>
        </w:rPr>
        <w:t>Prognózovaný vývoj priemernýc</w:t>
      </w:r>
      <w:r>
        <w:rPr>
          <w:color w:val="314364"/>
        </w:rPr>
        <w:t>h reálnych miezd</w:t>
      </w:r>
      <w:r w:rsidRPr="00D51A7F">
        <w:rPr>
          <w:color w:val="314364"/>
        </w:rPr>
        <w:t xml:space="preserve"> (2021 = 100)</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887AA2" w:rsidRPr="00C75134" w14:paraId="7D38D0BF" w14:textId="77777777" w:rsidTr="00EF3CE7">
        <w:trPr>
          <w:trHeight w:val="3118"/>
        </w:trPr>
        <w:tc>
          <w:tcPr>
            <w:tcW w:w="9070" w:type="dxa"/>
            <w:tcBorders>
              <w:top w:val="single" w:sz="4" w:space="0" w:color="314364"/>
              <w:bottom w:val="single" w:sz="4" w:space="0" w:color="314364"/>
            </w:tcBorders>
            <w:vAlign w:val="center"/>
          </w:tcPr>
          <w:p w14:paraId="5E0EEA21" w14:textId="77777777" w:rsidR="00887AA2" w:rsidRPr="00C75134" w:rsidRDefault="00887AA2" w:rsidP="00D612BC">
            <w:pPr>
              <w:spacing w:after="0"/>
              <w:jc w:val="left"/>
              <w:rPr>
                <w:b/>
                <w:color w:val="576431"/>
              </w:rPr>
            </w:pPr>
            <w:r>
              <w:rPr>
                <w:noProof/>
                <w:lang w:eastAsia="sk-SK"/>
              </w:rPr>
              <w:drawing>
                <wp:inline distT="0" distB="0" distL="0" distR="0" wp14:anchorId="5FB845AB" wp14:editId="0095B824">
                  <wp:extent cx="5759450" cy="1958340"/>
                  <wp:effectExtent l="0" t="0" r="0" b="381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07AD2AA6" w14:textId="77777777" w:rsidR="00887AA2" w:rsidRDefault="00887AA2" w:rsidP="00887AA2">
      <w:pPr>
        <w:pStyle w:val="Zdroj"/>
        <w:spacing w:after="0"/>
        <w:jc w:val="both"/>
      </w:pPr>
      <w:r>
        <w:t xml:space="preserve">Zdroj: CVTI SR, MF SR (VpMP, </w:t>
      </w:r>
      <w:r w:rsidRPr="00562C46">
        <w:t>december 2023</w:t>
      </w:r>
      <w:r>
        <w:t>); výpočty a spracovanie NKÚ SR.</w:t>
      </w:r>
    </w:p>
    <w:p w14:paraId="1949CE24" w14:textId="12626566" w:rsidR="00887AA2" w:rsidRDefault="00887AA2" w:rsidP="00887AA2">
      <w:pPr>
        <w:pStyle w:val="Zdroj"/>
        <w:jc w:val="both"/>
      </w:pPr>
      <w:r>
        <w:t xml:space="preserve">Poznámka: </w:t>
      </w:r>
      <w:r w:rsidRPr="00E77CB7">
        <w:t>V prípade roku 2022 pracujeme so skutočným medziročným nárastom priemernej nominálnej mzdy v regionálnom š</w:t>
      </w:r>
      <w:r>
        <w:t>kolstve (3,4 %)</w:t>
      </w:r>
      <w:r w:rsidRPr="00E77CB7">
        <w:t xml:space="preserve">. Pre ďalšie roky rast priemernej nominálnej mzdy </w:t>
      </w:r>
      <w:r>
        <w:t xml:space="preserve">pedagogických zamestnancov </w:t>
      </w:r>
      <w:r w:rsidRPr="00E77CB7">
        <w:t>prognózujeme.</w:t>
      </w:r>
      <w:r>
        <w:t xml:space="preserve"> Pri 2023 hodnote</w:t>
      </w:r>
      <w:r w:rsidRPr="00E77CB7">
        <w:t xml:space="preserve"> (14,4 %) nepočítame</w:t>
      </w:r>
      <w:r>
        <w:t xml:space="preserve"> januárový nárast o 10 % </w:t>
      </w:r>
      <w:r w:rsidRPr="00E77CB7">
        <w:t>voči 12/2022 mzde, ale v</w:t>
      </w:r>
      <w:r>
        <w:t xml:space="preserve">oči priemernej mzde za celý rok 2022. Skutočné nominálne nárasty budú o niečo nižšie, keďže valorizácia/zvyšovanie sa týka iba tarifnej zložky platu. </w:t>
      </w:r>
      <w:r w:rsidRPr="00D174ED">
        <w:t xml:space="preserve">Prognóza nezohľadňuje zavedenie koeficientu ekonomickej rovnováhy v sume 60 mil. eur (z toho mzdy v sume 44,4 mil. eur), ktorého cieľom je kompenzovať rozdiely v </w:t>
      </w:r>
      <w:r w:rsidR="007A35C9">
        <w:t> </w:t>
      </w:r>
      <w:r w:rsidRPr="00D174ED">
        <w:t>konkurencieschopnosti učiteľských platov v oblastiach s vyššími mzdami na lokálnom trhu práce.</w:t>
      </w:r>
    </w:p>
    <w:p w14:paraId="3F75F885" w14:textId="59381DEE" w:rsidR="00887AA2" w:rsidRDefault="00887AA2" w:rsidP="00BA10B2">
      <w:pPr>
        <w:pStyle w:val="Nadpis3"/>
      </w:pPr>
      <w:bookmarkStart w:id="38" w:name="_Toc152945599"/>
      <w:r>
        <w:t xml:space="preserve"> </w:t>
      </w:r>
      <w:bookmarkStart w:id="39" w:name="_Toc153784711"/>
      <w:r w:rsidR="003D6146">
        <w:t>Nedostatočná</w:t>
      </w:r>
      <w:r w:rsidRPr="00E77CB7">
        <w:t xml:space="preserve"> kapacita materských škôl</w:t>
      </w:r>
      <w:bookmarkEnd w:id="38"/>
      <w:bookmarkEnd w:id="39"/>
    </w:p>
    <w:p w14:paraId="2BCBDE0F" w14:textId="2746C0D8" w:rsidR="00887AA2" w:rsidRDefault="00887AA2" w:rsidP="00887AA2">
      <w:pPr>
        <w:rPr>
          <w:rFonts w:cs="Segoe UI"/>
          <w:szCs w:val="20"/>
        </w:rPr>
      </w:pPr>
      <w:r w:rsidRPr="003D6146">
        <w:rPr>
          <w:rFonts w:cs="Segoe UI"/>
          <w:szCs w:val="20"/>
        </w:rPr>
        <w:t>V </w:t>
      </w:r>
      <w:r w:rsidR="003D6146" w:rsidRPr="003D6146">
        <w:rPr>
          <w:rFonts w:cs="Segoe UI"/>
          <w:szCs w:val="20"/>
        </w:rPr>
        <w:t>PVV</w:t>
      </w:r>
      <w:r w:rsidRPr="003D6146">
        <w:rPr>
          <w:rFonts w:cs="Segoe UI"/>
          <w:szCs w:val="20"/>
        </w:rPr>
        <w:t xml:space="preserve"> sa ako krátkodobá priorita v oblasti sociálnej politiky uvádza rozšírenie kapacity predškolských zariadení s konečným cieľom garantovať miesto v MŠ každému dieťaťu. Veľmi podobná krátkodobá priorita sa uvádza aj pre oblasť vzdelávacej politiky. Na dobudovanie potrebných kapacít MŠ majú byť využité aj európske prostriedky z </w:t>
      </w:r>
      <w:r w:rsidR="00C931D2" w:rsidRPr="003D6146">
        <w:rPr>
          <w:rFonts w:cs="Segoe UI"/>
          <w:szCs w:val="20"/>
        </w:rPr>
        <w:t>POO</w:t>
      </w:r>
      <w:r w:rsidRPr="003D6146">
        <w:rPr>
          <w:rFonts w:cs="Segoe UI"/>
          <w:szCs w:val="20"/>
        </w:rPr>
        <w:t xml:space="preserve">. </w:t>
      </w:r>
      <w:r w:rsidRPr="003D6146">
        <w:rPr>
          <w:rFonts w:cs="Segoe UI"/>
          <w:b/>
          <w:szCs w:val="20"/>
        </w:rPr>
        <w:t>Aktuálne čerpanie predmetnej výzvy, počet nevybavených žiadostí o prijatie dieťaťa a demografický vývoj naznačujú, že</w:t>
      </w:r>
      <w:r>
        <w:rPr>
          <w:rFonts w:cs="Segoe UI"/>
          <w:szCs w:val="20"/>
        </w:rPr>
        <w:t xml:space="preserve"> </w:t>
      </w:r>
      <w:r w:rsidRPr="003800AF">
        <w:rPr>
          <w:rFonts w:cs="Segoe UI"/>
          <w:b/>
          <w:szCs w:val="20"/>
        </w:rPr>
        <w:t>kapacita MŠ nebude dostatočná ani o dva roky</w:t>
      </w:r>
      <w:r>
        <w:rPr>
          <w:rFonts w:cs="Segoe UI"/>
          <w:szCs w:val="20"/>
        </w:rPr>
        <w:t>.</w:t>
      </w:r>
    </w:p>
    <w:p w14:paraId="4712B3D3" w14:textId="3B8B140F" w:rsidR="00887AA2" w:rsidRDefault="00887AA2" w:rsidP="00887AA2">
      <w:pPr>
        <w:rPr>
          <w:rFonts w:cs="Segoe UI"/>
          <w:szCs w:val="20"/>
        </w:rPr>
      </w:pPr>
      <w:r w:rsidRPr="00697A74">
        <w:rPr>
          <w:rFonts w:cs="Segoe UI"/>
          <w:szCs w:val="20"/>
        </w:rPr>
        <w:t>Kapacita MŠ</w:t>
      </w:r>
      <w:r>
        <w:rPr>
          <w:rFonts w:cs="Segoe UI"/>
          <w:szCs w:val="20"/>
        </w:rPr>
        <w:t xml:space="preserve"> sa zisťuje</w:t>
      </w:r>
      <w:r w:rsidRPr="00697A74">
        <w:rPr>
          <w:rFonts w:cs="Segoe UI"/>
          <w:szCs w:val="20"/>
        </w:rPr>
        <w:t xml:space="preserve"> od roku 2018. Od tohto roku stúpla o</w:t>
      </w:r>
      <w:r>
        <w:rPr>
          <w:rFonts w:cs="Segoe UI"/>
          <w:szCs w:val="20"/>
        </w:rPr>
        <w:t> 11,7</w:t>
      </w:r>
      <w:r w:rsidRPr="00697A74">
        <w:rPr>
          <w:rFonts w:cs="Segoe UI"/>
          <w:szCs w:val="20"/>
        </w:rPr>
        <w:t xml:space="preserve"> %.</w:t>
      </w:r>
      <w:r>
        <w:rPr>
          <w:rFonts w:cs="Segoe UI"/>
          <w:szCs w:val="20"/>
        </w:rPr>
        <w:t xml:space="preserve"> Najviac sa zvýšila kapacita súkromných MŠ (o 58,3 %), najmenej štátnych MŠ (o 8,9 %).</w:t>
      </w:r>
      <w:r w:rsidRPr="00697A74">
        <w:rPr>
          <w:rFonts w:cs="Segoe UI"/>
          <w:szCs w:val="20"/>
        </w:rPr>
        <w:t xml:space="preserve"> Za rovnaké obdobie narástol počet nevybavených žiadostí o </w:t>
      </w:r>
      <w:r w:rsidRPr="00C931D2">
        <w:rPr>
          <w:rFonts w:cs="Segoe UI"/>
          <w:szCs w:val="20"/>
        </w:rPr>
        <w:t>prijatie dieťaťa o</w:t>
      </w:r>
      <w:r w:rsidR="00CF46E9" w:rsidRPr="00C931D2">
        <w:rPr>
          <w:rFonts w:cs="Segoe UI"/>
          <w:szCs w:val="20"/>
        </w:rPr>
        <w:t> </w:t>
      </w:r>
      <w:r w:rsidRPr="00C931D2">
        <w:rPr>
          <w:rFonts w:cs="Segoe UI"/>
          <w:szCs w:val="20"/>
        </w:rPr>
        <w:t>69</w:t>
      </w:r>
      <w:r w:rsidR="00CF46E9" w:rsidRPr="00C931D2">
        <w:rPr>
          <w:rFonts w:cs="Segoe UI"/>
          <w:szCs w:val="20"/>
        </w:rPr>
        <w:t>,2</w:t>
      </w:r>
      <w:r w:rsidRPr="00C931D2">
        <w:rPr>
          <w:rFonts w:cs="Segoe UI"/>
          <w:szCs w:val="20"/>
        </w:rPr>
        <w:t xml:space="preserve"> % (graf</w:t>
      </w:r>
      <w:r w:rsidR="0033663A" w:rsidRPr="00C931D2">
        <w:rPr>
          <w:rFonts w:cs="Segoe UI"/>
          <w:szCs w:val="20"/>
        </w:rPr>
        <w:t xml:space="preserve"> 11</w:t>
      </w:r>
      <w:r w:rsidRPr="00C931D2">
        <w:rPr>
          <w:rFonts w:cs="Segoe UI"/>
          <w:szCs w:val="20"/>
        </w:rPr>
        <w:t xml:space="preserve">). </w:t>
      </w:r>
      <w:r w:rsidRPr="00C931D2">
        <w:rPr>
          <w:rFonts w:cs="Segoe UI"/>
          <w:b/>
          <w:szCs w:val="20"/>
        </w:rPr>
        <w:t xml:space="preserve">Nedostatočná kapacita sa týka štátnych, súkromných aj cirkevných MŠ </w:t>
      </w:r>
      <w:r w:rsidRPr="00C931D2">
        <w:rPr>
          <w:rFonts w:cs="Segoe UI"/>
          <w:szCs w:val="20"/>
        </w:rPr>
        <w:t>(graf</w:t>
      </w:r>
      <w:r w:rsidR="0033663A" w:rsidRPr="00C931D2">
        <w:rPr>
          <w:rFonts w:cs="Segoe UI"/>
          <w:szCs w:val="20"/>
        </w:rPr>
        <w:t xml:space="preserve"> 12</w:t>
      </w:r>
      <w:r w:rsidRPr="00C931D2">
        <w:rPr>
          <w:rFonts w:cs="Segoe UI"/>
          <w:szCs w:val="20"/>
        </w:rPr>
        <w:t>). Najviac však</w:t>
      </w:r>
      <w:r>
        <w:rPr>
          <w:rFonts w:cs="Segoe UI"/>
          <w:szCs w:val="20"/>
        </w:rPr>
        <w:t xml:space="preserve"> dopyt rodičov nevedeli uspokojiť cirkevné MŠ. Výrazný nárast dopytu po miestach v súkromných MŠ v roku 2021 súvisí s povinným </w:t>
      </w:r>
      <w:proofErr w:type="spellStart"/>
      <w:r>
        <w:rPr>
          <w:rFonts w:cs="Segoe UI"/>
          <w:szCs w:val="20"/>
        </w:rPr>
        <w:t>predprimárnym</w:t>
      </w:r>
      <w:proofErr w:type="spellEnd"/>
      <w:r>
        <w:rPr>
          <w:rFonts w:cs="Segoe UI"/>
          <w:szCs w:val="20"/>
        </w:rPr>
        <w:t xml:space="preserve"> vzdelávaním</w:t>
      </w:r>
      <w:r w:rsidRPr="00CF30F5">
        <w:rPr>
          <w:rFonts w:cs="Segoe UI"/>
          <w:szCs w:val="20"/>
        </w:rPr>
        <w:t xml:space="preserve"> pre 5-ročné deti</w:t>
      </w:r>
      <w:r>
        <w:rPr>
          <w:rFonts w:cs="Segoe UI"/>
          <w:szCs w:val="20"/>
        </w:rPr>
        <w:t>, ktoré</w:t>
      </w:r>
      <w:r w:rsidRPr="00CF30F5">
        <w:rPr>
          <w:rFonts w:cs="Segoe UI"/>
          <w:szCs w:val="20"/>
        </w:rPr>
        <w:t xml:space="preserve"> začalo platiť od 1. septembra 2021</w:t>
      </w:r>
      <w:r>
        <w:rPr>
          <w:rFonts w:cs="Segoe UI"/>
          <w:szCs w:val="20"/>
        </w:rPr>
        <w:t>.</w:t>
      </w:r>
    </w:p>
    <w:tbl>
      <w:tblPr>
        <w:tblStyle w:val="Mriekatabuky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C931D2" w:rsidRPr="00D40AB4" w14:paraId="0F5B5DC5" w14:textId="77777777" w:rsidTr="001F1B66">
        <w:trPr>
          <w:trHeight w:val="189"/>
        </w:trPr>
        <w:tc>
          <w:tcPr>
            <w:tcW w:w="2500" w:type="pct"/>
            <w:tcBorders>
              <w:bottom w:val="single" w:sz="4" w:space="0" w:color="314364"/>
            </w:tcBorders>
            <w:shd w:val="clear" w:color="auto" w:fill="auto"/>
          </w:tcPr>
          <w:p w14:paraId="68E3BF8F" w14:textId="77777777" w:rsidR="00C931D2" w:rsidRPr="00D40AB4" w:rsidRDefault="00C931D2" w:rsidP="001F1B66">
            <w:pPr>
              <w:pStyle w:val="Popis"/>
              <w:keepNext/>
              <w:rPr>
                <w:color w:val="314364"/>
              </w:rPr>
            </w:pPr>
            <w:r w:rsidRPr="00D40AB4">
              <w:rPr>
                <w:color w:val="314364"/>
              </w:rPr>
              <w:t>Graf</w:t>
            </w:r>
            <w:r>
              <w:rPr>
                <w:color w:val="314364"/>
              </w:rPr>
              <w:t xml:space="preserve"> 11: Počet nevybavených žiadostí o prijatie dieťaťa do MŠ</w:t>
            </w:r>
          </w:p>
        </w:tc>
        <w:tc>
          <w:tcPr>
            <w:tcW w:w="2500" w:type="pct"/>
            <w:tcBorders>
              <w:bottom w:val="single" w:sz="4" w:space="0" w:color="314364"/>
            </w:tcBorders>
            <w:shd w:val="clear" w:color="auto" w:fill="auto"/>
          </w:tcPr>
          <w:p w14:paraId="0438BA9A" w14:textId="77777777" w:rsidR="00C931D2" w:rsidRPr="00D40AB4" w:rsidRDefault="00C931D2" w:rsidP="001F1B66">
            <w:pPr>
              <w:pStyle w:val="Popis"/>
              <w:keepNext/>
              <w:ind w:left="8"/>
              <w:rPr>
                <w:color w:val="314364"/>
              </w:rPr>
            </w:pPr>
            <w:r w:rsidRPr="00D40AB4">
              <w:rPr>
                <w:color w:val="314364"/>
              </w:rPr>
              <w:t xml:space="preserve">Graf </w:t>
            </w:r>
            <w:r>
              <w:rPr>
                <w:color w:val="314364"/>
              </w:rPr>
              <w:t xml:space="preserve">12: </w:t>
            </w:r>
            <w:r w:rsidRPr="00B04781">
              <w:rPr>
                <w:color w:val="314364"/>
              </w:rPr>
              <w:t>Podiel nevybavených žiadostí na prijatie dieťaťa do MŠ na celkovej kapacite MŠ</w:t>
            </w:r>
          </w:p>
        </w:tc>
      </w:tr>
      <w:tr w:rsidR="00C931D2" w:rsidRPr="00402675" w14:paraId="04208679" w14:textId="77777777" w:rsidTr="001F1B66">
        <w:tblPrEx>
          <w:tblCellMar>
            <w:left w:w="70" w:type="dxa"/>
            <w:right w:w="70" w:type="dxa"/>
          </w:tblCellMar>
        </w:tblPrEx>
        <w:trPr>
          <w:trHeight w:val="2835"/>
        </w:trPr>
        <w:tc>
          <w:tcPr>
            <w:tcW w:w="2500" w:type="pct"/>
            <w:tcBorders>
              <w:top w:val="single" w:sz="4" w:space="0" w:color="314364"/>
              <w:bottom w:val="single" w:sz="4" w:space="0" w:color="314364"/>
            </w:tcBorders>
            <w:vAlign w:val="center"/>
          </w:tcPr>
          <w:p w14:paraId="3F290E68" w14:textId="77777777" w:rsidR="00C931D2" w:rsidRPr="00402675" w:rsidRDefault="00C931D2" w:rsidP="001F1B66">
            <w:pPr>
              <w:spacing w:after="0"/>
              <w:jc w:val="left"/>
              <w:rPr>
                <w:rFonts w:cs="Segoe UI"/>
                <w:b/>
                <w:szCs w:val="20"/>
              </w:rPr>
            </w:pPr>
            <w:r>
              <w:rPr>
                <w:noProof/>
                <w:lang w:eastAsia="sk-SK"/>
              </w:rPr>
              <w:drawing>
                <wp:inline distT="0" distB="0" distL="0" distR="0" wp14:anchorId="4C360CC0" wp14:editId="509404CE">
                  <wp:extent cx="2879725" cy="1760220"/>
                  <wp:effectExtent l="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2500" w:type="pct"/>
            <w:tcBorders>
              <w:top w:val="single" w:sz="4" w:space="0" w:color="314364"/>
              <w:bottom w:val="single" w:sz="4" w:space="0" w:color="314364"/>
            </w:tcBorders>
            <w:vAlign w:val="center"/>
          </w:tcPr>
          <w:p w14:paraId="251A7C55" w14:textId="77777777" w:rsidR="00C931D2" w:rsidRPr="00402675" w:rsidRDefault="00C931D2" w:rsidP="001F1B66">
            <w:pPr>
              <w:spacing w:after="0"/>
              <w:jc w:val="left"/>
              <w:rPr>
                <w:rFonts w:cs="Segoe UI"/>
                <w:b/>
                <w:szCs w:val="20"/>
              </w:rPr>
            </w:pPr>
            <w:r>
              <w:rPr>
                <w:noProof/>
                <w:lang w:eastAsia="sk-SK"/>
              </w:rPr>
              <w:drawing>
                <wp:inline distT="0" distB="0" distL="0" distR="0" wp14:anchorId="5989319E" wp14:editId="7F4171FB">
                  <wp:extent cx="2879725" cy="1783080"/>
                  <wp:effectExtent l="0" t="0" r="0" b="762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6ED38F45" w14:textId="77777777" w:rsidR="00C931D2" w:rsidRDefault="00C931D2" w:rsidP="00C931D2">
      <w:pPr>
        <w:pStyle w:val="Zdroj"/>
        <w:spacing w:after="0"/>
        <w:jc w:val="both"/>
      </w:pPr>
      <w:r>
        <w:t>Zdroj: CVTI SR; výpočty a spracovanie NKÚ SR.</w:t>
      </w:r>
    </w:p>
    <w:p w14:paraId="452C3690" w14:textId="77777777" w:rsidR="00C931D2" w:rsidRDefault="00C931D2" w:rsidP="00C931D2">
      <w:pPr>
        <w:pStyle w:val="Zdroj"/>
        <w:jc w:val="both"/>
      </w:pPr>
      <w:r>
        <w:t>Poznámka:</w:t>
      </w:r>
      <w:r w:rsidRPr="00B04781">
        <w:t xml:space="preserve"> Nevybavené žiadosti predstavujú žiadosti, ktorým sa nevyhovelo pre nedostatok miesta. Nevybavené žiadosti neporovnávame s celkovým počtom žiadostí, keďže tento ukazovateľ sa zisťuje až od roku 2021. Za rok 2023 ide o predbežné údaje.</w:t>
      </w:r>
    </w:p>
    <w:p w14:paraId="3F2A7712" w14:textId="30A97A5F" w:rsidR="00887AA2" w:rsidRDefault="00887AA2" w:rsidP="00887AA2">
      <w:pPr>
        <w:rPr>
          <w:rFonts w:cs="Segoe UI"/>
          <w:szCs w:val="20"/>
        </w:rPr>
      </w:pPr>
      <w:r w:rsidRPr="009E0E81">
        <w:rPr>
          <w:rFonts w:cs="Segoe UI"/>
          <w:szCs w:val="20"/>
        </w:rPr>
        <w:lastRenderedPageBreak/>
        <w:t xml:space="preserve">Demografický vývoj ukazuje, že </w:t>
      </w:r>
      <w:r w:rsidRPr="009E0E81">
        <w:rPr>
          <w:rFonts w:cs="Segoe UI"/>
          <w:b/>
          <w:szCs w:val="20"/>
        </w:rPr>
        <w:t>tlak na kapacitu MŠ by mohol výraznejšie poľaviť najskôr v roku 2026</w:t>
      </w:r>
      <w:r>
        <w:rPr>
          <w:rFonts w:cs="Segoe UI"/>
          <w:szCs w:val="20"/>
        </w:rPr>
        <w:t>, kedy</w:t>
      </w:r>
      <w:r w:rsidRPr="009E0E81">
        <w:rPr>
          <w:rFonts w:cs="Segoe UI"/>
          <w:szCs w:val="20"/>
        </w:rPr>
        <w:t xml:space="preserve"> sa do MŠ začnú hlásiť deti z relatívne menej početnej generácie/kohorty narodených v roku 2023. </w:t>
      </w:r>
      <w:r w:rsidRPr="009E0E81">
        <w:rPr>
          <w:rFonts w:cs="Segoe UI"/>
          <w:b/>
          <w:szCs w:val="20"/>
        </w:rPr>
        <w:t>V najbližších dvoch rokov však zlepšenie situácie nemožno očakávať</w:t>
      </w:r>
      <w:r w:rsidRPr="009E0E81">
        <w:rPr>
          <w:rFonts w:cs="Segoe UI"/>
          <w:szCs w:val="20"/>
        </w:rPr>
        <w:t>.</w:t>
      </w:r>
    </w:p>
    <w:p w14:paraId="293650D0" w14:textId="77777777" w:rsidR="00C054EF" w:rsidRPr="00BC3CA3" w:rsidRDefault="00C054EF" w:rsidP="00C054EF">
      <w:pPr>
        <w:pStyle w:val="Popis"/>
        <w:keepNext/>
        <w:rPr>
          <w:color w:val="314364"/>
        </w:rPr>
      </w:pPr>
      <w:r>
        <w:rPr>
          <w:color w:val="314364"/>
        </w:rPr>
        <w:t>Graf 13: Index počtu narodených (2015Q2 = 100)</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C054EF" w:rsidRPr="00C75134" w14:paraId="278CE217" w14:textId="77777777" w:rsidTr="001F1B66">
        <w:trPr>
          <w:trHeight w:val="2835"/>
        </w:trPr>
        <w:tc>
          <w:tcPr>
            <w:tcW w:w="5000" w:type="pct"/>
            <w:tcBorders>
              <w:top w:val="single" w:sz="4" w:space="0" w:color="314364"/>
              <w:bottom w:val="single" w:sz="4" w:space="0" w:color="314364"/>
            </w:tcBorders>
            <w:vAlign w:val="center"/>
          </w:tcPr>
          <w:p w14:paraId="23C71567" w14:textId="77777777" w:rsidR="00C054EF" w:rsidRPr="00C75134" w:rsidRDefault="00C054EF" w:rsidP="001F1B66">
            <w:pPr>
              <w:spacing w:after="0"/>
              <w:jc w:val="left"/>
              <w:rPr>
                <w:b/>
                <w:color w:val="576431"/>
              </w:rPr>
            </w:pPr>
            <w:r>
              <w:rPr>
                <w:noProof/>
                <w:lang w:eastAsia="sk-SK"/>
              </w:rPr>
              <w:drawing>
                <wp:inline distT="0" distB="0" distL="0" distR="0" wp14:anchorId="09AE1E9E" wp14:editId="77D938C9">
                  <wp:extent cx="5759450" cy="1790700"/>
                  <wp:effectExtent l="0" t="0" r="0"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62CA65BE" w14:textId="77777777" w:rsidR="00C054EF" w:rsidRDefault="00C054EF" w:rsidP="00C054EF">
      <w:pPr>
        <w:pStyle w:val="Zdroj"/>
        <w:jc w:val="both"/>
        <w:rPr>
          <w:i w:val="0"/>
        </w:rPr>
      </w:pPr>
      <w:r>
        <w:t>Zdroj: ŠÚ SR; výpočty a spracovanie NKÚ SR.</w:t>
      </w:r>
    </w:p>
    <w:p w14:paraId="08B18A9E" w14:textId="4EFA36B1" w:rsidR="00887AA2" w:rsidRDefault="00887AA2" w:rsidP="00887AA2">
      <w:pPr>
        <w:rPr>
          <w:rFonts w:cs="Segoe UI"/>
          <w:szCs w:val="20"/>
        </w:rPr>
      </w:pPr>
      <w:r w:rsidRPr="00CF46E9">
        <w:rPr>
          <w:rFonts w:cs="Segoe UI"/>
          <w:b/>
          <w:szCs w:val="20"/>
        </w:rPr>
        <w:t xml:space="preserve">Dobudovanie potrebných kapacít MŠ má zabezpečiť výzva z </w:t>
      </w:r>
      <w:r w:rsidR="00C054EF">
        <w:rPr>
          <w:rFonts w:cs="Segoe UI"/>
          <w:b/>
          <w:szCs w:val="20"/>
        </w:rPr>
        <w:t>POO</w:t>
      </w:r>
      <w:r w:rsidRPr="00CF46E9">
        <w:rPr>
          <w:rFonts w:cs="Segoe UI"/>
          <w:b/>
          <w:szCs w:val="20"/>
        </w:rPr>
        <w:t xml:space="preserve"> </w:t>
      </w:r>
      <w:r w:rsidRPr="00CF46E9">
        <w:rPr>
          <w:rFonts w:cs="Segoe UI"/>
          <w:b/>
          <w:i/>
          <w:szCs w:val="20"/>
        </w:rPr>
        <w:t>Zvýšenie kapacít materských škôl</w:t>
      </w:r>
      <w:r>
        <w:rPr>
          <w:rFonts w:cs="Segoe UI"/>
          <w:szCs w:val="20"/>
        </w:rPr>
        <w:t>, ktorej hlavným cieľom je,</w:t>
      </w:r>
      <w:r w:rsidRPr="00E422ED">
        <w:rPr>
          <w:rFonts w:cs="Segoe UI"/>
          <w:szCs w:val="20"/>
        </w:rPr>
        <w:t xml:space="preserve"> </w:t>
      </w:r>
      <w:r>
        <w:rPr>
          <w:rFonts w:cs="Segoe UI"/>
          <w:szCs w:val="20"/>
        </w:rPr>
        <w:t>a</w:t>
      </w:r>
      <w:r w:rsidRPr="005E71EC">
        <w:rPr>
          <w:rFonts w:cs="Segoe UI"/>
          <w:szCs w:val="20"/>
        </w:rPr>
        <w:t>by sa každé dieťa vo veku od troch rokov do nástupu na povinn</w:t>
      </w:r>
      <w:r>
        <w:rPr>
          <w:rFonts w:cs="Segoe UI"/>
          <w:szCs w:val="20"/>
        </w:rPr>
        <w:t xml:space="preserve">ú školskú dochádzku mohlo od </w:t>
      </w:r>
      <w:r w:rsidRPr="005E71EC">
        <w:rPr>
          <w:rFonts w:cs="Segoe UI"/>
          <w:szCs w:val="20"/>
        </w:rPr>
        <w:t>septembra 2025 zúčastňovať na predprimárnom vzdelávaní</w:t>
      </w:r>
      <w:r>
        <w:rPr>
          <w:rFonts w:cs="Segoe UI"/>
          <w:szCs w:val="20"/>
        </w:rPr>
        <w:t xml:space="preserve">. Výzva bola vyhlásená v auguste 2022. NKÚ SR v máji 2023 upozornil, že z alokovaných 71,9 mil. eur bolo </w:t>
      </w:r>
      <w:r w:rsidRPr="006C4285">
        <w:rPr>
          <w:rFonts w:cs="Segoe UI"/>
          <w:szCs w:val="20"/>
        </w:rPr>
        <w:t>k 31. 12.</w:t>
      </w:r>
      <w:r>
        <w:rPr>
          <w:rFonts w:cs="Segoe UI"/>
          <w:szCs w:val="20"/>
        </w:rPr>
        <w:t xml:space="preserve"> 2022 vyčerpaných len </w:t>
      </w:r>
      <w:r w:rsidRPr="006C4285">
        <w:rPr>
          <w:rFonts w:cs="Segoe UI"/>
          <w:szCs w:val="20"/>
        </w:rPr>
        <w:t>0,9 mil. eur (1,3 %).</w:t>
      </w:r>
      <w:r>
        <w:rPr>
          <w:rStyle w:val="Odkaznapoznmkupodiarou"/>
          <w:rFonts w:cs="Segoe UI"/>
        </w:rPr>
        <w:footnoteReference w:id="41"/>
      </w:r>
      <w:r>
        <w:rPr>
          <w:rFonts w:cs="Segoe UI"/>
          <w:szCs w:val="20"/>
        </w:rPr>
        <w:t xml:space="preserve"> V roku 2023 sa tempo čerpania zvýšilo a k 28. 11. 2023 bolo vyčerpaných 11,1 mil. eur. Stále však ide o čerpanie na úrovni 13,5 %.</w:t>
      </w:r>
      <w:r>
        <w:rPr>
          <w:rStyle w:val="Odkaznapoznmkupodiarou"/>
          <w:rFonts w:cs="Segoe UI"/>
        </w:rPr>
        <w:footnoteReference w:id="42"/>
      </w:r>
      <w:r>
        <w:rPr>
          <w:rFonts w:cs="Segoe UI"/>
          <w:szCs w:val="20"/>
        </w:rPr>
        <w:t xml:space="preserve"> Celkovo by na zaručenie</w:t>
      </w:r>
      <w:r w:rsidRPr="00B5560E">
        <w:rPr>
          <w:rFonts w:cs="Segoe UI"/>
          <w:szCs w:val="20"/>
        </w:rPr>
        <w:t xml:space="preserve"> kvalitné</w:t>
      </w:r>
      <w:r>
        <w:rPr>
          <w:rFonts w:cs="Segoe UI"/>
          <w:szCs w:val="20"/>
        </w:rPr>
        <w:t>ho</w:t>
      </w:r>
      <w:r w:rsidRPr="00B5560E">
        <w:rPr>
          <w:rFonts w:cs="Segoe UI"/>
          <w:szCs w:val="20"/>
        </w:rPr>
        <w:t xml:space="preserve"> a dostupné</w:t>
      </w:r>
      <w:r>
        <w:rPr>
          <w:rFonts w:cs="Segoe UI"/>
          <w:szCs w:val="20"/>
        </w:rPr>
        <w:t>ho</w:t>
      </w:r>
      <w:r w:rsidRPr="00B5560E">
        <w:rPr>
          <w:rFonts w:cs="Segoe UI"/>
          <w:szCs w:val="20"/>
        </w:rPr>
        <w:t xml:space="preserve"> predprimárne</w:t>
      </w:r>
      <w:r>
        <w:rPr>
          <w:rFonts w:cs="Segoe UI"/>
          <w:szCs w:val="20"/>
        </w:rPr>
        <w:t>ho vzdelávania pre všetky deti malo byť potrebných a aj alokovaných vyše 150 mil. eur.</w:t>
      </w:r>
      <w:r>
        <w:rPr>
          <w:rStyle w:val="Odkaznapoznmkupodiarou"/>
          <w:rFonts w:cs="Segoe UI"/>
        </w:rPr>
        <w:footnoteReference w:id="43"/>
      </w:r>
      <w:r>
        <w:rPr>
          <w:rFonts w:cs="Segoe UI"/>
          <w:szCs w:val="20"/>
        </w:rPr>
        <w:t xml:space="preserve"> </w:t>
      </w:r>
      <w:r w:rsidRPr="002365BF">
        <w:rPr>
          <w:rFonts w:cs="Segoe UI"/>
          <w:b/>
          <w:szCs w:val="20"/>
        </w:rPr>
        <w:t xml:space="preserve">Ak nedôjde k výraznému zvýšeniu tempa čerpania </w:t>
      </w:r>
      <w:r>
        <w:rPr>
          <w:rFonts w:cs="Segoe UI"/>
          <w:b/>
          <w:szCs w:val="20"/>
        </w:rPr>
        <w:t>prostriedkov výzvy, kapacita MŠ nebude dostatočná</w:t>
      </w:r>
      <w:r w:rsidRPr="002365BF">
        <w:rPr>
          <w:rFonts w:cs="Segoe UI"/>
          <w:b/>
          <w:szCs w:val="20"/>
        </w:rPr>
        <w:t xml:space="preserve"> ani v septembri 2025</w:t>
      </w:r>
      <w:r w:rsidRPr="00B04781">
        <w:rPr>
          <w:rFonts w:cs="Segoe UI"/>
          <w:b/>
          <w:szCs w:val="20"/>
        </w:rPr>
        <w:t>.</w:t>
      </w:r>
    </w:p>
    <w:p w14:paraId="1E1F9682" w14:textId="59E3B8DA" w:rsidR="00887AA2" w:rsidRPr="00113F4C" w:rsidRDefault="00887AA2" w:rsidP="00BA10B2">
      <w:pPr>
        <w:pStyle w:val="Nadpis3"/>
      </w:pPr>
      <w:bookmarkStart w:id="40" w:name="_Toc152945600"/>
      <w:r>
        <w:t xml:space="preserve"> </w:t>
      </w:r>
      <w:bookmarkStart w:id="41" w:name="_Toc153784712"/>
      <w:r>
        <w:t>Nedostatok inkluzívneho</w:t>
      </w:r>
      <w:r w:rsidRPr="00113F4C">
        <w:t xml:space="preserve"> personál</w:t>
      </w:r>
      <w:r>
        <w:t>u v materských školách</w:t>
      </w:r>
      <w:bookmarkEnd w:id="40"/>
      <w:bookmarkEnd w:id="41"/>
    </w:p>
    <w:p w14:paraId="3CDDBB2A" w14:textId="68A2A3FF" w:rsidR="00887AA2" w:rsidRDefault="00887AA2" w:rsidP="00887AA2">
      <w:pPr>
        <w:rPr>
          <w:rFonts w:cs="Segoe UI"/>
          <w:szCs w:val="20"/>
        </w:rPr>
      </w:pPr>
      <w:r w:rsidRPr="00C85F35">
        <w:rPr>
          <w:rFonts w:cs="Segoe UI"/>
          <w:szCs w:val="20"/>
        </w:rPr>
        <w:t xml:space="preserve">Inštitút vzdelávacej politiky (IVP) po schválení novely školského zákona, ktorá ustanovila povinné predprimárne vzdelávanie pre 5-ročné deti, upozorňoval, že </w:t>
      </w:r>
      <w:r w:rsidRPr="00313554">
        <w:rPr>
          <w:rFonts w:cs="Segoe UI"/>
          <w:b/>
          <w:szCs w:val="20"/>
        </w:rPr>
        <w:t>zvýšený počet 5-r</w:t>
      </w:r>
      <w:r>
        <w:rPr>
          <w:rFonts w:cs="Segoe UI"/>
          <w:b/>
          <w:szCs w:val="20"/>
        </w:rPr>
        <w:t>očných detí v MŠ</w:t>
      </w:r>
      <w:r w:rsidRPr="00313554">
        <w:rPr>
          <w:rFonts w:cs="Segoe UI"/>
          <w:b/>
          <w:szCs w:val="20"/>
        </w:rPr>
        <w:t>, ktoré sú zdravotne znevýhodnené alebo pochádzajú zo sociálne znevýhodneného prostredia, si</w:t>
      </w:r>
      <w:r w:rsidRPr="00C85F35">
        <w:rPr>
          <w:rFonts w:cs="Segoe UI"/>
          <w:szCs w:val="20"/>
        </w:rPr>
        <w:t xml:space="preserve"> </w:t>
      </w:r>
      <w:r w:rsidRPr="00313554">
        <w:rPr>
          <w:rFonts w:cs="Segoe UI"/>
          <w:b/>
          <w:szCs w:val="20"/>
        </w:rPr>
        <w:t xml:space="preserve">bude vyžadovať </w:t>
      </w:r>
      <w:proofErr w:type="spellStart"/>
      <w:r w:rsidRPr="00313554">
        <w:rPr>
          <w:rFonts w:cs="Segoe UI"/>
          <w:b/>
          <w:szCs w:val="20"/>
        </w:rPr>
        <w:t>inkluzívnejší</w:t>
      </w:r>
      <w:proofErr w:type="spellEnd"/>
      <w:r w:rsidRPr="00313554">
        <w:rPr>
          <w:rFonts w:cs="Segoe UI"/>
          <w:b/>
          <w:szCs w:val="20"/>
        </w:rPr>
        <w:t xml:space="preserve"> prístup vo výchove a vzdelávaní</w:t>
      </w:r>
      <w:r w:rsidRPr="00C85F35">
        <w:rPr>
          <w:rFonts w:cs="Segoe UI"/>
          <w:szCs w:val="20"/>
        </w:rPr>
        <w:t>.</w:t>
      </w:r>
      <w:r>
        <w:rPr>
          <w:rFonts w:cs="Segoe UI"/>
          <w:szCs w:val="20"/>
        </w:rPr>
        <w:t xml:space="preserve"> Konkrétne malo ísť o</w:t>
      </w:r>
      <w:r w:rsidRPr="00C85F35">
        <w:rPr>
          <w:rFonts w:cs="Segoe UI"/>
          <w:szCs w:val="20"/>
        </w:rPr>
        <w:t xml:space="preserve"> </w:t>
      </w:r>
      <w:r>
        <w:rPr>
          <w:rFonts w:cs="Segoe UI"/>
          <w:szCs w:val="20"/>
        </w:rPr>
        <w:t>zvýšenie poč</w:t>
      </w:r>
      <w:r w:rsidRPr="00C85F35">
        <w:rPr>
          <w:rFonts w:cs="Segoe UI"/>
          <w:szCs w:val="20"/>
        </w:rPr>
        <w:t>t</w:t>
      </w:r>
      <w:r>
        <w:rPr>
          <w:rFonts w:cs="Segoe UI"/>
          <w:szCs w:val="20"/>
        </w:rPr>
        <w:t>u</w:t>
      </w:r>
      <w:r w:rsidRPr="00C85F35">
        <w:rPr>
          <w:rFonts w:cs="Segoe UI"/>
          <w:szCs w:val="20"/>
        </w:rPr>
        <w:t xml:space="preserve"> asistentov učiteľa a odborných zamestnancov ako napríklad špeciáln</w:t>
      </w:r>
      <w:r>
        <w:rPr>
          <w:rFonts w:cs="Segoe UI"/>
          <w:szCs w:val="20"/>
        </w:rPr>
        <w:t>ych pedagógov, psychológov a i.</w:t>
      </w:r>
      <w:r w:rsidR="007A35C9">
        <w:rPr>
          <w:rStyle w:val="Odkaznapoznmkupodiarou"/>
          <w:rFonts w:cs="Segoe UI"/>
          <w:szCs w:val="20"/>
        </w:rPr>
        <w:footnoteReference w:id="44"/>
      </w:r>
      <w:r>
        <w:rPr>
          <w:rFonts w:cs="Segoe UI"/>
          <w:szCs w:val="20"/>
        </w:rPr>
        <w:t xml:space="preserve"> Nárast inkluzívneho personálu by sa teda mal týkať primárne škôl, v ktorých došlo k nárastu počtu znevýhodnených 5-ročných detí. Povinné predprimárne vzdelávanie pre 5-ročné deti začalo platiť od 1. </w:t>
      </w:r>
      <w:r w:rsidR="00715454">
        <w:rPr>
          <w:rFonts w:cs="Segoe UI"/>
          <w:szCs w:val="20"/>
        </w:rPr>
        <w:t> </w:t>
      </w:r>
      <w:r>
        <w:rPr>
          <w:rFonts w:cs="Segoe UI"/>
          <w:szCs w:val="20"/>
        </w:rPr>
        <w:t>septembra 2021. Počet znevýhodnených 5-ročných detí narástol medzi rokmi 2020 a 2022 v 286 MŠ. K nárastu inkluzívneho personálu došlo v 79 z nich.</w:t>
      </w:r>
      <w:r w:rsidR="003D6146" w:rsidRPr="003D6146">
        <w:rPr>
          <w:rFonts w:cs="Segoe UI"/>
          <w:szCs w:val="20"/>
        </w:rPr>
        <w:t xml:space="preserve"> V 173 MŠ nenastala žiadna zmena a</w:t>
      </w:r>
      <w:r w:rsidR="003D6146">
        <w:rPr>
          <w:rFonts w:cs="Segoe UI"/>
          <w:szCs w:val="20"/>
        </w:rPr>
        <w:t xml:space="preserve"> v </w:t>
      </w:r>
      <w:r w:rsidR="003D6146" w:rsidRPr="003D6146">
        <w:rPr>
          <w:rFonts w:cs="Segoe UI"/>
          <w:szCs w:val="20"/>
        </w:rPr>
        <w:t>34 MŠ došlo k zníženiu počtu inkluzív</w:t>
      </w:r>
      <w:r w:rsidR="003D6146">
        <w:rPr>
          <w:rFonts w:cs="Segoe UI"/>
          <w:szCs w:val="20"/>
        </w:rPr>
        <w:t>n</w:t>
      </w:r>
      <w:r w:rsidR="003D6146" w:rsidRPr="003D6146">
        <w:rPr>
          <w:rFonts w:cs="Segoe UI"/>
          <w:szCs w:val="20"/>
        </w:rPr>
        <w:t>eho personálu</w:t>
      </w:r>
      <w:r>
        <w:rPr>
          <w:rFonts w:cs="Segoe UI"/>
          <w:szCs w:val="20"/>
        </w:rPr>
        <w:t xml:space="preserve"> </w:t>
      </w:r>
      <w:r w:rsidRPr="00C054EF">
        <w:rPr>
          <w:rFonts w:cs="Segoe UI"/>
          <w:szCs w:val="20"/>
        </w:rPr>
        <w:t>(graf</w:t>
      </w:r>
      <w:r w:rsidR="0033663A" w:rsidRPr="00C054EF">
        <w:rPr>
          <w:rFonts w:cs="Segoe UI"/>
          <w:szCs w:val="20"/>
        </w:rPr>
        <w:t xml:space="preserve"> 14</w:t>
      </w:r>
      <w:r w:rsidRPr="00C054EF">
        <w:rPr>
          <w:rFonts w:cs="Segoe UI"/>
          <w:szCs w:val="20"/>
        </w:rPr>
        <w:t>). Identifikujeme aj MŠ, v ktorých narástol počet znevýhodnených 5-ročných detí o 10 a viac, ale k nárastu inkluzívneho</w:t>
      </w:r>
      <w:r w:rsidRPr="00DB7C3D">
        <w:rPr>
          <w:rFonts w:cs="Segoe UI"/>
          <w:szCs w:val="20"/>
        </w:rPr>
        <w:t xml:space="preserve"> personálu nedošlo. Takýcht</w:t>
      </w:r>
      <w:r>
        <w:rPr>
          <w:rFonts w:cs="Segoe UI"/>
          <w:szCs w:val="20"/>
        </w:rPr>
        <w:t>o škôl</w:t>
      </w:r>
      <w:r w:rsidRPr="00DB7C3D">
        <w:rPr>
          <w:rFonts w:cs="Segoe UI"/>
          <w:szCs w:val="20"/>
        </w:rPr>
        <w:t xml:space="preserve"> bolo 20. Extr</w:t>
      </w:r>
      <w:r>
        <w:rPr>
          <w:rFonts w:cs="Segoe UI"/>
          <w:szCs w:val="20"/>
        </w:rPr>
        <w:t>émnym prípadom je škola</w:t>
      </w:r>
      <w:r w:rsidRPr="00DB7C3D">
        <w:rPr>
          <w:rFonts w:cs="Segoe UI"/>
          <w:szCs w:val="20"/>
        </w:rPr>
        <w:t>, ktorá mala o 56 znevýhodnených 5-ročných detí viac, ale</w:t>
      </w:r>
      <w:r>
        <w:rPr>
          <w:rFonts w:cs="Segoe UI"/>
          <w:szCs w:val="20"/>
        </w:rPr>
        <w:t xml:space="preserve"> </w:t>
      </w:r>
      <w:proofErr w:type="spellStart"/>
      <w:r>
        <w:rPr>
          <w:rFonts w:cs="Segoe UI"/>
          <w:szCs w:val="20"/>
        </w:rPr>
        <w:t>inkluzívny</w:t>
      </w:r>
      <w:proofErr w:type="spellEnd"/>
      <w:r>
        <w:rPr>
          <w:rFonts w:cs="Segoe UI"/>
          <w:szCs w:val="20"/>
        </w:rPr>
        <w:t xml:space="preserve"> personál sa znížil</w:t>
      </w:r>
      <w:r w:rsidRPr="00DB7C3D">
        <w:rPr>
          <w:rFonts w:cs="Segoe UI"/>
          <w:szCs w:val="20"/>
        </w:rPr>
        <w:t>.</w:t>
      </w:r>
      <w:r>
        <w:rPr>
          <w:rFonts w:cs="Segoe UI"/>
          <w:szCs w:val="20"/>
        </w:rPr>
        <w:t xml:space="preserve"> </w:t>
      </w:r>
      <w:r>
        <w:rPr>
          <w:rFonts w:cs="Segoe UI"/>
          <w:b/>
          <w:szCs w:val="20"/>
        </w:rPr>
        <w:t>Mnohé MŠ</w:t>
      </w:r>
      <w:r w:rsidRPr="00AB4F9F">
        <w:rPr>
          <w:rFonts w:cs="Segoe UI"/>
          <w:b/>
          <w:szCs w:val="20"/>
        </w:rPr>
        <w:t xml:space="preserve"> tak ani po roku od zavedenia povinné</w:t>
      </w:r>
      <w:r>
        <w:rPr>
          <w:rFonts w:cs="Segoe UI"/>
          <w:b/>
          <w:szCs w:val="20"/>
        </w:rPr>
        <w:t>ho</w:t>
      </w:r>
      <w:r w:rsidRPr="00AB4F9F">
        <w:rPr>
          <w:rFonts w:cs="Segoe UI"/>
          <w:b/>
          <w:szCs w:val="20"/>
        </w:rPr>
        <w:t xml:space="preserve"> predprimárneho vzdelávania pre 5-ročné deti nedokázali zabezpečiť adekvátny personál</w:t>
      </w:r>
      <w:r w:rsidRPr="00AB4F9F">
        <w:rPr>
          <w:rFonts w:cs="Segoe UI"/>
          <w:szCs w:val="20"/>
        </w:rPr>
        <w:t>.</w:t>
      </w:r>
    </w:p>
    <w:p w14:paraId="21620E1B" w14:textId="529FA623" w:rsidR="00887AA2" w:rsidRPr="00BC3CA3" w:rsidRDefault="00887AA2" w:rsidP="00887AA2">
      <w:pPr>
        <w:pStyle w:val="Popis"/>
        <w:keepNext/>
        <w:rPr>
          <w:color w:val="314364"/>
        </w:rPr>
      </w:pPr>
      <w:r>
        <w:rPr>
          <w:color w:val="314364"/>
        </w:rPr>
        <w:lastRenderedPageBreak/>
        <w:t xml:space="preserve">Graf </w:t>
      </w:r>
      <w:r w:rsidR="0033663A">
        <w:rPr>
          <w:color w:val="314364"/>
        </w:rPr>
        <w:t>14</w:t>
      </w:r>
      <w:r>
        <w:rPr>
          <w:color w:val="314364"/>
        </w:rPr>
        <w:t xml:space="preserve">: </w:t>
      </w:r>
      <w:r w:rsidRPr="00B04781">
        <w:rPr>
          <w:color w:val="314364"/>
        </w:rPr>
        <w:t>Inkluzívny personál v MŠ, v ktorých medzi rokmi 2020 a 2022 narástol počet znevýhodnených 5-ročných detí</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887AA2" w:rsidRPr="00C75134" w14:paraId="7A52B23F" w14:textId="77777777" w:rsidTr="00D612BC">
        <w:trPr>
          <w:trHeight w:val="3969"/>
        </w:trPr>
        <w:tc>
          <w:tcPr>
            <w:tcW w:w="5000" w:type="pct"/>
            <w:tcBorders>
              <w:top w:val="single" w:sz="4" w:space="0" w:color="314364"/>
              <w:bottom w:val="single" w:sz="4" w:space="0" w:color="314364"/>
            </w:tcBorders>
            <w:vAlign w:val="center"/>
          </w:tcPr>
          <w:p w14:paraId="49C3DF1A" w14:textId="77777777" w:rsidR="00887AA2" w:rsidRPr="00C75134" w:rsidRDefault="00887AA2" w:rsidP="00D612BC">
            <w:pPr>
              <w:spacing w:after="0"/>
              <w:jc w:val="left"/>
              <w:rPr>
                <w:b/>
                <w:color w:val="576431"/>
              </w:rPr>
            </w:pPr>
            <w:r>
              <w:rPr>
                <w:noProof/>
                <w:lang w:eastAsia="sk-SK"/>
              </w:rPr>
              <w:drawing>
                <wp:inline distT="0" distB="0" distL="0" distR="0" wp14:anchorId="270B1A84" wp14:editId="7004FE23">
                  <wp:extent cx="5760000" cy="2520000"/>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518D17DE" w14:textId="10B6C767" w:rsidR="00887AA2" w:rsidRDefault="00887AA2" w:rsidP="00887AA2">
      <w:pPr>
        <w:pStyle w:val="Zdroj"/>
        <w:spacing w:after="0"/>
        <w:jc w:val="both"/>
      </w:pPr>
      <w:r>
        <w:t xml:space="preserve">Zdroj: </w:t>
      </w:r>
      <w:r w:rsidR="00CF46E9">
        <w:t>CVTI SR</w:t>
      </w:r>
      <w:r>
        <w:t>; výpočty a spracovanie NKÚ SR.</w:t>
      </w:r>
    </w:p>
    <w:p w14:paraId="2CD97897" w14:textId="77777777" w:rsidR="00887AA2" w:rsidRPr="00B04781" w:rsidRDefault="00887AA2" w:rsidP="00887AA2">
      <w:pPr>
        <w:pStyle w:val="Zdroj"/>
        <w:jc w:val="both"/>
        <w:rPr>
          <w:i w:val="0"/>
        </w:rPr>
      </w:pPr>
      <w:r>
        <w:t xml:space="preserve">Poznámka: </w:t>
      </w:r>
      <w:r w:rsidRPr="00561DFD">
        <w:t xml:space="preserve">znevýhodnené deti: deti so zdravotným znevýhodnením, deti s nadaním (v rokoch 2020 a 2021 išlo o jedno dieťa a v roku 2022 boli takéto deti tri) a deti zo sociálne znevýhodneného prostredia; </w:t>
      </w:r>
      <w:proofErr w:type="spellStart"/>
      <w:r w:rsidRPr="00561DFD">
        <w:t>inkluzívny</w:t>
      </w:r>
      <w:proofErr w:type="spellEnd"/>
      <w:r w:rsidRPr="00561DFD">
        <w:t xml:space="preserve"> personál: asistenti učiteľa, pomocní vychovávatelia, školskí psychológovia, školskí špeciálni psycholó</w:t>
      </w:r>
      <w:r>
        <w:t>govia a iní odborní zamestnanci</w:t>
      </w:r>
    </w:p>
    <w:p w14:paraId="2DF403A3" w14:textId="29EFD981" w:rsidR="00887AA2" w:rsidRDefault="00887AA2" w:rsidP="00887AA2">
      <w:pPr>
        <w:rPr>
          <w:rFonts w:cs="Segoe UI"/>
          <w:szCs w:val="20"/>
        </w:rPr>
      </w:pPr>
      <w:r w:rsidRPr="00CA21AD">
        <w:rPr>
          <w:rFonts w:cs="Segoe UI"/>
          <w:b/>
          <w:szCs w:val="20"/>
        </w:rPr>
        <w:t>Ministerstvo by popri potrebnom zvyšovaní kapacity MŠ a účasti na predprimárnom vzdelávaní nemalo zabúdať na zabezpečenie jeho kvality</w:t>
      </w:r>
      <w:r>
        <w:rPr>
          <w:rFonts w:cs="Segoe UI"/>
          <w:szCs w:val="20"/>
        </w:rPr>
        <w:t>. Ak rast</w:t>
      </w:r>
      <w:r w:rsidRPr="00057F60">
        <w:rPr>
          <w:rFonts w:cs="Segoe UI"/>
          <w:szCs w:val="20"/>
        </w:rPr>
        <w:t xml:space="preserve"> účasti na predprimár</w:t>
      </w:r>
      <w:r>
        <w:rPr>
          <w:rFonts w:cs="Segoe UI"/>
          <w:szCs w:val="20"/>
        </w:rPr>
        <w:t>nom vzdelávaní nebude sprevádzaný dostatočným nárastom</w:t>
      </w:r>
      <w:r w:rsidRPr="00057F60">
        <w:rPr>
          <w:rFonts w:cs="Segoe UI"/>
          <w:szCs w:val="20"/>
        </w:rPr>
        <w:t xml:space="preserve"> inkluzívneho personálu</w:t>
      </w:r>
      <w:r>
        <w:rPr>
          <w:rFonts w:cs="Segoe UI"/>
          <w:szCs w:val="20"/>
        </w:rPr>
        <w:t>,</w:t>
      </w:r>
      <w:r w:rsidRPr="00057F60">
        <w:rPr>
          <w:rFonts w:cs="Segoe UI"/>
          <w:szCs w:val="20"/>
        </w:rPr>
        <w:t xml:space="preserve"> kvalita predprimárneho vzdelávania</w:t>
      </w:r>
      <w:r>
        <w:rPr>
          <w:rFonts w:cs="Segoe UI"/>
          <w:szCs w:val="20"/>
        </w:rPr>
        <w:t xml:space="preserve"> bude</w:t>
      </w:r>
      <w:r w:rsidRPr="00057F60">
        <w:rPr>
          <w:rFonts w:cs="Segoe UI"/>
          <w:szCs w:val="20"/>
        </w:rPr>
        <w:t xml:space="preserve"> nevyhnutne klesať. </w:t>
      </w:r>
      <w:r>
        <w:rPr>
          <w:rFonts w:cs="Segoe UI"/>
          <w:szCs w:val="20"/>
        </w:rPr>
        <w:t>Dáta CVTI SR ukazujú, že počet inkluzívneho personálu narástol zo 714 v septembri 2020 na 895 v septembri 2022.</w:t>
      </w:r>
      <w:r>
        <w:rPr>
          <w:rStyle w:val="Odkaznapoznmkupodiarou"/>
          <w:rFonts w:cs="Segoe UI"/>
          <w:szCs w:val="20"/>
        </w:rPr>
        <w:footnoteReference w:id="45"/>
      </w:r>
      <w:r>
        <w:rPr>
          <w:rFonts w:cs="Segoe UI"/>
          <w:szCs w:val="20"/>
        </w:rPr>
        <w:t xml:space="preserve"> Je však otázne, či ide o dostatočný nárast</w:t>
      </w:r>
      <w:r>
        <w:rPr>
          <w:rStyle w:val="Odkaznapoznmkupodiarou"/>
          <w:rFonts w:cs="Segoe UI"/>
          <w:szCs w:val="20"/>
        </w:rPr>
        <w:footnoteReference w:id="46"/>
      </w:r>
      <w:r>
        <w:rPr>
          <w:rFonts w:cs="Segoe UI"/>
          <w:szCs w:val="20"/>
        </w:rPr>
        <w:t xml:space="preserve"> a či títo zamestnanci smerujú tam, kde sú najviac </w:t>
      </w:r>
      <w:r w:rsidRPr="00C054EF">
        <w:rPr>
          <w:rFonts w:cs="Segoe UI"/>
          <w:szCs w:val="20"/>
        </w:rPr>
        <w:t>potrební (graf</w:t>
      </w:r>
      <w:r w:rsidR="0033663A" w:rsidRPr="00C054EF">
        <w:rPr>
          <w:rFonts w:cs="Segoe UI"/>
          <w:szCs w:val="20"/>
        </w:rPr>
        <w:t xml:space="preserve"> 14</w:t>
      </w:r>
      <w:r w:rsidRPr="00C054EF">
        <w:rPr>
          <w:rFonts w:cs="Segoe UI"/>
          <w:szCs w:val="20"/>
        </w:rPr>
        <w:t xml:space="preserve"> ukazuje,</w:t>
      </w:r>
      <w:r>
        <w:rPr>
          <w:rFonts w:cs="Segoe UI"/>
          <w:szCs w:val="20"/>
        </w:rPr>
        <w:t xml:space="preserve"> že sa tak nedeje). Skvalitnenie vzdelávania detí z prostredia generačnej chudoby, so zdravotným postihnutím, či inak znevýhodnených detí, resp. </w:t>
      </w:r>
      <w:r w:rsidRPr="000F2C84">
        <w:rPr>
          <w:rFonts w:cs="Segoe UI"/>
          <w:b/>
          <w:szCs w:val="20"/>
        </w:rPr>
        <w:t xml:space="preserve">uplatňovanie </w:t>
      </w:r>
      <w:proofErr w:type="spellStart"/>
      <w:r w:rsidRPr="000F2C84">
        <w:rPr>
          <w:rFonts w:cs="Segoe UI"/>
          <w:b/>
          <w:szCs w:val="20"/>
        </w:rPr>
        <w:t>inkluzívnych</w:t>
      </w:r>
      <w:proofErr w:type="spellEnd"/>
      <w:r w:rsidRPr="000F2C84">
        <w:rPr>
          <w:rFonts w:cs="Segoe UI"/>
          <w:b/>
          <w:szCs w:val="20"/>
        </w:rPr>
        <w:t xml:space="preserve"> opatren</w:t>
      </w:r>
      <w:r>
        <w:rPr>
          <w:rFonts w:cs="Segoe UI"/>
          <w:b/>
          <w:szCs w:val="20"/>
        </w:rPr>
        <w:t>í sa nachádza v programovom vyhlásení vlády ako krátkodobá priorita</w:t>
      </w:r>
      <w:r>
        <w:rPr>
          <w:rFonts w:cs="Segoe UI"/>
          <w:szCs w:val="20"/>
        </w:rPr>
        <w:t xml:space="preserve">. </w:t>
      </w:r>
      <w:r>
        <w:rPr>
          <w:rFonts w:cs="Segoe UI"/>
          <w:b/>
          <w:szCs w:val="20"/>
        </w:rPr>
        <w:t>Je však otázne, či sa dočkajú aj MŠ</w:t>
      </w:r>
      <w:r>
        <w:rPr>
          <w:rFonts w:cs="Segoe UI"/>
          <w:szCs w:val="20"/>
        </w:rPr>
        <w:t xml:space="preserve"> – s pôsobením pedagogických asistentov a školských podporných tímov (odborní zamestnanci a školskí špeciáln</w:t>
      </w:r>
      <w:r w:rsidR="007A35C9">
        <w:rPr>
          <w:rFonts w:cs="Segoe UI"/>
          <w:szCs w:val="20"/>
        </w:rPr>
        <w:t>i</w:t>
      </w:r>
      <w:r>
        <w:rPr>
          <w:rFonts w:cs="Segoe UI"/>
          <w:szCs w:val="20"/>
        </w:rPr>
        <w:t xml:space="preserve"> pedagógovia) na MŠ sa v rámci schváleného</w:t>
      </w:r>
      <w:r w:rsidRPr="00904B9E">
        <w:rPr>
          <w:rFonts w:cs="Segoe UI"/>
          <w:szCs w:val="20"/>
        </w:rPr>
        <w:t xml:space="preserve"> systém</w:t>
      </w:r>
      <w:r>
        <w:rPr>
          <w:rFonts w:cs="Segoe UI"/>
          <w:szCs w:val="20"/>
        </w:rPr>
        <w:t>u</w:t>
      </w:r>
      <w:r w:rsidRPr="00904B9E">
        <w:rPr>
          <w:rFonts w:cs="Segoe UI"/>
          <w:szCs w:val="20"/>
        </w:rPr>
        <w:t xml:space="preserve"> podporných opatrení</w:t>
      </w:r>
      <w:r>
        <w:rPr>
          <w:rFonts w:cs="Segoe UI"/>
          <w:szCs w:val="20"/>
        </w:rPr>
        <w:t xml:space="preserve"> ráta až od školského roka 2026/2027 (v prípade ZŠ, SŠ, ŠMŠ, ŠZŠ a ŠSŠ už od školského roka 2024/2025).</w:t>
      </w:r>
      <w:r>
        <w:rPr>
          <w:rStyle w:val="Odkaznapoznmkupodiarou"/>
          <w:rFonts w:cs="Segoe UI"/>
          <w:szCs w:val="20"/>
        </w:rPr>
        <w:footnoteReference w:id="47"/>
      </w:r>
    </w:p>
    <w:p w14:paraId="053C4256" w14:textId="7D4E9CD3" w:rsidR="00887AA2" w:rsidRDefault="00887AA2" w:rsidP="00BA10B2">
      <w:pPr>
        <w:pStyle w:val="Nadpis3"/>
      </w:pPr>
      <w:r>
        <w:t xml:space="preserve"> </w:t>
      </w:r>
      <w:bookmarkStart w:id="42" w:name="_Toc153784713"/>
      <w:r>
        <w:t>Dlhodobo poddimenzované zabezpečenie učebníc</w:t>
      </w:r>
      <w:bookmarkEnd w:id="42"/>
    </w:p>
    <w:p w14:paraId="73C9809B" w14:textId="4B0F3814" w:rsidR="00887AA2" w:rsidRDefault="00887AA2" w:rsidP="00887AA2">
      <w:r w:rsidRPr="00A30B4A">
        <w:rPr>
          <w:b/>
        </w:rPr>
        <w:t>Zabezpečenie učebníc pre žiakov ZŠ a SŠ je podľa ministerstva školstva dlhodobo poddimenzované</w:t>
      </w:r>
      <w:r w:rsidR="00FD7F1F" w:rsidRPr="00A30B4A">
        <w:rPr>
          <w:b/>
        </w:rPr>
        <w:t>.</w:t>
      </w:r>
      <w:r w:rsidRPr="00A30B4A">
        <w:rPr>
          <w:b/>
        </w:rPr>
        <w:t xml:space="preserve"> </w:t>
      </w:r>
      <w:r w:rsidR="00715454">
        <w:t>P</w:t>
      </w:r>
      <w:r>
        <w:t>rostriedky zo ŠR (6,5 mil. eur) navyše</w:t>
      </w:r>
      <w:r w:rsidRPr="00404C04">
        <w:t xml:space="preserve"> </w:t>
      </w:r>
      <w:r>
        <w:t>nezohľadňujú infláciu a nárast cien energií, papiera a</w:t>
      </w:r>
      <w:r w:rsidRPr="00404C04">
        <w:t xml:space="preserve"> tlače.</w:t>
      </w:r>
      <w:r>
        <w:t xml:space="preserve"> Na zabezpečenie finančných prostriedkov</w:t>
      </w:r>
      <w:r w:rsidRPr="00404C04">
        <w:t xml:space="preserve"> pre všetkých ži</w:t>
      </w:r>
      <w:r>
        <w:t xml:space="preserve">akov ZŠ a SŠ preto žiadalo na rok 2024 dodatočných </w:t>
      </w:r>
      <w:r w:rsidRPr="00404C04">
        <w:t>28</w:t>
      </w:r>
      <w:r>
        <w:t>,9 mil. eur (celkovo 44 mil. eur).</w:t>
      </w:r>
      <w:r>
        <w:rPr>
          <w:rStyle w:val="Odkaznapoznmkupodiarou"/>
        </w:rPr>
        <w:footnoteReference w:id="48"/>
      </w:r>
      <w:r>
        <w:t xml:space="preserve"> Návrh rozpočtu ráta s každoročným zvýšením prostriedkov zo ŠR o 10 mil. eur na celkovú sumu 16,5 mil. eur. Vrátane prostriedkov z </w:t>
      </w:r>
      <w:r w:rsidR="00FD7F1F">
        <w:t>POO</w:t>
      </w:r>
      <w:r>
        <w:t xml:space="preserve"> však v roku 2024 pôjde o celkový príspevok nižší o 3 mil. eur v porovnaní s rokom 2023 a o 21 mil. eur nižší ako žiadalo ministerstvo.</w:t>
      </w:r>
    </w:p>
    <w:p w14:paraId="1A1E8A3A" w14:textId="72718FF4" w:rsidR="00A30B4A" w:rsidRDefault="00A30B4A" w:rsidP="00A30B4A">
      <w:r w:rsidRPr="00A30B4A">
        <w:rPr>
          <w:b/>
        </w:rPr>
        <w:t>Výzvou zostáva aj digitalizácia učebníc a učebných materiálov.</w:t>
      </w:r>
      <w:r>
        <w:t xml:space="preserve"> Tá mala byť podporená v rámci POO s cieľom posilniť interaktívne prvky vo výučbe, v prípade potreby uľahčiť dištančné vzdelávanie či znížiť </w:t>
      </w:r>
      <w:r>
        <w:lastRenderedPageBreak/>
        <w:t>náklady na tlač a podporiť</w:t>
      </w:r>
      <w:r w:rsidRPr="002972C4">
        <w:t xml:space="preserve"> digitálnu a zelenú transformáciu.</w:t>
      </w:r>
      <w:r>
        <w:t xml:space="preserve"> NKÚ SR už v roku 2020 upozorňoval, že digitálne učebnice </w:t>
      </w:r>
      <w:r w:rsidRPr="0036439F">
        <w:t>môžu pomôcť búrať administratívne bariéry, odstránia prekážky súvisiace s prístupom ku kvalitnejším učebniciam a prispejú k lepšiemu využívaniu verejných prostriedkov v celom systéme základného i stredného školstva</w:t>
      </w:r>
      <w:r>
        <w:t>.</w:t>
      </w:r>
      <w:r>
        <w:rPr>
          <w:rStyle w:val="Odkaznapoznmkupodiarou"/>
        </w:rPr>
        <w:footnoteReference w:id="49"/>
      </w:r>
    </w:p>
    <w:p w14:paraId="1457B053" w14:textId="3609795B" w:rsidR="00887AA2" w:rsidRPr="00BC3CA3" w:rsidRDefault="00887AA2" w:rsidP="00887AA2">
      <w:pPr>
        <w:pStyle w:val="Popis"/>
        <w:keepNext/>
        <w:rPr>
          <w:color w:val="314364"/>
        </w:rPr>
      </w:pPr>
      <w:r>
        <w:rPr>
          <w:color w:val="314364"/>
        </w:rPr>
        <w:t xml:space="preserve">Graf </w:t>
      </w:r>
      <w:r w:rsidR="0033663A">
        <w:rPr>
          <w:color w:val="314364"/>
        </w:rPr>
        <w:t>15</w:t>
      </w:r>
      <w:r>
        <w:rPr>
          <w:color w:val="314364"/>
        </w:rPr>
        <w:t>: Celkový príspevok na učebnice</w:t>
      </w:r>
      <w:r w:rsidR="0033663A">
        <w:rPr>
          <w:color w:val="314364"/>
        </w:rPr>
        <w:t xml:space="preserve"> (v mil. eur)</w:t>
      </w:r>
    </w:p>
    <w:tbl>
      <w:tblPr>
        <w:tblStyle w:val="Mriekatabuky"/>
        <w:tblW w:w="50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50"/>
      </w:tblGrid>
      <w:tr w:rsidR="00887AA2" w:rsidRPr="00C75134" w14:paraId="34C05379" w14:textId="77777777" w:rsidTr="0029471F">
        <w:trPr>
          <w:trHeight w:val="2818"/>
        </w:trPr>
        <w:tc>
          <w:tcPr>
            <w:tcW w:w="9250" w:type="dxa"/>
            <w:tcBorders>
              <w:top w:val="single" w:sz="4" w:space="0" w:color="314364"/>
              <w:bottom w:val="single" w:sz="4" w:space="0" w:color="314364"/>
            </w:tcBorders>
            <w:vAlign w:val="center"/>
          </w:tcPr>
          <w:p w14:paraId="031416EE" w14:textId="77777777" w:rsidR="00887AA2" w:rsidRPr="00C75134" w:rsidRDefault="00887AA2" w:rsidP="00D612BC">
            <w:pPr>
              <w:spacing w:after="0"/>
              <w:jc w:val="left"/>
              <w:rPr>
                <w:b/>
                <w:color w:val="576431"/>
              </w:rPr>
            </w:pPr>
            <w:r>
              <w:rPr>
                <w:noProof/>
                <w:lang w:eastAsia="sk-SK"/>
              </w:rPr>
              <w:drawing>
                <wp:inline distT="0" distB="0" distL="0" distR="0" wp14:anchorId="0A9669CC" wp14:editId="5CBA79E8">
                  <wp:extent cx="5759450" cy="1781175"/>
                  <wp:effectExtent l="0" t="0" r="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514F067A" w14:textId="77777777" w:rsidR="00887AA2" w:rsidRDefault="00887AA2" w:rsidP="00887AA2">
      <w:pPr>
        <w:pStyle w:val="Zdroj"/>
        <w:jc w:val="both"/>
        <w:rPr>
          <w:i w:val="0"/>
        </w:rPr>
      </w:pPr>
      <w:r>
        <w:t>Zdroj: MŠVVaŠ SR; spracovanie NKÚ SR.</w:t>
      </w:r>
    </w:p>
    <w:p w14:paraId="5024D9A7" w14:textId="383F052C" w:rsidR="00887AA2" w:rsidRPr="00B35073" w:rsidRDefault="00887AA2" w:rsidP="00BA10B2">
      <w:pPr>
        <w:pStyle w:val="Nadpis3"/>
      </w:pPr>
      <w:r>
        <w:t xml:space="preserve"> </w:t>
      </w:r>
      <w:bookmarkStart w:id="43" w:name="_Toc153784714"/>
      <w:r>
        <w:t>IT projekty v rezorte</w:t>
      </w:r>
      <w:bookmarkEnd w:id="43"/>
    </w:p>
    <w:p w14:paraId="30BEBE46" w14:textId="77777777" w:rsidR="00887AA2" w:rsidRPr="00D364B0" w:rsidRDefault="00887AA2" w:rsidP="00887AA2">
      <w:pPr>
        <w:spacing w:before="120"/>
        <w:rPr>
          <w:rFonts w:cs="Segoe UI"/>
          <w:szCs w:val="20"/>
        </w:rPr>
      </w:pPr>
      <w:r w:rsidRPr="00D364B0">
        <w:rPr>
          <w:rFonts w:cs="Segoe UI"/>
          <w:szCs w:val="20"/>
        </w:rPr>
        <w:t xml:space="preserve">Opatrenia POO v Komponente 17 - Digitálne Slovensko zahŕňajú aj investície do vzdelávania. MŠVVŠ SR je gestorom najdrahších IT projektov – Digitálne vybavenie škôl a Digitálna infraštruktúra škôl. V rámci projektu Digitálne vybavenie škôl investičné náklady predstavujú 122,8 mil. eur. Náklady na prevádzku vo výške 173,5 mil. eur za osem rokov (z toho 119,5 mil. eur obnova zariadení) nie sú v projekte zahrnuté, financovanie prevádzky má byť v gescii škôl. Ďalšie vyvolané náklady – 38,4 mil. eur na zriadenie </w:t>
      </w:r>
      <w:proofErr w:type="spellStart"/>
      <w:r w:rsidRPr="00D364B0">
        <w:rPr>
          <w:rFonts w:cs="Segoe UI"/>
          <w:szCs w:val="20"/>
        </w:rPr>
        <w:t>Delivery</w:t>
      </w:r>
      <w:proofErr w:type="spellEnd"/>
      <w:r w:rsidRPr="00D364B0">
        <w:rPr>
          <w:rFonts w:cs="Segoe UI"/>
          <w:szCs w:val="20"/>
        </w:rPr>
        <w:t xml:space="preserve"> </w:t>
      </w:r>
      <w:proofErr w:type="spellStart"/>
      <w:r w:rsidRPr="00D364B0">
        <w:rPr>
          <w:rFonts w:cs="Segoe UI"/>
          <w:szCs w:val="20"/>
        </w:rPr>
        <w:t>Unit</w:t>
      </w:r>
      <w:proofErr w:type="spellEnd"/>
      <w:r w:rsidRPr="00D364B0">
        <w:rPr>
          <w:rFonts w:cs="Segoe UI"/>
          <w:szCs w:val="20"/>
        </w:rPr>
        <w:t xml:space="preserve"> a dodatočných školských koordinátorov – majú byť financované z iných projektov. Merateľným cieľom do konca roka 2025 je zvýšenie počtu škôl s plným vstupným digitálnym vybavením na 90 % z pôvodných 30 %. Ďalší projekt – Digitálna infraštruktúra škôl má schválené investičné náklady v hodnote 68,6 mil. eur a prevádzkové náklady na obdobie 10 rokov sú 38,7 mil. eur. Súčasťou investičných nákladov je nákup technologických zariadení a zabezpečenie inštalačných a konfiguračných prác. Súčasťou prevádzkových nákladov na obdobie 10 rokov vo výške 38,7 mil. eur s DPH je aj obnova zariadení v siedmom roku vo výške 33 mil. eur s DPH. </w:t>
      </w:r>
    </w:p>
    <w:p w14:paraId="312B05BD" w14:textId="0218A2BE" w:rsidR="00FD7F1F" w:rsidRDefault="007A35C9" w:rsidP="00C021DA">
      <w:pPr>
        <w:rPr>
          <w:rFonts w:cs="Segoe UI"/>
          <w:szCs w:val="20"/>
        </w:rPr>
      </w:pPr>
      <w:r w:rsidRPr="00F15428">
        <w:rPr>
          <w:rFonts w:cs="Segoe UI"/>
          <w:b/>
          <w:szCs w:val="20"/>
        </w:rPr>
        <w:t>NKÚ SR upozorňuje na neefektívne budovanie digitálnej infraštruktúry v súvislosti s vysokými finančnými nákladmi</w:t>
      </w:r>
      <w:r>
        <w:rPr>
          <w:rFonts w:cs="Segoe UI"/>
          <w:b/>
          <w:szCs w:val="20"/>
        </w:rPr>
        <w:t>.</w:t>
      </w:r>
      <w:r w:rsidRPr="00F15428">
        <w:rPr>
          <w:rFonts w:cs="Segoe UI"/>
          <w:b/>
          <w:szCs w:val="20"/>
        </w:rPr>
        <w:t xml:space="preserve"> </w:t>
      </w:r>
      <w:r w:rsidR="00FD7F1F" w:rsidRPr="007A35C9">
        <w:rPr>
          <w:rFonts w:cs="Segoe UI"/>
          <w:szCs w:val="20"/>
        </w:rPr>
        <w:t>IT projekty MŠVVŠ SR sú vysoko rizikové hlavne z hľadiska nehospodárneho nákupu HW komponentov, vysokých nákladov a slabému naplneniu reálnych potrieb škôl.</w:t>
      </w:r>
      <w:r w:rsidR="00FD7F1F" w:rsidRPr="00D364B0">
        <w:rPr>
          <w:rFonts w:cs="Segoe UI"/>
          <w:szCs w:val="20"/>
        </w:rPr>
        <w:t xml:space="preserve"> V súvislosti s vysokými plánovanými prostriedkami sú aj vysoké prevádzkové náklady na udržateľnosť výsledkov projektu. Jednotné vybavenie všetkých škôl nereflektuje na ich zameranie a individuálne požiadavky v parametroch dodávaných zariadení.</w:t>
      </w:r>
    </w:p>
    <w:p w14:paraId="5F1D9AFF" w14:textId="77777777" w:rsidR="00C021DA" w:rsidRDefault="00C021DA" w:rsidP="00C021DA">
      <w:pPr>
        <w:spacing w:after="0"/>
        <w:rPr>
          <w:rFonts w:cs="Segoe UI"/>
          <w:szCs w:val="20"/>
        </w:rPr>
      </w:pPr>
      <w:r w:rsidRPr="00C021DA">
        <w:rPr>
          <w:rFonts w:cs="Segoe UI"/>
          <w:b/>
          <w:szCs w:val="20"/>
        </w:rPr>
        <w:t>V správe o výsledku kontroly NKÚ SR upozornil na vznik a pretrvávanie rizika nehospodárneho a neúčinného využívania finančných prostriedkov na plnenie preverovaných zmluvných vzťahov zo strany MŠVVaŠ SR.</w:t>
      </w:r>
      <w:r w:rsidRPr="00C021DA">
        <w:rPr>
          <w:rFonts w:cs="Segoe UI"/>
          <w:szCs w:val="20"/>
        </w:rPr>
        <w:t xml:space="preserve"> </w:t>
      </w:r>
      <w:r w:rsidRPr="00C021DA">
        <w:t xml:space="preserve">V súvislosti s projektom EDUNET_SK, predmetom zmluvy bolo poskytovanie telekomunikačných, dátových služieb a služieb centrálneho manažmentu virtuálnej privátnej siete pre školy v sume viac ako 64 mil. eur. V zmluve neboli relevantne stanovené merateľné ukazovatele pre hospodárne a účinné použitie finančných prostriedkov a ministerstvo pri podpise zmluvy nemalo schválené finančné prostriedky v rozpočte kapitoly. Vzhľadom k tomu, že nie je schválená žiadna dlhodobá, ani strednodobá stratégia poskytovania internetových služieb v školách po ukončení projektu </w:t>
      </w:r>
      <w:r w:rsidRPr="00C021DA">
        <w:lastRenderedPageBreak/>
        <w:t xml:space="preserve">EDUNET_SK je tu riziko opakovania chýb z minulosti, kedy zadanie pre projekt EDUNET_SK nebolo včas pripravené, čo viedlo k nezákonnému predlžovaniu projektu </w:t>
      </w:r>
      <w:proofErr w:type="spellStart"/>
      <w:r w:rsidRPr="00C021DA">
        <w:t>Infovek</w:t>
      </w:r>
      <w:proofErr w:type="spellEnd"/>
      <w:r w:rsidRPr="00C021DA">
        <w:t xml:space="preserve"> 2.</w:t>
      </w:r>
      <w:r w:rsidRPr="00C021DA">
        <w:rPr>
          <w:rStyle w:val="Odkaznapoznmkupodiarou"/>
          <w:rFonts w:cs="Segoe UI"/>
          <w:szCs w:val="20"/>
        </w:rPr>
        <w:t xml:space="preserve"> </w:t>
      </w:r>
      <w:r w:rsidRPr="00C021DA">
        <w:rPr>
          <w:rStyle w:val="Odkaznapoznmkupodiarou"/>
          <w:rFonts w:cs="Segoe UI"/>
          <w:szCs w:val="20"/>
        </w:rPr>
        <w:footnoteReference w:id="50"/>
      </w:r>
    </w:p>
    <w:p w14:paraId="6271591E" w14:textId="71BE24CE" w:rsidR="00FA1775" w:rsidRPr="00432AD8" w:rsidRDefault="00D6774D" w:rsidP="000D631B">
      <w:pPr>
        <w:pStyle w:val="Nadpis2"/>
      </w:pPr>
      <w:bookmarkStart w:id="44" w:name="_Toc153784715"/>
      <w:r>
        <w:t>Životné prostredie</w:t>
      </w:r>
      <w:bookmarkEnd w:id="44"/>
    </w:p>
    <w:p w14:paraId="1D037757" w14:textId="60ACC924" w:rsidR="00B910C5" w:rsidRPr="00B910C5" w:rsidRDefault="00D6774D" w:rsidP="00B910C5">
      <w:pPr>
        <w:rPr>
          <w:szCs w:val="20"/>
        </w:rPr>
      </w:pPr>
      <w:r w:rsidRPr="009651FF">
        <w:rPr>
          <w:b/>
          <w:szCs w:val="20"/>
        </w:rPr>
        <w:t>Výdavky do oblasti životného prostredia by mali v budúcom roku predstavovať spolu 949 mil. eu</w:t>
      </w:r>
      <w:r w:rsidR="009651FF">
        <w:rPr>
          <w:b/>
          <w:szCs w:val="20"/>
        </w:rPr>
        <w:t>r</w:t>
      </w:r>
      <w:r w:rsidR="009651FF" w:rsidRPr="009651FF">
        <w:rPr>
          <w:b/>
          <w:szCs w:val="20"/>
        </w:rPr>
        <w:t>, čo je oproti</w:t>
      </w:r>
      <w:r w:rsidRPr="009651FF">
        <w:rPr>
          <w:b/>
          <w:szCs w:val="20"/>
        </w:rPr>
        <w:t xml:space="preserve"> schválenému rozpočtu na rok 2023 nižšie o 57 %.</w:t>
      </w:r>
      <w:r w:rsidR="00B910C5">
        <w:rPr>
          <w:szCs w:val="20"/>
        </w:rPr>
        <w:t xml:space="preserve"> </w:t>
      </w:r>
      <w:r w:rsidR="00B910C5" w:rsidRPr="00C5094F">
        <w:t xml:space="preserve">445 mil. eur má ísť do kapitoly MŽP SR, čo </w:t>
      </w:r>
      <w:r w:rsidR="00B910C5">
        <w:t>prispeje k</w:t>
      </w:r>
      <w:r w:rsidR="00B910C5" w:rsidRPr="00F15428">
        <w:t xml:space="preserve"> zníženi</w:t>
      </w:r>
      <w:r w:rsidR="00B910C5">
        <w:t>u</w:t>
      </w:r>
      <w:r w:rsidR="00B910C5" w:rsidRPr="00F15428">
        <w:t xml:space="preserve"> výdavkov o</w:t>
      </w:r>
      <w:r w:rsidR="00B910C5">
        <w:t> </w:t>
      </w:r>
      <w:r w:rsidR="00B910C5" w:rsidRPr="00F15428">
        <w:t>73</w:t>
      </w:r>
      <w:r w:rsidR="00B910C5">
        <w:t xml:space="preserve"> </w:t>
      </w:r>
      <w:r w:rsidR="00B910C5" w:rsidRPr="00F15428">
        <w:t>% oproti roku 2023 (1,681 mil. eur)</w:t>
      </w:r>
      <w:r w:rsidR="00B910C5" w:rsidRPr="00C5094F">
        <w:t>. Významná časť je alokovaná v Environmentálnom fonde (</w:t>
      </w:r>
      <w:r w:rsidR="00B910C5" w:rsidRPr="00F15428">
        <w:t>372 mil. eur</w:t>
      </w:r>
      <w:r w:rsidR="00B910C5" w:rsidRPr="00C5094F">
        <w:t>) a Slovenskom vodohospodárskom podniku š. p. (</w:t>
      </w:r>
      <w:r w:rsidR="00B910C5" w:rsidRPr="00F15428">
        <w:t>130 ml. eur</w:t>
      </w:r>
      <w:r w:rsidR="00B910C5" w:rsidRPr="00C5094F">
        <w:t xml:space="preserve">). </w:t>
      </w:r>
    </w:p>
    <w:p w14:paraId="0DD58479" w14:textId="14F26CFE" w:rsidR="002A58E5" w:rsidRDefault="002A58E5" w:rsidP="002A58E5">
      <w:pPr>
        <w:rPr>
          <w:szCs w:val="20"/>
        </w:rPr>
      </w:pPr>
      <w:r w:rsidRPr="00F15428">
        <w:rPr>
          <w:b/>
          <w:szCs w:val="20"/>
        </w:rPr>
        <w:t>Vzhľadom na mnohé aktuálne, ako aj dlhodobo pretrvávajúce problémy v rámci politiky ochrany životného prostredia</w:t>
      </w:r>
      <w:r>
        <w:rPr>
          <w:szCs w:val="20"/>
        </w:rPr>
        <w:t xml:space="preserve"> (environmentálne záťaže, protipovodňová ochrana, odpadové hospodárstvo, riešenie sucha a iné) </w:t>
      </w:r>
      <w:r w:rsidRPr="00F15428">
        <w:rPr>
          <w:b/>
          <w:szCs w:val="20"/>
        </w:rPr>
        <w:t>rozpočtované prostriedky na rok 2024</w:t>
      </w:r>
      <w:r>
        <w:rPr>
          <w:szCs w:val="20"/>
        </w:rPr>
        <w:t xml:space="preserve"> </w:t>
      </w:r>
      <w:r w:rsidRPr="00953C3F">
        <w:rPr>
          <w:b/>
          <w:szCs w:val="20"/>
        </w:rPr>
        <w:t>nepokrývajú</w:t>
      </w:r>
      <w:r>
        <w:rPr>
          <w:szCs w:val="20"/>
        </w:rPr>
        <w:t xml:space="preserve"> </w:t>
      </w:r>
      <w:r w:rsidRPr="00953C3F">
        <w:rPr>
          <w:b/>
          <w:szCs w:val="20"/>
        </w:rPr>
        <w:t>zabezpečenie nevyhnutných úloh v rezorte</w:t>
      </w:r>
      <w:r>
        <w:rPr>
          <w:szCs w:val="20"/>
        </w:rPr>
        <w:t xml:space="preserve"> </w:t>
      </w:r>
      <w:r w:rsidRPr="00F15428">
        <w:rPr>
          <w:b/>
          <w:szCs w:val="20"/>
        </w:rPr>
        <w:t xml:space="preserve">a </w:t>
      </w:r>
      <w:r w:rsidRPr="00095288">
        <w:rPr>
          <w:b/>
          <w:szCs w:val="20"/>
        </w:rPr>
        <w:t>nezohľadňujú</w:t>
      </w:r>
      <w:r w:rsidRPr="00F15428">
        <w:rPr>
          <w:b/>
          <w:szCs w:val="20"/>
        </w:rPr>
        <w:t xml:space="preserve"> ani </w:t>
      </w:r>
      <w:r w:rsidRPr="00953C3F">
        <w:rPr>
          <w:b/>
          <w:szCs w:val="20"/>
        </w:rPr>
        <w:t>potreby vyplývajúce z národnej legislatívy</w:t>
      </w:r>
      <w:r w:rsidRPr="007E001E">
        <w:rPr>
          <w:szCs w:val="20"/>
        </w:rPr>
        <w:t xml:space="preserve"> </w:t>
      </w:r>
      <w:r w:rsidRPr="00F15428">
        <w:rPr>
          <w:b/>
          <w:szCs w:val="20"/>
        </w:rPr>
        <w:t>ako aj vo vzťahu</w:t>
      </w:r>
      <w:r w:rsidRPr="00095288">
        <w:rPr>
          <w:b/>
          <w:szCs w:val="20"/>
        </w:rPr>
        <w:t xml:space="preserve"> </w:t>
      </w:r>
      <w:r w:rsidRPr="00F15428">
        <w:rPr>
          <w:b/>
          <w:szCs w:val="20"/>
        </w:rPr>
        <w:t>k</w:t>
      </w:r>
      <w:r w:rsidRPr="00953C3F">
        <w:rPr>
          <w:b/>
          <w:szCs w:val="20"/>
        </w:rPr>
        <w:t xml:space="preserve"> záväzkom voči EÚ</w:t>
      </w:r>
      <w:r w:rsidRPr="007E001E">
        <w:rPr>
          <w:szCs w:val="20"/>
        </w:rPr>
        <w:t xml:space="preserve">. </w:t>
      </w:r>
      <w:r>
        <w:rPr>
          <w:szCs w:val="20"/>
        </w:rPr>
        <w:t>Problematické bude</w:t>
      </w:r>
      <w:r w:rsidRPr="007E001E">
        <w:rPr>
          <w:szCs w:val="20"/>
        </w:rPr>
        <w:t xml:space="preserve"> </w:t>
      </w:r>
      <w:r>
        <w:rPr>
          <w:szCs w:val="20"/>
        </w:rPr>
        <w:t xml:space="preserve">plnenie základných  úloh a cieľov </w:t>
      </w:r>
      <w:r w:rsidRPr="007E001E">
        <w:rPr>
          <w:szCs w:val="20"/>
        </w:rPr>
        <w:t xml:space="preserve"> </w:t>
      </w:r>
      <w:r>
        <w:rPr>
          <w:szCs w:val="20"/>
        </w:rPr>
        <w:t>definovaných</w:t>
      </w:r>
      <w:r w:rsidRPr="007E001E">
        <w:rPr>
          <w:szCs w:val="20"/>
        </w:rPr>
        <w:t xml:space="preserve"> v rámci </w:t>
      </w:r>
      <w:proofErr w:type="spellStart"/>
      <w:r w:rsidRPr="007E001E">
        <w:rPr>
          <w:szCs w:val="20"/>
        </w:rPr>
        <w:t>Envirostratégie</w:t>
      </w:r>
      <w:proofErr w:type="spellEnd"/>
      <w:r w:rsidRPr="007E001E">
        <w:rPr>
          <w:szCs w:val="20"/>
        </w:rPr>
        <w:t xml:space="preserve"> do roku 2030 a Agendy 2030</w:t>
      </w:r>
      <w:r w:rsidRPr="00F72C7E">
        <w:rPr>
          <w:szCs w:val="20"/>
        </w:rPr>
        <w:t>.</w:t>
      </w:r>
    </w:p>
    <w:p w14:paraId="27ED4F87" w14:textId="77777777" w:rsidR="002A58E5" w:rsidRPr="00DF7EE4" w:rsidRDefault="002A58E5" w:rsidP="002A58E5">
      <w:pPr>
        <w:pStyle w:val="Nadpis3"/>
      </w:pPr>
      <w:bookmarkStart w:id="45" w:name="_Toc153784716"/>
      <w:r>
        <w:t>Protipovodňová ochrana a vodné stavby</w:t>
      </w:r>
      <w:bookmarkEnd w:id="45"/>
      <w:r>
        <w:t xml:space="preserve"> </w:t>
      </w:r>
    </w:p>
    <w:p w14:paraId="656CCAE7" w14:textId="12E36954" w:rsidR="00B910C5" w:rsidRDefault="00B910C5" w:rsidP="00B910C5">
      <w:r w:rsidRPr="004B547D">
        <w:t>SVP</w:t>
      </w:r>
      <w:r>
        <w:t>,</w:t>
      </w:r>
      <w:r w:rsidRPr="004B547D">
        <w:t xml:space="preserve"> š.</w:t>
      </w:r>
      <w:r>
        <w:t xml:space="preserve"> </w:t>
      </w:r>
      <w:r w:rsidRPr="004B547D">
        <w:t xml:space="preserve">p. </w:t>
      </w:r>
      <w:r>
        <w:t>je j</w:t>
      </w:r>
      <w:r w:rsidRPr="004B547D">
        <w:t xml:space="preserve">edným zo </w:t>
      </w:r>
      <w:r>
        <w:t xml:space="preserve">strategických </w:t>
      </w:r>
      <w:r w:rsidRPr="004B547D">
        <w:t>subjektov</w:t>
      </w:r>
      <w:r>
        <w:t xml:space="preserve"> štátu, ktorý </w:t>
      </w:r>
      <w:r w:rsidRPr="004B547D">
        <w:t xml:space="preserve">spravuje a chráni toky riek </w:t>
      </w:r>
      <w:r w:rsidR="00595289">
        <w:t>v SR</w:t>
      </w:r>
      <w:r w:rsidRPr="004B547D">
        <w:t xml:space="preserve"> a majetok, ktorý na nich štát postavil</w:t>
      </w:r>
      <w:r>
        <w:t xml:space="preserve"> prostredníctvom </w:t>
      </w:r>
      <w:r w:rsidRPr="004B547D">
        <w:t>infraštruktúr</w:t>
      </w:r>
      <w:r>
        <w:t>y vodných stavieb (v</w:t>
      </w:r>
      <w:r w:rsidRPr="004B547D">
        <w:t>o verejnom záujme sa stará aj o protipovodňovú ochranu</w:t>
      </w:r>
      <w:r>
        <w:t>)</w:t>
      </w:r>
      <w:r w:rsidRPr="004B547D">
        <w:t xml:space="preserve">. </w:t>
      </w:r>
      <w:r w:rsidRPr="00F15428">
        <w:rPr>
          <w:b/>
        </w:rPr>
        <w:t xml:space="preserve">V podniku pretrváva </w:t>
      </w:r>
      <w:r w:rsidRPr="00340E44">
        <w:rPr>
          <w:b/>
          <w:bCs/>
        </w:rPr>
        <w:t xml:space="preserve">finančná </w:t>
      </w:r>
      <w:proofErr w:type="spellStart"/>
      <w:r w:rsidRPr="00340E44">
        <w:rPr>
          <w:b/>
          <w:bCs/>
        </w:rPr>
        <w:t>poddimenzovanosť</w:t>
      </w:r>
      <w:proofErr w:type="spellEnd"/>
      <w:r w:rsidRPr="00F15428">
        <w:rPr>
          <w:b/>
        </w:rPr>
        <w:t xml:space="preserve">, čo ohrozuje aj jeho </w:t>
      </w:r>
      <w:r w:rsidRPr="00340E44">
        <w:rPr>
          <w:b/>
          <w:bCs/>
        </w:rPr>
        <w:t>likviditu</w:t>
      </w:r>
      <w:r w:rsidR="00595289">
        <w:rPr>
          <w:b/>
          <w:bCs/>
        </w:rPr>
        <w:t>.</w:t>
      </w:r>
      <w:r w:rsidRPr="00F15428">
        <w:rPr>
          <w:b/>
        </w:rPr>
        <w:t xml:space="preserve"> </w:t>
      </w:r>
      <w:r w:rsidR="00595289">
        <w:rPr>
          <w:b/>
        </w:rPr>
        <w:t>N</w:t>
      </w:r>
      <w:r w:rsidRPr="00340E44">
        <w:rPr>
          <w:b/>
          <w:bCs/>
        </w:rPr>
        <w:t>epredvídateľnosť financovania</w:t>
      </w:r>
      <w:r w:rsidRPr="00F15428">
        <w:rPr>
          <w:b/>
        </w:rPr>
        <w:t xml:space="preserve"> neregulovaných platieb</w:t>
      </w:r>
      <w:r w:rsidR="00A84655">
        <w:rPr>
          <w:b/>
        </w:rPr>
        <w:t xml:space="preserve"> zo ŠR</w:t>
      </w:r>
      <w:r w:rsidRPr="00F15428">
        <w:rPr>
          <w:b/>
        </w:rPr>
        <w:t xml:space="preserve"> </w:t>
      </w:r>
      <w:r>
        <w:t>(slúžia najmä na zabezpečovanie ochrany pred povodňami)</w:t>
      </w:r>
      <w:r w:rsidRPr="00F15428">
        <w:rPr>
          <w:b/>
        </w:rPr>
        <w:t xml:space="preserve"> </w:t>
      </w:r>
      <w:r w:rsidR="00595289">
        <w:rPr>
          <w:b/>
        </w:rPr>
        <w:t>má</w:t>
      </w:r>
      <w:r w:rsidRPr="00F15428">
        <w:rPr>
          <w:b/>
        </w:rPr>
        <w:t xml:space="preserve"> dopad na starostlivosť o majetok štátu, ktorý podnik spravuje</w:t>
      </w:r>
      <w:r w:rsidR="00595289">
        <w:rPr>
          <w:b/>
        </w:rPr>
        <w:t xml:space="preserve"> a</w:t>
      </w:r>
      <w:r w:rsidRPr="00F15428">
        <w:rPr>
          <w:b/>
        </w:rPr>
        <w:t xml:space="preserve"> ohrozuje poskytovanie kvalitnej ochrany pred povodňami</w:t>
      </w:r>
      <w:r>
        <w:rPr>
          <w:b/>
        </w:rPr>
        <w:t xml:space="preserve"> </w:t>
      </w:r>
      <w:r w:rsidRPr="00F15428">
        <w:t>(graf 21)</w:t>
      </w:r>
      <w:r w:rsidRPr="00340E44">
        <w:t>.</w:t>
      </w:r>
    </w:p>
    <w:p w14:paraId="19B0E6A6" w14:textId="77777777" w:rsidR="00B910C5" w:rsidRPr="00F15428" w:rsidRDefault="00B910C5" w:rsidP="00B910C5">
      <w:pPr>
        <w:pStyle w:val="Default"/>
        <w:rPr>
          <w:rFonts w:ascii="Segoe UI" w:hAnsi="Segoe UI" w:cs="Segoe UI"/>
          <w:b/>
          <w:color w:val="314364" w:themeColor="text2"/>
          <w:sz w:val="20"/>
          <w:szCs w:val="20"/>
        </w:rPr>
      </w:pPr>
      <w:r w:rsidRPr="00F15428">
        <w:rPr>
          <w:rFonts w:ascii="Segoe UI" w:hAnsi="Segoe UI" w:cs="Segoe UI"/>
          <w:b/>
          <w:color w:val="314364" w:themeColor="text2"/>
          <w:sz w:val="20"/>
          <w:szCs w:val="20"/>
        </w:rPr>
        <w:t>Graf</w:t>
      </w:r>
      <w:r>
        <w:rPr>
          <w:rFonts w:ascii="Segoe UI" w:hAnsi="Segoe UI" w:cs="Segoe UI"/>
          <w:b/>
          <w:color w:val="314364" w:themeColor="text2"/>
          <w:sz w:val="20"/>
          <w:szCs w:val="20"/>
        </w:rPr>
        <w:t xml:space="preserve"> 21</w:t>
      </w:r>
      <w:r w:rsidRPr="00F15428">
        <w:rPr>
          <w:rFonts w:ascii="Segoe UI" w:hAnsi="Segoe UI" w:cs="Segoe UI"/>
          <w:b/>
          <w:color w:val="314364" w:themeColor="text2"/>
          <w:sz w:val="20"/>
          <w:szCs w:val="20"/>
        </w:rPr>
        <w:t>:</w:t>
      </w:r>
      <w:r>
        <w:rPr>
          <w:rFonts w:ascii="Segoe UI" w:hAnsi="Segoe UI" w:cs="Segoe UI"/>
          <w:b/>
          <w:color w:val="314364" w:themeColor="text2"/>
          <w:sz w:val="20"/>
          <w:szCs w:val="20"/>
        </w:rPr>
        <w:t xml:space="preserve"> </w:t>
      </w:r>
      <w:r w:rsidRPr="00986160">
        <w:rPr>
          <w:rFonts w:ascii="Segoe UI" w:hAnsi="Segoe UI" w:cs="Segoe UI"/>
          <w:b/>
          <w:color w:val="314364" w:themeColor="text2"/>
          <w:sz w:val="20"/>
          <w:szCs w:val="20"/>
        </w:rPr>
        <w:t>Vý</w:t>
      </w:r>
      <w:r>
        <w:rPr>
          <w:rFonts w:ascii="Segoe UI" w:hAnsi="Segoe UI" w:cs="Segoe UI"/>
          <w:b/>
          <w:color w:val="314364" w:themeColor="text2"/>
          <w:sz w:val="20"/>
          <w:szCs w:val="20"/>
        </w:rPr>
        <w:t xml:space="preserve">sledok hospodárenia SVP, š. p., </w:t>
      </w:r>
      <w:r w:rsidRPr="00986160">
        <w:rPr>
          <w:rFonts w:ascii="Segoe UI" w:hAnsi="Segoe UI" w:cs="Segoe UI"/>
          <w:b/>
          <w:color w:val="314364" w:themeColor="text2"/>
          <w:sz w:val="20"/>
          <w:szCs w:val="20"/>
        </w:rPr>
        <w:t>za účtovné obdobie rokov 2018 až 2023 (v mil. eur)</w:t>
      </w:r>
    </w:p>
    <w:tbl>
      <w:tblPr>
        <w:tblStyle w:val="Mriekatabuky"/>
        <w:tblW w:w="0" w:type="auto"/>
        <w:tblLook w:val="04A0" w:firstRow="1" w:lastRow="0" w:firstColumn="1" w:lastColumn="0" w:noHBand="0" w:noVBand="1"/>
      </w:tblPr>
      <w:tblGrid>
        <w:gridCol w:w="9070"/>
      </w:tblGrid>
      <w:tr w:rsidR="00B910C5" w14:paraId="6B80E563" w14:textId="77777777" w:rsidTr="00B82D9D">
        <w:trPr>
          <w:trHeight w:val="2835"/>
        </w:trPr>
        <w:tc>
          <w:tcPr>
            <w:tcW w:w="9628" w:type="dxa"/>
            <w:tcBorders>
              <w:top w:val="single" w:sz="4" w:space="0" w:color="314364" w:themeColor="text2"/>
              <w:left w:val="nil"/>
              <w:bottom w:val="single" w:sz="4" w:space="0" w:color="314364" w:themeColor="text2"/>
              <w:right w:val="nil"/>
            </w:tcBorders>
          </w:tcPr>
          <w:p w14:paraId="328D22E8" w14:textId="77777777" w:rsidR="00B910C5" w:rsidRDefault="00B910C5" w:rsidP="00B82D9D">
            <w:pPr>
              <w:pStyle w:val="Default"/>
              <w:spacing w:line="276" w:lineRule="auto"/>
              <w:jc w:val="both"/>
              <w:rPr>
                <w:rFonts w:ascii="Segoe UI" w:hAnsi="Segoe UI" w:cs="Segoe UI"/>
                <w:color w:val="auto"/>
                <w:sz w:val="20"/>
                <w:szCs w:val="20"/>
              </w:rPr>
            </w:pPr>
            <w:r>
              <w:rPr>
                <w:noProof/>
                <w:lang w:eastAsia="sk-SK"/>
              </w:rPr>
              <w:drawing>
                <wp:inline distT="0" distB="0" distL="0" distR="0" wp14:anchorId="6F207D95" wp14:editId="4C7EA50E">
                  <wp:extent cx="6012180" cy="1775460"/>
                  <wp:effectExtent l="0" t="0" r="7620" b="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4AECEF44" w14:textId="4BA5DF91" w:rsidR="00B910C5" w:rsidRDefault="00B910C5" w:rsidP="00B910C5">
      <w:pPr>
        <w:pStyle w:val="Zdroj"/>
      </w:pPr>
      <w:r w:rsidRPr="00E25FBC">
        <w:t xml:space="preserve">Zdroj: </w:t>
      </w:r>
      <w:r w:rsidR="00E25FBC" w:rsidRPr="00E25FBC">
        <w:t>SVP, š. p.</w:t>
      </w:r>
      <w:r w:rsidR="00E25FBC">
        <w:t>, Návrh RVS na roky 2024 – 2026</w:t>
      </w:r>
      <w:r w:rsidR="00EA2E18">
        <w:t xml:space="preserve">, </w:t>
      </w:r>
      <w:r>
        <w:t>*očakávaná skutočnosť</w:t>
      </w:r>
    </w:p>
    <w:p w14:paraId="7EA3D78B" w14:textId="1FE908C5" w:rsidR="00B910C5" w:rsidRDefault="00B910C5" w:rsidP="00B910C5">
      <w:pPr>
        <w:pStyle w:val="Default"/>
        <w:spacing w:after="120" w:line="276" w:lineRule="auto"/>
        <w:jc w:val="both"/>
        <w:rPr>
          <w:rFonts w:ascii="Segoe UI" w:hAnsi="Segoe UI" w:cs="Segoe UI"/>
          <w:color w:val="auto"/>
          <w:sz w:val="20"/>
          <w:szCs w:val="20"/>
        </w:rPr>
      </w:pPr>
      <w:r w:rsidRPr="00F15428">
        <w:rPr>
          <w:rFonts w:ascii="Segoe UI" w:hAnsi="Segoe UI" w:cs="Segoe UI"/>
          <w:b/>
          <w:color w:val="auto"/>
          <w:sz w:val="20"/>
          <w:szCs w:val="20"/>
        </w:rPr>
        <w:t xml:space="preserve">Od roku 2010 štát nepreplatil </w:t>
      </w:r>
      <w:r w:rsidR="00A84655">
        <w:rPr>
          <w:rFonts w:ascii="Segoe UI" w:hAnsi="Segoe UI" w:cs="Segoe UI"/>
          <w:b/>
          <w:color w:val="auto"/>
          <w:sz w:val="20"/>
          <w:szCs w:val="20"/>
        </w:rPr>
        <w:t xml:space="preserve">SVP, š. p. </w:t>
      </w:r>
      <w:r w:rsidRPr="00AA6C94">
        <w:rPr>
          <w:rFonts w:ascii="Segoe UI" w:hAnsi="Segoe UI" w:cs="Segoe UI"/>
          <w:b/>
          <w:bCs/>
          <w:color w:val="auto"/>
          <w:sz w:val="20"/>
          <w:szCs w:val="20"/>
        </w:rPr>
        <w:t>cca 334 mil. eur</w:t>
      </w:r>
      <w:r w:rsidRPr="00F15428">
        <w:rPr>
          <w:rFonts w:ascii="Segoe UI" w:hAnsi="Segoe UI" w:cs="Segoe UI"/>
          <w:b/>
          <w:color w:val="auto"/>
          <w:sz w:val="20"/>
          <w:szCs w:val="20"/>
        </w:rPr>
        <w:t xml:space="preserve"> preukázaných </w:t>
      </w:r>
      <w:r w:rsidRPr="00AA6C94">
        <w:rPr>
          <w:rFonts w:ascii="Segoe UI" w:hAnsi="Segoe UI" w:cs="Segoe UI"/>
          <w:b/>
          <w:bCs/>
          <w:color w:val="auto"/>
          <w:sz w:val="20"/>
          <w:szCs w:val="20"/>
        </w:rPr>
        <w:t>nákladov na neregulované služby</w:t>
      </w:r>
      <w:r w:rsidRPr="00F15428">
        <w:rPr>
          <w:rFonts w:ascii="Segoe UI" w:hAnsi="Segoe UI" w:cs="Segoe UI"/>
          <w:b/>
          <w:color w:val="auto"/>
          <w:sz w:val="20"/>
          <w:szCs w:val="20"/>
        </w:rPr>
        <w:t xml:space="preserve"> a každoročne sa tento schodok zvyšuje</w:t>
      </w:r>
      <w:r>
        <w:rPr>
          <w:rStyle w:val="Odkaznapoznmkupodiarou"/>
          <w:rFonts w:ascii="Segoe UI" w:hAnsi="Segoe UI" w:cs="Segoe UI"/>
          <w:color w:val="auto"/>
          <w:sz w:val="20"/>
          <w:szCs w:val="20"/>
        </w:rPr>
        <w:footnoteReference w:id="51"/>
      </w:r>
      <w:r w:rsidRPr="00A45542">
        <w:rPr>
          <w:rFonts w:ascii="Segoe UI" w:hAnsi="Segoe UI" w:cs="Segoe UI"/>
          <w:color w:val="auto"/>
          <w:sz w:val="20"/>
          <w:szCs w:val="20"/>
        </w:rPr>
        <w:t xml:space="preserve">. </w:t>
      </w:r>
      <w:r w:rsidR="004A05BA" w:rsidRPr="004A05BA">
        <w:rPr>
          <w:rFonts w:ascii="Segoe UI" w:hAnsi="Segoe UI" w:cs="Segoe UI"/>
          <w:b/>
          <w:color w:val="auto"/>
          <w:sz w:val="20"/>
          <w:szCs w:val="20"/>
        </w:rPr>
        <w:t>V rámci plnenia programu protipovodňovej ochrany sú pre SVP, š. p. Bratislava vyčlenené na rok 2024 výdavky v sume 2,5 mil. eur, čo je na úrovni roku 2023.</w:t>
      </w:r>
      <w:r w:rsidR="004A05BA" w:rsidRPr="004A05BA">
        <w:rPr>
          <w:rFonts w:ascii="Segoe UI" w:hAnsi="Segoe UI" w:cs="Segoe UI"/>
          <w:color w:val="auto"/>
          <w:sz w:val="20"/>
          <w:szCs w:val="20"/>
        </w:rPr>
        <w:t xml:space="preserve"> </w:t>
      </w:r>
      <w:r w:rsidRPr="00A45542">
        <w:rPr>
          <w:rFonts w:ascii="Segoe UI" w:hAnsi="Segoe UI" w:cs="Segoe UI"/>
          <w:color w:val="auto"/>
          <w:sz w:val="20"/>
          <w:szCs w:val="20"/>
        </w:rPr>
        <w:t>Najmä v</w:t>
      </w:r>
      <w:r>
        <w:rPr>
          <w:rFonts w:ascii="Segoe UI" w:hAnsi="Segoe UI" w:cs="Segoe UI"/>
          <w:color w:val="auto"/>
          <w:sz w:val="20"/>
          <w:szCs w:val="20"/>
        </w:rPr>
        <w:t> </w:t>
      </w:r>
      <w:r w:rsidRPr="00A45542">
        <w:rPr>
          <w:rFonts w:ascii="Segoe UI" w:hAnsi="Segoe UI" w:cs="Segoe UI"/>
          <w:color w:val="auto"/>
          <w:sz w:val="20"/>
          <w:szCs w:val="20"/>
        </w:rPr>
        <w:t>rokoch</w:t>
      </w:r>
      <w:r>
        <w:rPr>
          <w:rFonts w:ascii="Segoe UI" w:hAnsi="Segoe UI" w:cs="Segoe UI"/>
          <w:color w:val="auto"/>
          <w:sz w:val="20"/>
          <w:szCs w:val="20"/>
        </w:rPr>
        <w:t xml:space="preserve"> </w:t>
      </w:r>
      <w:r w:rsidRPr="00F15428">
        <w:rPr>
          <w:rFonts w:ascii="Segoe UI" w:hAnsi="Segoe UI" w:cs="Segoe UI"/>
          <w:bCs/>
          <w:color w:val="auto"/>
          <w:sz w:val="20"/>
          <w:szCs w:val="20"/>
        </w:rPr>
        <w:t>2021</w:t>
      </w:r>
      <w:r w:rsidRPr="00AA6C94">
        <w:rPr>
          <w:rFonts w:ascii="Segoe UI" w:hAnsi="Segoe UI" w:cs="Segoe UI"/>
          <w:color w:val="auto"/>
          <w:sz w:val="20"/>
          <w:szCs w:val="20"/>
        </w:rPr>
        <w:t xml:space="preserve"> a </w:t>
      </w:r>
      <w:r w:rsidRPr="00F15428">
        <w:rPr>
          <w:rFonts w:ascii="Segoe UI" w:hAnsi="Segoe UI" w:cs="Segoe UI"/>
          <w:bCs/>
          <w:color w:val="auto"/>
          <w:sz w:val="20"/>
          <w:szCs w:val="20"/>
        </w:rPr>
        <w:t>2022</w:t>
      </w:r>
      <w:r w:rsidRPr="00A45542">
        <w:rPr>
          <w:rFonts w:ascii="Segoe UI" w:hAnsi="Segoe UI" w:cs="Segoe UI"/>
          <w:color w:val="auto"/>
          <w:sz w:val="20"/>
          <w:szCs w:val="20"/>
        </w:rPr>
        <w:t xml:space="preserve"> došlo k výraznému poklesu</w:t>
      </w:r>
      <w:r>
        <w:rPr>
          <w:rFonts w:ascii="Segoe UI" w:hAnsi="Segoe UI" w:cs="Segoe UI"/>
          <w:color w:val="auto"/>
          <w:sz w:val="20"/>
          <w:szCs w:val="20"/>
        </w:rPr>
        <w:t xml:space="preserve"> </w:t>
      </w:r>
      <w:r w:rsidRPr="00A45542">
        <w:rPr>
          <w:rFonts w:ascii="Segoe UI" w:hAnsi="Segoe UI" w:cs="Segoe UI"/>
          <w:color w:val="auto"/>
          <w:sz w:val="20"/>
          <w:szCs w:val="20"/>
        </w:rPr>
        <w:t xml:space="preserve">platieb zo ŠR </w:t>
      </w:r>
      <w:r w:rsidRPr="00AA6C94">
        <w:rPr>
          <w:rFonts w:ascii="Segoe UI" w:hAnsi="Segoe UI" w:cs="Segoe UI"/>
          <w:color w:val="auto"/>
          <w:sz w:val="20"/>
          <w:szCs w:val="20"/>
        </w:rPr>
        <w:t>–</w:t>
      </w:r>
      <w:r w:rsidR="00A84655">
        <w:rPr>
          <w:rFonts w:ascii="Segoe UI" w:hAnsi="Segoe UI" w:cs="Segoe UI"/>
          <w:color w:val="auto"/>
          <w:sz w:val="20"/>
          <w:szCs w:val="20"/>
        </w:rPr>
        <w:t xml:space="preserve"> v</w:t>
      </w:r>
      <w:r w:rsidRPr="00AA6C94">
        <w:rPr>
          <w:rFonts w:ascii="Segoe UI" w:hAnsi="Segoe UI" w:cs="Segoe UI"/>
          <w:color w:val="auto"/>
          <w:sz w:val="20"/>
          <w:szCs w:val="20"/>
        </w:rPr>
        <w:t xml:space="preserve"> rok</w:t>
      </w:r>
      <w:r w:rsidR="00A84655">
        <w:rPr>
          <w:rFonts w:ascii="Segoe UI" w:hAnsi="Segoe UI" w:cs="Segoe UI"/>
          <w:color w:val="auto"/>
          <w:sz w:val="20"/>
          <w:szCs w:val="20"/>
        </w:rPr>
        <w:t>u</w:t>
      </w:r>
      <w:r w:rsidRPr="00AA6C94">
        <w:rPr>
          <w:rFonts w:ascii="Segoe UI" w:hAnsi="Segoe UI" w:cs="Segoe UI"/>
          <w:color w:val="auto"/>
          <w:sz w:val="20"/>
          <w:szCs w:val="20"/>
        </w:rPr>
        <w:t xml:space="preserve"> </w:t>
      </w:r>
      <w:r w:rsidRPr="00F15428">
        <w:rPr>
          <w:rFonts w:ascii="Segoe UI" w:hAnsi="Segoe UI" w:cs="Segoe UI"/>
          <w:bCs/>
          <w:color w:val="auto"/>
          <w:sz w:val="20"/>
          <w:szCs w:val="20"/>
        </w:rPr>
        <w:t>2021 13,6 %,</w:t>
      </w:r>
      <w:r w:rsidRPr="00AA6C94">
        <w:rPr>
          <w:rFonts w:ascii="Segoe UI" w:hAnsi="Segoe UI" w:cs="Segoe UI"/>
          <w:color w:val="auto"/>
          <w:sz w:val="20"/>
          <w:szCs w:val="20"/>
        </w:rPr>
        <w:t xml:space="preserve"> v roku </w:t>
      </w:r>
      <w:r w:rsidRPr="00F15428">
        <w:rPr>
          <w:rFonts w:ascii="Segoe UI" w:hAnsi="Segoe UI" w:cs="Segoe UI"/>
          <w:bCs/>
          <w:color w:val="auto"/>
          <w:sz w:val="20"/>
          <w:szCs w:val="20"/>
        </w:rPr>
        <w:t xml:space="preserve">2022 </w:t>
      </w:r>
      <w:r w:rsidR="00A84655">
        <w:rPr>
          <w:rFonts w:ascii="Segoe UI" w:hAnsi="Segoe UI" w:cs="Segoe UI"/>
          <w:bCs/>
          <w:color w:val="auto"/>
          <w:sz w:val="20"/>
          <w:szCs w:val="20"/>
        </w:rPr>
        <w:t>iba</w:t>
      </w:r>
      <w:r w:rsidRPr="00F15428">
        <w:rPr>
          <w:rFonts w:ascii="Segoe UI" w:hAnsi="Segoe UI" w:cs="Segoe UI"/>
          <w:bCs/>
          <w:color w:val="auto"/>
          <w:sz w:val="20"/>
          <w:szCs w:val="20"/>
        </w:rPr>
        <w:t xml:space="preserve"> 5 %</w:t>
      </w:r>
      <w:r w:rsidRPr="00AA6C94">
        <w:rPr>
          <w:rFonts w:ascii="Segoe UI" w:hAnsi="Segoe UI" w:cs="Segoe UI"/>
          <w:color w:val="auto"/>
          <w:sz w:val="20"/>
          <w:szCs w:val="20"/>
        </w:rPr>
        <w:t xml:space="preserve"> oprávnených</w:t>
      </w:r>
      <w:r w:rsidRPr="00A45542">
        <w:rPr>
          <w:rFonts w:ascii="Segoe UI" w:hAnsi="Segoe UI" w:cs="Segoe UI"/>
          <w:color w:val="auto"/>
          <w:sz w:val="20"/>
          <w:szCs w:val="20"/>
        </w:rPr>
        <w:t xml:space="preserve"> požiadaviek</w:t>
      </w:r>
      <w:r>
        <w:rPr>
          <w:rFonts w:ascii="Segoe UI" w:hAnsi="Segoe UI" w:cs="Segoe UI"/>
          <w:color w:val="auto"/>
          <w:sz w:val="20"/>
          <w:szCs w:val="20"/>
        </w:rPr>
        <w:t xml:space="preserve"> (</w:t>
      </w:r>
      <w:r w:rsidRPr="00F15428">
        <w:rPr>
          <w:rFonts w:ascii="Segoe UI" w:hAnsi="Segoe UI" w:cs="Segoe UI"/>
          <w:color w:val="auto"/>
          <w:sz w:val="20"/>
          <w:szCs w:val="20"/>
        </w:rPr>
        <w:t>graf</w:t>
      </w:r>
      <w:r w:rsidRPr="00AA6C94">
        <w:rPr>
          <w:rFonts w:ascii="Segoe UI" w:hAnsi="Segoe UI" w:cs="Segoe UI"/>
          <w:color w:val="auto"/>
          <w:sz w:val="20"/>
          <w:szCs w:val="20"/>
        </w:rPr>
        <w:t xml:space="preserve"> 22</w:t>
      </w:r>
      <w:r>
        <w:rPr>
          <w:rFonts w:ascii="Segoe UI" w:hAnsi="Segoe UI" w:cs="Segoe UI"/>
          <w:color w:val="auto"/>
          <w:sz w:val="20"/>
          <w:szCs w:val="20"/>
        </w:rPr>
        <w:t>)</w:t>
      </w:r>
      <w:r w:rsidRPr="00A45542">
        <w:rPr>
          <w:rFonts w:ascii="Segoe UI" w:hAnsi="Segoe UI" w:cs="Segoe UI"/>
          <w:color w:val="auto"/>
          <w:sz w:val="20"/>
          <w:szCs w:val="20"/>
        </w:rPr>
        <w:t>.</w:t>
      </w:r>
      <w:r>
        <w:rPr>
          <w:rFonts w:ascii="Segoe UI" w:hAnsi="Segoe UI" w:cs="Segoe UI"/>
          <w:color w:val="auto"/>
          <w:sz w:val="20"/>
          <w:szCs w:val="20"/>
        </w:rPr>
        <w:t xml:space="preserve"> </w:t>
      </w:r>
      <w:r w:rsidRPr="00A00B2C">
        <w:rPr>
          <w:rFonts w:ascii="Segoe UI" w:hAnsi="Segoe UI" w:cs="Segoe UI"/>
          <w:color w:val="auto"/>
          <w:sz w:val="20"/>
          <w:szCs w:val="20"/>
        </w:rPr>
        <w:t xml:space="preserve">V porovnaní s predchádzajúcim obdobím však ide o výrazné zníženie výdavkov, keďže požiadavky zo strany </w:t>
      </w:r>
      <w:r>
        <w:rPr>
          <w:rFonts w:ascii="Segoe UI" w:hAnsi="Segoe UI" w:cs="Segoe UI"/>
          <w:color w:val="auto"/>
          <w:sz w:val="20"/>
          <w:szCs w:val="20"/>
        </w:rPr>
        <w:t>SVP, š. p.</w:t>
      </w:r>
      <w:r w:rsidRPr="00A00B2C">
        <w:rPr>
          <w:rFonts w:ascii="Segoe UI" w:hAnsi="Segoe UI" w:cs="Segoe UI"/>
          <w:color w:val="auto"/>
          <w:sz w:val="20"/>
          <w:szCs w:val="20"/>
        </w:rPr>
        <w:t xml:space="preserve"> sú výrazne </w:t>
      </w:r>
      <w:r w:rsidRPr="00934D83">
        <w:rPr>
          <w:rFonts w:ascii="Segoe UI" w:hAnsi="Segoe UI" w:cs="Segoe UI"/>
          <w:color w:val="auto"/>
          <w:sz w:val="20"/>
          <w:szCs w:val="20"/>
        </w:rPr>
        <w:t>vyššie (</w:t>
      </w:r>
      <w:r w:rsidRPr="00F15428">
        <w:rPr>
          <w:rFonts w:ascii="Segoe UI" w:hAnsi="Segoe UI" w:cs="Segoe UI"/>
          <w:color w:val="auto"/>
          <w:sz w:val="20"/>
          <w:szCs w:val="20"/>
        </w:rPr>
        <w:t xml:space="preserve">celková </w:t>
      </w:r>
      <w:r w:rsidRPr="00F15428">
        <w:rPr>
          <w:rFonts w:ascii="Segoe UI" w:hAnsi="Segoe UI" w:cs="Segoe UI"/>
          <w:color w:val="auto"/>
          <w:sz w:val="20"/>
          <w:szCs w:val="20"/>
        </w:rPr>
        <w:lastRenderedPageBreak/>
        <w:t>požiadavka je v sume 57,7 mil. eur</w:t>
      </w:r>
      <w:r w:rsidRPr="00934D83">
        <w:rPr>
          <w:rFonts w:ascii="Segoe UI" w:hAnsi="Segoe UI" w:cs="Segoe UI"/>
          <w:color w:val="auto"/>
          <w:sz w:val="20"/>
          <w:szCs w:val="20"/>
        </w:rPr>
        <w:t>).</w:t>
      </w:r>
      <w:r w:rsidRPr="00A00B2C">
        <w:rPr>
          <w:rFonts w:ascii="Segoe UI" w:hAnsi="Segoe UI" w:cs="Segoe UI"/>
          <w:color w:val="auto"/>
          <w:sz w:val="20"/>
          <w:szCs w:val="20"/>
        </w:rPr>
        <w:t xml:space="preserve"> Súčasťou návrhu </w:t>
      </w:r>
      <w:r>
        <w:rPr>
          <w:rFonts w:ascii="Segoe UI" w:hAnsi="Segoe UI" w:cs="Segoe UI"/>
          <w:color w:val="auto"/>
          <w:sz w:val="20"/>
          <w:szCs w:val="20"/>
        </w:rPr>
        <w:t xml:space="preserve">rozpočtu </w:t>
      </w:r>
      <w:r w:rsidRPr="00A00B2C">
        <w:rPr>
          <w:rFonts w:ascii="Segoe UI" w:hAnsi="Segoe UI" w:cs="Segoe UI"/>
          <w:color w:val="auto"/>
          <w:sz w:val="20"/>
          <w:szCs w:val="20"/>
        </w:rPr>
        <w:t>nie sú výdavky na havarijné stavy vodných stavieb</w:t>
      </w:r>
      <w:r>
        <w:rPr>
          <w:rFonts w:ascii="Segoe UI" w:hAnsi="Segoe UI" w:cs="Segoe UI"/>
          <w:color w:val="auto"/>
          <w:sz w:val="20"/>
          <w:szCs w:val="20"/>
        </w:rPr>
        <w:t>.</w:t>
      </w:r>
    </w:p>
    <w:p w14:paraId="304EFCAC" w14:textId="77777777" w:rsidR="00EA2E18" w:rsidRPr="001619FE" w:rsidRDefault="00EA2E18" w:rsidP="00EA2E18">
      <w:pPr>
        <w:pStyle w:val="Default"/>
        <w:jc w:val="both"/>
        <w:rPr>
          <w:rFonts w:ascii="Segoe UI" w:hAnsi="Segoe UI" w:cs="Segoe UI"/>
          <w:b/>
          <w:color w:val="314364" w:themeColor="text2"/>
          <w:sz w:val="20"/>
          <w:szCs w:val="20"/>
        </w:rPr>
      </w:pPr>
      <w:r w:rsidRPr="001619FE">
        <w:rPr>
          <w:rFonts w:ascii="Segoe UI" w:hAnsi="Segoe UI" w:cs="Segoe UI"/>
          <w:b/>
          <w:color w:val="314364" w:themeColor="text2"/>
          <w:sz w:val="20"/>
          <w:szCs w:val="20"/>
        </w:rPr>
        <w:t>Graf</w:t>
      </w:r>
      <w:r>
        <w:rPr>
          <w:rFonts w:ascii="Segoe UI" w:hAnsi="Segoe UI" w:cs="Segoe UI"/>
          <w:b/>
          <w:color w:val="314364" w:themeColor="text2"/>
          <w:sz w:val="20"/>
          <w:szCs w:val="20"/>
        </w:rPr>
        <w:t xml:space="preserve"> 22</w:t>
      </w:r>
      <w:r w:rsidRPr="001619FE">
        <w:rPr>
          <w:rFonts w:ascii="Segoe UI" w:hAnsi="Segoe UI" w:cs="Segoe UI"/>
          <w:b/>
          <w:color w:val="314364" w:themeColor="text2"/>
          <w:sz w:val="20"/>
          <w:szCs w:val="20"/>
        </w:rPr>
        <w:t>:</w:t>
      </w:r>
      <w:r>
        <w:rPr>
          <w:rFonts w:ascii="Segoe UI" w:hAnsi="Segoe UI" w:cs="Segoe UI"/>
          <w:b/>
          <w:color w:val="314364" w:themeColor="text2"/>
          <w:sz w:val="20"/>
          <w:szCs w:val="20"/>
        </w:rPr>
        <w:t xml:space="preserve"> </w:t>
      </w:r>
      <w:r w:rsidRPr="00AA6C94">
        <w:rPr>
          <w:rFonts w:ascii="Segoe UI" w:hAnsi="Segoe UI" w:cs="Segoe UI"/>
          <w:b/>
          <w:color w:val="314364" w:themeColor="text2"/>
          <w:sz w:val="20"/>
          <w:szCs w:val="20"/>
        </w:rPr>
        <w:t>Požadované finančné prostriedky zo ŠR SR na neregulované platby a skutočne pridelené finančné prostriedky v rokoch 2018 až 2023 prostredníctvom kapitoly MŽP SR</w:t>
      </w:r>
      <w:r>
        <w:rPr>
          <w:rFonts w:ascii="Segoe UI" w:hAnsi="Segoe UI" w:cs="Segoe UI"/>
          <w:b/>
          <w:color w:val="314364" w:themeColor="text2"/>
          <w:sz w:val="20"/>
          <w:szCs w:val="20"/>
        </w:rPr>
        <w:t xml:space="preserve"> </w:t>
      </w:r>
      <w:r w:rsidRPr="00AA6C94">
        <w:rPr>
          <w:rFonts w:ascii="Segoe UI" w:hAnsi="Segoe UI" w:cs="Segoe UI"/>
          <w:b/>
          <w:color w:val="314364" w:themeColor="text2"/>
          <w:sz w:val="20"/>
          <w:szCs w:val="20"/>
        </w:rPr>
        <w:t>(v mil. eur)</w:t>
      </w:r>
    </w:p>
    <w:tbl>
      <w:tblPr>
        <w:tblStyle w:val="Mriekatabuky"/>
        <w:tblW w:w="0" w:type="auto"/>
        <w:tblLook w:val="04A0" w:firstRow="1" w:lastRow="0" w:firstColumn="1" w:lastColumn="0" w:noHBand="0" w:noVBand="1"/>
      </w:tblPr>
      <w:tblGrid>
        <w:gridCol w:w="9070"/>
      </w:tblGrid>
      <w:tr w:rsidR="00EA2E18" w14:paraId="7308D652" w14:textId="77777777" w:rsidTr="00B82D9D">
        <w:trPr>
          <w:trHeight w:val="3118"/>
        </w:trPr>
        <w:tc>
          <w:tcPr>
            <w:tcW w:w="9070" w:type="dxa"/>
            <w:tcBorders>
              <w:top w:val="single" w:sz="4" w:space="0" w:color="314364" w:themeColor="text2"/>
              <w:left w:val="nil"/>
              <w:bottom w:val="single" w:sz="4" w:space="0" w:color="314364" w:themeColor="text2"/>
              <w:right w:val="nil"/>
            </w:tcBorders>
          </w:tcPr>
          <w:p w14:paraId="614018EB" w14:textId="77777777" w:rsidR="00EA2E18" w:rsidRDefault="00EA2E18" w:rsidP="00B82D9D">
            <w:pPr>
              <w:pStyle w:val="Default"/>
              <w:spacing w:line="276" w:lineRule="auto"/>
              <w:jc w:val="both"/>
              <w:rPr>
                <w:rFonts w:ascii="Segoe UI" w:hAnsi="Segoe UI" w:cs="Segoe UI"/>
                <w:color w:val="auto"/>
                <w:sz w:val="20"/>
                <w:szCs w:val="20"/>
              </w:rPr>
            </w:pPr>
            <w:r>
              <w:rPr>
                <w:noProof/>
                <w:lang w:eastAsia="sk-SK"/>
              </w:rPr>
              <w:drawing>
                <wp:inline distT="0" distB="0" distL="0" distR="0" wp14:anchorId="33B3C937" wp14:editId="133B0D03">
                  <wp:extent cx="6004560" cy="1943100"/>
                  <wp:effectExtent l="0" t="0" r="0" b="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3512F7A8" w14:textId="73B4ACE8" w:rsidR="00EA2E18" w:rsidRDefault="00EA2E18" w:rsidP="00EA2E18">
      <w:pPr>
        <w:pStyle w:val="Zdroj"/>
        <w:spacing w:line="276" w:lineRule="auto"/>
        <w:rPr>
          <w:rFonts w:cs="Segoe UI"/>
          <w:color w:val="auto"/>
          <w:sz w:val="20"/>
          <w:szCs w:val="20"/>
        </w:rPr>
      </w:pPr>
      <w:r w:rsidRPr="00E25FBC">
        <w:t>Zdroj: SVP, š. p.</w:t>
      </w:r>
      <w:r>
        <w:t xml:space="preserve">, </w:t>
      </w:r>
      <w:r w:rsidR="001B54E4">
        <w:t xml:space="preserve">IEP, </w:t>
      </w:r>
      <w:r>
        <w:t>*transfer zatiaľ neznámy</w:t>
      </w:r>
    </w:p>
    <w:p w14:paraId="477B0ED3" w14:textId="3D5442CF" w:rsidR="00A84655" w:rsidRPr="00506896" w:rsidRDefault="00A84655" w:rsidP="00A84655">
      <w:pPr>
        <w:rPr>
          <w:sz w:val="16"/>
          <w:szCs w:val="16"/>
        </w:rPr>
      </w:pPr>
      <w:r w:rsidRPr="00F15428">
        <w:rPr>
          <w:rFonts w:cs="Segoe UI"/>
          <w:b/>
          <w:szCs w:val="20"/>
        </w:rPr>
        <w:t xml:space="preserve">Viaceré vodné stavby sú v </w:t>
      </w:r>
      <w:r w:rsidRPr="00506896">
        <w:rPr>
          <w:rFonts w:cs="Segoe UI"/>
          <w:b/>
          <w:bCs/>
          <w:szCs w:val="20"/>
        </w:rPr>
        <w:t>kritickom technickom stave</w:t>
      </w:r>
      <w:r w:rsidRPr="00F15428">
        <w:rPr>
          <w:rFonts w:cs="Segoe UI"/>
          <w:b/>
          <w:szCs w:val="20"/>
        </w:rPr>
        <w:t xml:space="preserve"> a v dôsledku neefektívneho riadenia a nedostatočného financovania sa každoročne </w:t>
      </w:r>
      <w:r w:rsidRPr="00506896">
        <w:rPr>
          <w:rFonts w:cs="Segoe UI"/>
          <w:b/>
          <w:bCs/>
          <w:szCs w:val="20"/>
        </w:rPr>
        <w:t>znehodnocuje majetok štátu</w:t>
      </w:r>
      <w:r w:rsidRPr="00F15428">
        <w:rPr>
          <w:rFonts w:cs="Segoe UI"/>
          <w:b/>
          <w:szCs w:val="20"/>
        </w:rPr>
        <w:t xml:space="preserve"> a </w:t>
      </w:r>
      <w:r w:rsidRPr="00506896">
        <w:rPr>
          <w:rFonts w:cs="Segoe UI"/>
          <w:b/>
          <w:bCs/>
          <w:szCs w:val="20"/>
        </w:rPr>
        <w:t>prehlbuje investičný dlh</w:t>
      </w:r>
      <w:r w:rsidRPr="00F15428">
        <w:rPr>
          <w:rFonts w:cs="Segoe UI"/>
          <w:b/>
          <w:szCs w:val="20"/>
        </w:rPr>
        <w:t xml:space="preserve">. </w:t>
      </w:r>
      <w:r w:rsidRPr="00093B7C">
        <w:rPr>
          <w:rFonts w:cs="Segoe UI"/>
          <w:szCs w:val="20"/>
        </w:rPr>
        <w:t xml:space="preserve">Nedostatočné </w:t>
      </w:r>
      <w:r w:rsidRPr="00506896">
        <w:rPr>
          <w:rFonts w:cs="Segoe UI"/>
          <w:szCs w:val="20"/>
        </w:rPr>
        <w:t xml:space="preserve">financovanie opráv a údržby vodohospodárskeho majetku smerujú k zhoršujúcemu sa technickému stavu vodných stavieb. </w:t>
      </w:r>
      <w:r w:rsidRPr="00F15428">
        <w:rPr>
          <w:rFonts w:cs="Segoe UI"/>
          <w:bCs/>
          <w:szCs w:val="20"/>
        </w:rPr>
        <w:t>Celkový technický dlh</w:t>
      </w:r>
      <w:r w:rsidRPr="00506896">
        <w:rPr>
          <w:rFonts w:cs="Segoe UI"/>
          <w:szCs w:val="20"/>
        </w:rPr>
        <w:t xml:space="preserve"> za rok</w:t>
      </w:r>
      <w:r w:rsidR="00205DCC">
        <w:rPr>
          <w:rFonts w:cs="Segoe UI"/>
          <w:szCs w:val="20"/>
        </w:rPr>
        <w:t>y</w:t>
      </w:r>
      <w:r w:rsidRPr="00506896">
        <w:rPr>
          <w:rFonts w:cs="Segoe UI"/>
          <w:szCs w:val="20"/>
        </w:rPr>
        <w:t xml:space="preserve"> </w:t>
      </w:r>
      <w:r w:rsidRPr="00F15428">
        <w:rPr>
          <w:rFonts w:cs="Segoe UI"/>
          <w:bCs/>
          <w:szCs w:val="20"/>
        </w:rPr>
        <w:t>2005 až 2020 predstavoval 921,5 mil. eur</w:t>
      </w:r>
      <w:r w:rsidRPr="00506896">
        <w:rPr>
          <w:rFonts w:cs="Segoe UI"/>
          <w:szCs w:val="20"/>
        </w:rPr>
        <w:t xml:space="preserve">.  SVP, š. p. </w:t>
      </w:r>
      <w:r w:rsidRPr="00F15428">
        <w:rPr>
          <w:rFonts w:cs="Segoe UI"/>
          <w:bCs/>
          <w:szCs w:val="20"/>
        </w:rPr>
        <w:t>dlhodobo</w:t>
      </w:r>
      <w:r w:rsidRPr="00506896">
        <w:rPr>
          <w:rFonts w:cs="Segoe UI"/>
          <w:szCs w:val="20"/>
        </w:rPr>
        <w:t xml:space="preserve"> vykazoval v rámci výsledkov hospodárenia </w:t>
      </w:r>
      <w:r w:rsidRPr="00F15428">
        <w:rPr>
          <w:rFonts w:cs="Segoe UI"/>
          <w:bCs/>
          <w:szCs w:val="20"/>
        </w:rPr>
        <w:t>výraznú stratu</w:t>
      </w:r>
      <w:r w:rsidRPr="00506896">
        <w:rPr>
          <w:rFonts w:cs="Segoe UI"/>
          <w:szCs w:val="20"/>
        </w:rPr>
        <w:t xml:space="preserve"> (</w:t>
      </w:r>
      <w:r w:rsidRPr="00F15428">
        <w:rPr>
          <w:rFonts w:cs="Segoe UI"/>
          <w:szCs w:val="20"/>
        </w:rPr>
        <w:t>graf</w:t>
      </w:r>
      <w:r w:rsidRPr="00506896">
        <w:rPr>
          <w:rFonts w:cs="Segoe UI"/>
          <w:szCs w:val="20"/>
        </w:rPr>
        <w:t xml:space="preserve"> 21). </w:t>
      </w:r>
    </w:p>
    <w:p w14:paraId="2DD452DD" w14:textId="77777777" w:rsidR="00D2530C" w:rsidRPr="008B4449" w:rsidRDefault="00D2530C" w:rsidP="00D2530C">
      <w:pPr>
        <w:pStyle w:val="Default"/>
        <w:spacing w:after="120" w:line="276" w:lineRule="auto"/>
        <w:jc w:val="both"/>
        <w:rPr>
          <w:rFonts w:ascii="Segoe UI" w:hAnsi="Segoe UI" w:cs="Segoe UI"/>
          <w:b/>
          <w:bCs/>
          <w:sz w:val="20"/>
          <w:szCs w:val="20"/>
        </w:rPr>
      </w:pPr>
      <w:r>
        <w:rPr>
          <w:rFonts w:ascii="Segoe UI" w:hAnsi="Segoe UI" w:cs="Segoe UI"/>
          <w:color w:val="auto"/>
          <w:sz w:val="20"/>
          <w:szCs w:val="20"/>
        </w:rPr>
        <w:t xml:space="preserve">SVP, š. p. je </w:t>
      </w:r>
      <w:r w:rsidRPr="00093B7C">
        <w:rPr>
          <w:rFonts w:ascii="Segoe UI" w:hAnsi="Segoe UI" w:cs="Segoe UI"/>
          <w:sz w:val="20"/>
          <w:szCs w:val="20"/>
        </w:rPr>
        <w:t>zároveň realizátorom viacerých</w:t>
      </w:r>
      <w:r>
        <w:rPr>
          <w:rFonts w:ascii="Segoe UI" w:hAnsi="Segoe UI" w:cs="Segoe UI"/>
          <w:color w:val="auto"/>
          <w:sz w:val="20"/>
          <w:szCs w:val="20"/>
        </w:rPr>
        <w:t xml:space="preserve"> </w:t>
      </w:r>
      <w:r w:rsidRPr="00093B7C">
        <w:rPr>
          <w:rFonts w:ascii="Segoe UI" w:hAnsi="Segoe UI" w:cs="Segoe UI"/>
          <w:sz w:val="20"/>
          <w:szCs w:val="20"/>
        </w:rPr>
        <w:t>záväzkov Slovenska, ktoré vyplývajú</w:t>
      </w:r>
      <w:r>
        <w:rPr>
          <w:rFonts w:ascii="Segoe UI" w:hAnsi="Segoe UI" w:cs="Segoe UI"/>
          <w:color w:val="auto"/>
          <w:sz w:val="20"/>
          <w:szCs w:val="20"/>
        </w:rPr>
        <w:t xml:space="preserve"> </w:t>
      </w:r>
      <w:r w:rsidRPr="00093B7C">
        <w:rPr>
          <w:rFonts w:ascii="Segoe UI" w:hAnsi="Segoe UI" w:cs="Segoe UI"/>
          <w:sz w:val="20"/>
          <w:szCs w:val="20"/>
        </w:rPr>
        <w:t>z medzinárodných zmlúv a</w:t>
      </w:r>
      <w:r>
        <w:rPr>
          <w:rFonts w:ascii="Segoe UI" w:hAnsi="Segoe UI" w:cs="Segoe UI"/>
          <w:sz w:val="20"/>
          <w:szCs w:val="20"/>
        </w:rPr>
        <w:t> </w:t>
      </w:r>
      <w:r w:rsidRPr="00093B7C">
        <w:rPr>
          <w:rFonts w:ascii="Segoe UI" w:hAnsi="Segoe UI" w:cs="Segoe UI"/>
          <w:sz w:val="20"/>
          <w:szCs w:val="20"/>
        </w:rPr>
        <w:t>dohôd</w:t>
      </w:r>
      <w:r>
        <w:rPr>
          <w:rFonts w:ascii="Segoe UI" w:hAnsi="Segoe UI" w:cs="Segoe UI"/>
          <w:sz w:val="20"/>
          <w:szCs w:val="20"/>
        </w:rPr>
        <w:t xml:space="preserve"> a ich neplnenie </w:t>
      </w:r>
      <w:r w:rsidRPr="00E15FC2">
        <w:rPr>
          <w:rFonts w:ascii="Segoe UI" w:hAnsi="Segoe UI" w:cs="Segoe UI"/>
          <w:color w:val="auto"/>
          <w:sz w:val="20"/>
          <w:szCs w:val="20"/>
        </w:rPr>
        <w:t>ohrozuj</w:t>
      </w:r>
      <w:r>
        <w:rPr>
          <w:rFonts w:ascii="Segoe UI" w:hAnsi="Segoe UI" w:cs="Segoe UI"/>
          <w:color w:val="auto"/>
          <w:sz w:val="20"/>
          <w:szCs w:val="20"/>
        </w:rPr>
        <w:t>e</w:t>
      </w:r>
      <w:r w:rsidRPr="00E15FC2">
        <w:rPr>
          <w:rFonts w:ascii="Segoe UI" w:hAnsi="Segoe UI" w:cs="Segoe UI"/>
          <w:color w:val="auto"/>
          <w:sz w:val="20"/>
          <w:szCs w:val="20"/>
        </w:rPr>
        <w:t xml:space="preserve"> nielen reputáciu</w:t>
      </w:r>
      <w:r>
        <w:rPr>
          <w:rFonts w:ascii="Segoe UI" w:hAnsi="Segoe UI" w:cs="Segoe UI"/>
          <w:sz w:val="20"/>
          <w:szCs w:val="20"/>
        </w:rPr>
        <w:t xml:space="preserve"> </w:t>
      </w:r>
      <w:r w:rsidRPr="00E15FC2">
        <w:rPr>
          <w:rFonts w:ascii="Segoe UI" w:hAnsi="Segoe UI" w:cs="Segoe UI"/>
          <w:color w:val="auto"/>
          <w:sz w:val="20"/>
          <w:szCs w:val="20"/>
        </w:rPr>
        <w:t>našej krajiny ako spoľahlivého partnera,</w:t>
      </w:r>
      <w:r>
        <w:rPr>
          <w:rFonts w:ascii="Segoe UI" w:hAnsi="Segoe UI" w:cs="Segoe UI"/>
          <w:sz w:val="20"/>
          <w:szCs w:val="20"/>
        </w:rPr>
        <w:t xml:space="preserve"> </w:t>
      </w:r>
      <w:r w:rsidRPr="00E15FC2">
        <w:rPr>
          <w:rFonts w:ascii="Segoe UI" w:hAnsi="Segoe UI" w:cs="Segoe UI"/>
          <w:color w:val="auto"/>
          <w:sz w:val="20"/>
          <w:szCs w:val="20"/>
        </w:rPr>
        <w:t>ale neplnenie zmluvných povinností</w:t>
      </w:r>
      <w:r>
        <w:rPr>
          <w:rFonts w:ascii="Segoe UI" w:hAnsi="Segoe UI" w:cs="Segoe UI"/>
          <w:sz w:val="20"/>
          <w:szCs w:val="20"/>
        </w:rPr>
        <w:t xml:space="preserve"> </w:t>
      </w:r>
      <w:r w:rsidRPr="00E15FC2">
        <w:rPr>
          <w:rFonts w:ascii="Segoe UI" w:hAnsi="Segoe UI" w:cs="Segoe UI"/>
          <w:color w:val="auto"/>
          <w:sz w:val="20"/>
          <w:szCs w:val="20"/>
        </w:rPr>
        <w:t>má značné finančné dopady</w:t>
      </w:r>
      <w:r>
        <w:rPr>
          <w:rFonts w:ascii="Segoe UI" w:hAnsi="Segoe UI" w:cs="Segoe UI"/>
          <w:sz w:val="20"/>
          <w:szCs w:val="20"/>
        </w:rPr>
        <w:t xml:space="preserve"> </w:t>
      </w:r>
      <w:r w:rsidRPr="00E15FC2">
        <w:rPr>
          <w:rFonts w:ascii="Segoe UI" w:hAnsi="Segoe UI" w:cs="Segoe UI"/>
          <w:color w:val="auto"/>
          <w:sz w:val="20"/>
          <w:szCs w:val="20"/>
        </w:rPr>
        <w:t xml:space="preserve">na </w:t>
      </w:r>
      <w:r>
        <w:rPr>
          <w:rFonts w:ascii="Segoe UI" w:hAnsi="Segoe UI" w:cs="Segoe UI"/>
          <w:color w:val="auto"/>
          <w:sz w:val="20"/>
          <w:szCs w:val="20"/>
        </w:rPr>
        <w:t>ŠR</w:t>
      </w:r>
      <w:r w:rsidRPr="00E15FC2">
        <w:rPr>
          <w:rFonts w:ascii="Segoe UI" w:hAnsi="Segoe UI" w:cs="Segoe UI"/>
          <w:color w:val="auto"/>
          <w:sz w:val="20"/>
          <w:szCs w:val="20"/>
        </w:rPr>
        <w:t>.</w:t>
      </w:r>
      <w:r>
        <w:rPr>
          <w:rFonts w:ascii="Segoe UI" w:hAnsi="Segoe UI" w:cs="Segoe UI"/>
          <w:sz w:val="20"/>
          <w:szCs w:val="20"/>
        </w:rPr>
        <w:t xml:space="preserve"> </w:t>
      </w:r>
      <w:r w:rsidRPr="00E15FC2">
        <w:rPr>
          <w:rFonts w:ascii="Segoe UI" w:hAnsi="Segoe UI" w:cs="Segoe UI"/>
          <w:b/>
          <w:sz w:val="20"/>
          <w:szCs w:val="20"/>
        </w:rPr>
        <w:t xml:space="preserve">EK upozornila </w:t>
      </w:r>
      <w:r>
        <w:rPr>
          <w:rFonts w:ascii="Segoe UI" w:hAnsi="Segoe UI" w:cs="Segoe UI"/>
          <w:b/>
          <w:sz w:val="20"/>
          <w:szCs w:val="20"/>
        </w:rPr>
        <w:t>Slovensko</w:t>
      </w:r>
      <w:r w:rsidRPr="00E15FC2">
        <w:rPr>
          <w:rFonts w:ascii="Segoe UI" w:hAnsi="Segoe UI" w:cs="Segoe UI"/>
          <w:b/>
          <w:sz w:val="20"/>
          <w:szCs w:val="20"/>
        </w:rPr>
        <w:t xml:space="preserve"> na porušovanie pravidiel v oblasti protipovodňovej ochrany a vo využívaní hydroenergetického potenciálu</w:t>
      </w:r>
      <w:r w:rsidRPr="00E15FC2">
        <w:rPr>
          <w:rFonts w:ascii="Segoe UI" w:hAnsi="Segoe UI" w:cs="Segoe UI"/>
          <w:sz w:val="20"/>
          <w:szCs w:val="20"/>
        </w:rPr>
        <w:t>.</w:t>
      </w:r>
      <w:r w:rsidRPr="00E15FC2">
        <w:rPr>
          <w:rStyle w:val="Odkaznapoznmkupodiarou"/>
          <w:rFonts w:ascii="Segoe UI" w:eastAsia="Times New Roman" w:hAnsi="Segoe UI" w:cs="Segoe UI"/>
          <w:color w:val="333333"/>
          <w:sz w:val="20"/>
          <w:szCs w:val="20"/>
          <w:lang w:eastAsia="sk-SK"/>
        </w:rPr>
        <w:footnoteReference w:id="52"/>
      </w:r>
    </w:p>
    <w:p w14:paraId="457BC173" w14:textId="77777777" w:rsidR="00D2530C" w:rsidRDefault="00D2530C" w:rsidP="00D2530C">
      <w:pPr>
        <w:pStyle w:val="Default"/>
        <w:spacing w:after="120" w:line="276" w:lineRule="auto"/>
        <w:jc w:val="both"/>
        <w:rPr>
          <w:rFonts w:ascii="Segoe UI" w:hAnsi="Segoe UI" w:cs="Segoe UI"/>
          <w:sz w:val="20"/>
          <w:szCs w:val="20"/>
        </w:rPr>
      </w:pPr>
      <w:r w:rsidRPr="00187554">
        <w:rPr>
          <w:rFonts w:ascii="Segoe UI" w:hAnsi="Segoe UI" w:cs="Segoe UI"/>
          <w:sz w:val="20"/>
          <w:szCs w:val="20"/>
        </w:rPr>
        <w:t>SVP š.</w:t>
      </w:r>
      <w:r>
        <w:rPr>
          <w:rFonts w:ascii="Segoe UI" w:hAnsi="Segoe UI" w:cs="Segoe UI"/>
          <w:sz w:val="20"/>
          <w:szCs w:val="20"/>
        </w:rPr>
        <w:t xml:space="preserve"> </w:t>
      </w:r>
      <w:r w:rsidRPr="00187554">
        <w:rPr>
          <w:rFonts w:ascii="Segoe UI" w:hAnsi="Segoe UI" w:cs="Segoe UI"/>
          <w:sz w:val="20"/>
          <w:szCs w:val="20"/>
        </w:rPr>
        <w:t xml:space="preserve">p. má </w:t>
      </w:r>
      <w:r w:rsidRPr="00F15428">
        <w:rPr>
          <w:rFonts w:ascii="Segoe UI" w:hAnsi="Segoe UI" w:cs="Segoe UI"/>
          <w:bCs/>
          <w:sz w:val="20"/>
          <w:szCs w:val="20"/>
        </w:rPr>
        <w:t>medzery</w:t>
      </w:r>
      <w:r w:rsidRPr="00187554">
        <w:rPr>
          <w:rFonts w:ascii="Segoe UI" w:hAnsi="Segoe UI" w:cs="Segoe UI"/>
          <w:sz w:val="20"/>
          <w:szCs w:val="20"/>
        </w:rPr>
        <w:t xml:space="preserve"> v efektívnosti fungovania a je nutné aby bola vykonaná </w:t>
      </w:r>
      <w:r w:rsidRPr="00F15428">
        <w:rPr>
          <w:rFonts w:ascii="Segoe UI" w:hAnsi="Segoe UI" w:cs="Segoe UI"/>
          <w:bCs/>
          <w:sz w:val="20"/>
          <w:szCs w:val="20"/>
        </w:rPr>
        <w:t xml:space="preserve">optimalizácia vnútorných procesov a inventarizácia majetku </w:t>
      </w:r>
      <w:r w:rsidRPr="00506896">
        <w:rPr>
          <w:rFonts w:ascii="Segoe UI" w:hAnsi="Segoe UI" w:cs="Segoe UI"/>
          <w:sz w:val="20"/>
          <w:szCs w:val="20"/>
        </w:rPr>
        <w:t xml:space="preserve">pre lepšie </w:t>
      </w:r>
      <w:r w:rsidRPr="00F15428">
        <w:rPr>
          <w:rFonts w:ascii="Segoe UI" w:hAnsi="Segoe UI" w:cs="Segoe UI"/>
          <w:bCs/>
          <w:sz w:val="20"/>
          <w:szCs w:val="20"/>
        </w:rPr>
        <w:t>investičné plánovanie a rokovania o rozpočte</w:t>
      </w:r>
      <w:r w:rsidRPr="00F15428">
        <w:rPr>
          <w:rStyle w:val="Odkaznapoznmkupodiarou"/>
          <w:rFonts w:ascii="Segoe UI" w:hAnsi="Segoe UI" w:cs="Segoe UI"/>
          <w:bCs/>
          <w:sz w:val="20"/>
          <w:szCs w:val="20"/>
        </w:rPr>
        <w:footnoteReference w:id="53"/>
      </w:r>
      <w:r w:rsidRPr="00506896">
        <w:rPr>
          <w:rFonts w:ascii="Segoe UI" w:hAnsi="Segoe UI" w:cs="Segoe UI"/>
          <w:sz w:val="20"/>
          <w:szCs w:val="20"/>
        </w:rPr>
        <w:t xml:space="preserve">. </w:t>
      </w:r>
      <w:r w:rsidRPr="00187554">
        <w:rPr>
          <w:rFonts w:ascii="Segoe UI" w:hAnsi="Segoe UI" w:cs="Segoe UI"/>
          <w:sz w:val="20"/>
          <w:szCs w:val="20"/>
        </w:rPr>
        <w:t xml:space="preserve">Požiadavka smerom na </w:t>
      </w:r>
      <w:r w:rsidRPr="00F15428">
        <w:rPr>
          <w:rFonts w:ascii="Segoe UI" w:hAnsi="Segoe UI" w:cs="Segoe UI"/>
          <w:bCs/>
          <w:sz w:val="20"/>
          <w:szCs w:val="20"/>
        </w:rPr>
        <w:t>rozpočet</w:t>
      </w:r>
      <w:r w:rsidRPr="00506896">
        <w:rPr>
          <w:rFonts w:ascii="Segoe UI" w:hAnsi="Segoe UI" w:cs="Segoe UI"/>
          <w:sz w:val="20"/>
          <w:szCs w:val="20"/>
        </w:rPr>
        <w:t xml:space="preserve"> by mala </w:t>
      </w:r>
      <w:r w:rsidRPr="00F15428">
        <w:rPr>
          <w:rFonts w:ascii="Segoe UI" w:hAnsi="Segoe UI" w:cs="Segoe UI"/>
          <w:bCs/>
          <w:sz w:val="20"/>
          <w:szCs w:val="20"/>
        </w:rPr>
        <w:t>reflektovať náklady potrebné na opravy</w:t>
      </w:r>
      <w:r w:rsidRPr="00506896">
        <w:rPr>
          <w:rFonts w:ascii="Segoe UI" w:hAnsi="Segoe UI" w:cs="Segoe UI"/>
          <w:sz w:val="20"/>
          <w:szCs w:val="20"/>
        </w:rPr>
        <w:t xml:space="preserve"> a </w:t>
      </w:r>
      <w:r w:rsidRPr="00F15428">
        <w:rPr>
          <w:rFonts w:ascii="Segoe UI" w:hAnsi="Segoe UI" w:cs="Segoe UI"/>
          <w:bCs/>
          <w:sz w:val="20"/>
          <w:szCs w:val="20"/>
        </w:rPr>
        <w:t>kompenzovať</w:t>
      </w:r>
      <w:r w:rsidRPr="00187554">
        <w:rPr>
          <w:rFonts w:ascii="Segoe UI" w:hAnsi="Segoe UI" w:cs="Segoe UI"/>
          <w:sz w:val="20"/>
          <w:szCs w:val="20"/>
        </w:rPr>
        <w:t xml:space="preserve"> predpokladané </w:t>
      </w:r>
      <w:r w:rsidRPr="00F15428">
        <w:rPr>
          <w:rFonts w:ascii="Segoe UI" w:hAnsi="Segoe UI" w:cs="Segoe UI"/>
          <w:bCs/>
          <w:sz w:val="20"/>
          <w:szCs w:val="20"/>
        </w:rPr>
        <w:t>znižovanie hodnoty štátneho majetku</w:t>
      </w:r>
      <w:r w:rsidRPr="00187554">
        <w:rPr>
          <w:rFonts w:ascii="Segoe UI" w:hAnsi="Segoe UI" w:cs="Segoe UI"/>
          <w:sz w:val="20"/>
          <w:szCs w:val="20"/>
        </w:rPr>
        <w:t xml:space="preserve">. Postupné zefektívňovanie fungovania podniku a zmena prístupu štátu k jeho financovaniu by mali prebiehať súčasne. </w:t>
      </w:r>
      <w:r w:rsidRPr="00F15428">
        <w:rPr>
          <w:rFonts w:ascii="Segoe UI" w:hAnsi="Segoe UI" w:cs="Segoe UI"/>
          <w:b/>
          <w:sz w:val="20"/>
          <w:szCs w:val="20"/>
        </w:rPr>
        <w:t xml:space="preserve">Zároveň bude nutné </w:t>
      </w:r>
      <w:r w:rsidRPr="00506896">
        <w:rPr>
          <w:rFonts w:ascii="Segoe UI" w:hAnsi="Segoe UI" w:cs="Segoe UI"/>
          <w:b/>
          <w:bCs/>
          <w:sz w:val="20"/>
          <w:szCs w:val="20"/>
        </w:rPr>
        <w:t>novelizovať</w:t>
      </w:r>
      <w:r w:rsidRPr="00F15428">
        <w:rPr>
          <w:rFonts w:ascii="Segoe UI" w:hAnsi="Segoe UI" w:cs="Segoe UI"/>
          <w:b/>
          <w:sz w:val="20"/>
          <w:szCs w:val="20"/>
        </w:rPr>
        <w:t xml:space="preserve"> </w:t>
      </w:r>
      <w:r w:rsidRPr="00506896">
        <w:rPr>
          <w:rFonts w:ascii="Segoe UI" w:hAnsi="Segoe UI" w:cs="Segoe UI"/>
          <w:b/>
          <w:bCs/>
          <w:sz w:val="20"/>
          <w:szCs w:val="20"/>
        </w:rPr>
        <w:t>zákon o</w:t>
      </w:r>
      <w:r>
        <w:rPr>
          <w:rFonts w:ascii="Segoe UI" w:hAnsi="Segoe UI" w:cs="Segoe UI"/>
          <w:b/>
          <w:bCs/>
          <w:sz w:val="20"/>
          <w:szCs w:val="20"/>
        </w:rPr>
        <w:t> š. p.</w:t>
      </w:r>
      <w:r w:rsidRPr="00F15428">
        <w:rPr>
          <w:rFonts w:ascii="Segoe UI" w:hAnsi="Segoe UI" w:cs="Segoe UI"/>
          <w:b/>
          <w:sz w:val="20"/>
          <w:szCs w:val="20"/>
        </w:rPr>
        <w:t xml:space="preserve">, ktorý by mal presnejšie a jednoznačnejšie definovať povinnosti zakladateľa a vedenia štátneho podniku, ktoré by viedli k dôslednejšiemu napĺňaniu </w:t>
      </w:r>
      <w:r w:rsidRPr="008158AF">
        <w:rPr>
          <w:rFonts w:ascii="Segoe UI" w:hAnsi="Segoe UI" w:cs="Segoe UI"/>
          <w:b/>
          <w:bCs/>
          <w:sz w:val="20"/>
          <w:szCs w:val="20"/>
        </w:rPr>
        <w:t>princípov hospodárnosti, efektívnosti, účinnosti a účelnosti</w:t>
      </w:r>
      <w:r>
        <w:rPr>
          <w:rFonts w:ascii="Segoe UI" w:hAnsi="Segoe UI" w:cs="Segoe UI"/>
          <w:sz w:val="20"/>
          <w:szCs w:val="20"/>
        </w:rPr>
        <w:t>.</w:t>
      </w:r>
    </w:p>
    <w:p w14:paraId="4C693DAA" w14:textId="1AD53B34" w:rsidR="00B910C5" w:rsidRDefault="002A58E5" w:rsidP="00B910C5">
      <w:pPr>
        <w:rPr>
          <w:rFonts w:cs="Segoe UI"/>
          <w:bCs/>
          <w:szCs w:val="20"/>
        </w:rPr>
      </w:pPr>
      <w:r>
        <w:rPr>
          <w:rFonts w:cs="Segoe UI"/>
          <w:b/>
          <w:szCs w:val="20"/>
        </w:rPr>
        <w:t>NKÚ SR uzatvára, že v</w:t>
      </w:r>
      <w:r w:rsidR="00B910C5" w:rsidRPr="00A55D5D">
        <w:rPr>
          <w:rFonts w:cs="Segoe UI"/>
          <w:b/>
          <w:szCs w:val="20"/>
        </w:rPr>
        <w:t xml:space="preserve">zhľadom na vysoké riziká bezpečného prevádzkovania majetku SVP, š. p., ktoré MŽP SR ako zakladateľ nedokáže svojimi kompetenciami vyriešiť, je nutné, aby sa problematika strategického a udržateľného rozvoja SVP, š. p. stala </w:t>
      </w:r>
      <w:r w:rsidR="00B910C5" w:rsidRPr="00A55D5D">
        <w:rPr>
          <w:rFonts w:cs="Segoe UI"/>
          <w:b/>
          <w:bCs/>
          <w:szCs w:val="20"/>
        </w:rPr>
        <w:t>vládnou agendou</w:t>
      </w:r>
      <w:r w:rsidR="00B910C5" w:rsidRPr="00A55D5D">
        <w:rPr>
          <w:rFonts w:cs="Segoe UI"/>
          <w:b/>
          <w:szCs w:val="20"/>
        </w:rPr>
        <w:t>.</w:t>
      </w:r>
      <w:r w:rsidR="00B910C5" w:rsidRPr="00506896">
        <w:rPr>
          <w:rFonts w:cs="Segoe UI"/>
          <w:szCs w:val="20"/>
        </w:rPr>
        <w:t xml:space="preserve"> </w:t>
      </w:r>
      <w:r w:rsidR="00B910C5" w:rsidRPr="003B646A">
        <w:rPr>
          <w:rFonts w:cs="Segoe UI"/>
          <w:bCs/>
          <w:szCs w:val="20"/>
        </w:rPr>
        <w:t>Spravidla ide o</w:t>
      </w:r>
      <w:r w:rsidR="00B910C5">
        <w:rPr>
          <w:rFonts w:cs="Segoe UI"/>
          <w:bCs/>
          <w:szCs w:val="20"/>
        </w:rPr>
        <w:t xml:space="preserve"> </w:t>
      </w:r>
      <w:r w:rsidR="00B910C5" w:rsidRPr="003B646A">
        <w:rPr>
          <w:rFonts w:cs="Segoe UI"/>
          <w:bCs/>
          <w:szCs w:val="20"/>
        </w:rPr>
        <w:t>plnenie medzinárodných záväzkov a</w:t>
      </w:r>
      <w:r w:rsidR="00B910C5">
        <w:rPr>
          <w:rFonts w:cs="Segoe UI"/>
          <w:bCs/>
          <w:szCs w:val="20"/>
        </w:rPr>
        <w:t xml:space="preserve"> </w:t>
      </w:r>
      <w:r w:rsidR="00B910C5" w:rsidRPr="003B646A">
        <w:rPr>
          <w:rFonts w:cs="Segoe UI"/>
          <w:bCs/>
          <w:szCs w:val="20"/>
        </w:rPr>
        <w:t>rezortný prístup je nepostačujúci.</w:t>
      </w:r>
      <w:r w:rsidR="00B910C5">
        <w:rPr>
          <w:rFonts w:cs="Segoe UI"/>
          <w:bCs/>
          <w:szCs w:val="20"/>
        </w:rPr>
        <w:t xml:space="preserve"> </w:t>
      </w:r>
      <w:r w:rsidR="00B910C5" w:rsidRPr="003B646A">
        <w:rPr>
          <w:rFonts w:cs="Segoe UI"/>
          <w:bCs/>
          <w:szCs w:val="20"/>
        </w:rPr>
        <w:t>Vláda by mala v prvom rade zamerať</w:t>
      </w:r>
      <w:r w:rsidR="00B910C5">
        <w:rPr>
          <w:rFonts w:cs="Segoe UI"/>
          <w:bCs/>
          <w:szCs w:val="20"/>
        </w:rPr>
        <w:t xml:space="preserve"> </w:t>
      </w:r>
      <w:r w:rsidR="00B910C5" w:rsidRPr="003B646A">
        <w:rPr>
          <w:rFonts w:cs="Segoe UI"/>
          <w:bCs/>
          <w:szCs w:val="20"/>
        </w:rPr>
        <w:t>pozornosť na tie oblasti životného</w:t>
      </w:r>
      <w:r w:rsidR="00B910C5">
        <w:rPr>
          <w:rFonts w:cs="Segoe UI"/>
          <w:bCs/>
          <w:szCs w:val="20"/>
        </w:rPr>
        <w:t xml:space="preserve"> </w:t>
      </w:r>
      <w:r w:rsidR="00B910C5" w:rsidRPr="003B646A">
        <w:rPr>
          <w:rFonts w:cs="Segoe UI"/>
          <w:bCs/>
          <w:szCs w:val="20"/>
        </w:rPr>
        <w:t>prostredia, ktoré majú priamy vplyv</w:t>
      </w:r>
      <w:r w:rsidR="00B910C5">
        <w:rPr>
          <w:rFonts w:cs="Segoe UI"/>
          <w:bCs/>
          <w:szCs w:val="20"/>
        </w:rPr>
        <w:t xml:space="preserve"> </w:t>
      </w:r>
      <w:r w:rsidR="00B910C5" w:rsidRPr="003B646A">
        <w:rPr>
          <w:rFonts w:cs="Segoe UI"/>
          <w:bCs/>
          <w:szCs w:val="20"/>
        </w:rPr>
        <w:t>na zdravie obyvateľstva. Dôležité je</w:t>
      </w:r>
      <w:r w:rsidR="00B910C5">
        <w:rPr>
          <w:rFonts w:cs="Segoe UI"/>
          <w:bCs/>
          <w:szCs w:val="20"/>
        </w:rPr>
        <w:t xml:space="preserve"> </w:t>
      </w:r>
      <w:r w:rsidR="00B910C5" w:rsidRPr="003B646A">
        <w:rPr>
          <w:rFonts w:cs="Segoe UI"/>
          <w:bCs/>
          <w:szCs w:val="20"/>
        </w:rPr>
        <w:t>tiež riešiť prvky kritickej infraštruktúry,</w:t>
      </w:r>
      <w:r w:rsidR="00B910C5">
        <w:rPr>
          <w:rFonts w:cs="Segoe UI"/>
          <w:bCs/>
          <w:szCs w:val="20"/>
        </w:rPr>
        <w:t xml:space="preserve"> </w:t>
      </w:r>
      <w:r w:rsidR="00B910C5" w:rsidRPr="003B646A">
        <w:rPr>
          <w:rFonts w:cs="Segoe UI"/>
          <w:bCs/>
          <w:szCs w:val="20"/>
        </w:rPr>
        <w:t>ktorých havarijný stav môže</w:t>
      </w:r>
      <w:r w:rsidR="00B910C5">
        <w:rPr>
          <w:rFonts w:cs="Segoe UI"/>
          <w:bCs/>
          <w:szCs w:val="20"/>
        </w:rPr>
        <w:t xml:space="preserve"> </w:t>
      </w:r>
      <w:r w:rsidR="00B910C5" w:rsidRPr="003B646A">
        <w:rPr>
          <w:rFonts w:cs="Segoe UI"/>
          <w:bCs/>
          <w:szCs w:val="20"/>
        </w:rPr>
        <w:t xml:space="preserve">mať </w:t>
      </w:r>
      <w:r w:rsidR="00205DCC">
        <w:rPr>
          <w:rFonts w:cs="Segoe UI"/>
          <w:bCs/>
          <w:szCs w:val="20"/>
        </w:rPr>
        <w:t>fatálne následky.</w:t>
      </w:r>
    </w:p>
    <w:p w14:paraId="175132FB" w14:textId="05D9C057" w:rsidR="000B2D00" w:rsidRPr="009E7C7A" w:rsidRDefault="000B2D00" w:rsidP="000B2D00">
      <w:pPr>
        <w:pStyle w:val="Nadpis3"/>
      </w:pPr>
      <w:r>
        <w:lastRenderedPageBreak/>
        <w:t xml:space="preserve"> </w:t>
      </w:r>
      <w:bookmarkStart w:id="46" w:name="_Toc153784717"/>
      <w:r w:rsidRPr="009E7C7A">
        <w:t>Environmentálne záťaže a environmentálny fond</w:t>
      </w:r>
      <w:bookmarkEnd w:id="46"/>
      <w:r w:rsidRPr="009E7C7A">
        <w:t xml:space="preserve"> </w:t>
      </w:r>
    </w:p>
    <w:p w14:paraId="7C6F819D" w14:textId="4AA21F25" w:rsidR="00B910C5" w:rsidRPr="00506896" w:rsidRDefault="00B910C5" w:rsidP="00B910C5">
      <w:pPr>
        <w:pStyle w:val="Default"/>
        <w:spacing w:after="120" w:line="276" w:lineRule="auto"/>
        <w:jc w:val="both"/>
        <w:rPr>
          <w:rFonts w:ascii="Segoe UI" w:hAnsi="Segoe UI" w:cs="Segoe UI"/>
          <w:color w:val="auto"/>
          <w:sz w:val="20"/>
          <w:szCs w:val="20"/>
        </w:rPr>
      </w:pPr>
      <w:r w:rsidRPr="00205DCC">
        <w:rPr>
          <w:rFonts w:ascii="Segoe UI" w:hAnsi="Segoe UI" w:cs="Segoe UI"/>
          <w:b/>
          <w:sz w:val="20"/>
          <w:szCs w:val="20"/>
        </w:rPr>
        <w:t>V rámci uzatvárania a rekultivácie skládok, pri ktorých EK skonštatovala nesprávnu implementáciu smernice Rady 1999/31/ES o skládkach odpadov SR, pričom pre SR by hrozili vysoké pokuty v prípade nekonania</w:t>
      </w:r>
      <w:r w:rsidR="00205DCC" w:rsidRPr="00205DCC">
        <w:rPr>
          <w:rFonts w:ascii="Segoe UI" w:hAnsi="Segoe UI" w:cs="Segoe UI"/>
          <w:b/>
          <w:sz w:val="20"/>
          <w:szCs w:val="20"/>
        </w:rPr>
        <w:t>,</w:t>
      </w:r>
      <w:r w:rsidRPr="00205DCC">
        <w:rPr>
          <w:rFonts w:ascii="Segoe UI" w:hAnsi="Segoe UI" w:cs="Segoe UI"/>
          <w:b/>
          <w:sz w:val="20"/>
          <w:szCs w:val="20"/>
        </w:rPr>
        <w:t xml:space="preserve"> sú definované aj rozpočtové výdavky v celkovom objeme 33 mil. eur.</w:t>
      </w:r>
      <w:r w:rsidRPr="00506896">
        <w:rPr>
          <w:rFonts w:ascii="Segoe UI" w:hAnsi="Segoe UI" w:cs="Segoe UI"/>
          <w:sz w:val="20"/>
          <w:szCs w:val="20"/>
        </w:rPr>
        <w:t xml:space="preserve"> </w:t>
      </w:r>
      <w:r w:rsidRPr="00F15428">
        <w:rPr>
          <w:rFonts w:ascii="Segoe UI" w:hAnsi="Segoe UI" w:cs="Segoe UI"/>
          <w:color w:val="auto"/>
          <w:sz w:val="20"/>
          <w:szCs w:val="20"/>
        </w:rPr>
        <w:t>NKÚ SR</w:t>
      </w:r>
      <w:r w:rsidRPr="00506896">
        <w:rPr>
          <w:rFonts w:ascii="Segoe UI" w:hAnsi="Segoe UI" w:cs="Segoe UI"/>
          <w:color w:val="auto"/>
          <w:sz w:val="20"/>
          <w:szCs w:val="20"/>
        </w:rPr>
        <w:t xml:space="preserve"> definoval </w:t>
      </w:r>
      <w:r w:rsidRPr="00F15428">
        <w:rPr>
          <w:rFonts w:ascii="Segoe UI" w:hAnsi="Segoe UI" w:cs="Segoe UI"/>
          <w:color w:val="auto"/>
          <w:sz w:val="20"/>
          <w:szCs w:val="20"/>
        </w:rPr>
        <w:t>riziko</w:t>
      </w:r>
      <w:r w:rsidRPr="00506896">
        <w:rPr>
          <w:rFonts w:ascii="Segoe UI" w:hAnsi="Segoe UI" w:cs="Segoe UI"/>
          <w:color w:val="auto"/>
          <w:sz w:val="20"/>
          <w:szCs w:val="20"/>
        </w:rPr>
        <w:t xml:space="preserve"> v súvislosti s pomalým tempom odstraňovania environmentálnych záťaží, ktoré majú významný negatívny dopad na </w:t>
      </w:r>
      <w:r>
        <w:rPr>
          <w:rFonts w:ascii="Segoe UI" w:hAnsi="Segoe UI" w:cs="Segoe UI"/>
          <w:color w:val="auto"/>
          <w:sz w:val="20"/>
          <w:szCs w:val="20"/>
        </w:rPr>
        <w:t>ŠR,</w:t>
      </w:r>
      <w:r w:rsidRPr="00506896">
        <w:rPr>
          <w:rFonts w:ascii="Segoe UI" w:hAnsi="Segoe UI" w:cs="Segoe UI"/>
          <w:color w:val="auto"/>
          <w:sz w:val="20"/>
          <w:szCs w:val="20"/>
        </w:rPr>
        <w:t xml:space="preserve"> zdravie a kvalitu života obyvateľstva v daných lokalitách.</w:t>
      </w:r>
      <w:r w:rsidR="00205DCC" w:rsidRPr="00506896">
        <w:rPr>
          <w:rStyle w:val="Odkaznapoznmkupodiarou"/>
          <w:rFonts w:ascii="Segoe UI" w:hAnsi="Segoe UI" w:cs="Segoe UI"/>
          <w:color w:val="auto"/>
          <w:sz w:val="20"/>
          <w:szCs w:val="20"/>
        </w:rPr>
        <w:footnoteReference w:id="54"/>
      </w:r>
      <w:r w:rsidRPr="00506896">
        <w:rPr>
          <w:rFonts w:ascii="Segoe UI" w:hAnsi="Segoe UI" w:cs="Segoe UI"/>
          <w:color w:val="auto"/>
          <w:sz w:val="20"/>
          <w:szCs w:val="20"/>
        </w:rPr>
        <w:t xml:space="preserve"> Odhadované </w:t>
      </w:r>
      <w:r w:rsidRPr="00F15428">
        <w:rPr>
          <w:rFonts w:ascii="Segoe UI" w:hAnsi="Segoe UI" w:cs="Segoe UI"/>
          <w:color w:val="auto"/>
          <w:sz w:val="20"/>
          <w:szCs w:val="20"/>
        </w:rPr>
        <w:t>náklady</w:t>
      </w:r>
      <w:r w:rsidRPr="00506896">
        <w:rPr>
          <w:rFonts w:ascii="Segoe UI" w:hAnsi="Segoe UI" w:cs="Segoe UI"/>
          <w:color w:val="auto"/>
          <w:sz w:val="20"/>
          <w:szCs w:val="20"/>
        </w:rPr>
        <w:t xml:space="preserve"> na odstránenie </w:t>
      </w:r>
      <w:r w:rsidRPr="00F15428">
        <w:rPr>
          <w:rFonts w:ascii="Segoe UI" w:hAnsi="Segoe UI" w:cs="Segoe UI"/>
          <w:color w:val="auto"/>
          <w:sz w:val="20"/>
          <w:szCs w:val="20"/>
        </w:rPr>
        <w:t>prioritných</w:t>
      </w:r>
      <w:r w:rsidRPr="00506896">
        <w:rPr>
          <w:rFonts w:ascii="Segoe UI" w:hAnsi="Segoe UI" w:cs="Segoe UI"/>
          <w:color w:val="auto"/>
          <w:sz w:val="20"/>
          <w:szCs w:val="20"/>
        </w:rPr>
        <w:t xml:space="preserve"> environmentálnych záťaží sú minimálne </w:t>
      </w:r>
      <w:r w:rsidRPr="00F15428">
        <w:rPr>
          <w:rFonts w:ascii="Segoe UI" w:hAnsi="Segoe UI" w:cs="Segoe UI"/>
          <w:color w:val="auto"/>
          <w:sz w:val="20"/>
          <w:szCs w:val="20"/>
        </w:rPr>
        <w:t>1,1 mld. eur</w:t>
      </w:r>
      <w:r w:rsidRPr="00506896">
        <w:rPr>
          <w:rFonts w:ascii="Segoe UI" w:hAnsi="Segoe UI" w:cs="Segoe UI"/>
          <w:color w:val="auto"/>
          <w:sz w:val="20"/>
          <w:szCs w:val="20"/>
        </w:rPr>
        <w:t>, pričom potrebné zdroje v plnej výške nie sú k dispozícii. Procesy súvisiace s odstraňovaním environmentálnych záťaží sú príliš zdĺhavé, najmä v súvislosti s postupmi verejného obstarávania, ktoré boli vyhodnotené ako n</w:t>
      </w:r>
      <w:r w:rsidR="00205DCC">
        <w:rPr>
          <w:rFonts w:ascii="Segoe UI" w:hAnsi="Segoe UI" w:cs="Segoe UI"/>
          <w:color w:val="auto"/>
          <w:sz w:val="20"/>
          <w:szCs w:val="20"/>
        </w:rPr>
        <w:t>eúčinné</w:t>
      </w:r>
      <w:r w:rsidRPr="00506896">
        <w:rPr>
          <w:rFonts w:ascii="Segoe UI" w:hAnsi="Segoe UI" w:cs="Segoe UI"/>
          <w:color w:val="auto"/>
          <w:sz w:val="20"/>
          <w:szCs w:val="20"/>
        </w:rPr>
        <w:t xml:space="preserve">. Zrušenie verejného obstarávania zo strany </w:t>
      </w:r>
      <w:r w:rsidRPr="00F15428">
        <w:rPr>
          <w:rFonts w:ascii="Segoe UI" w:hAnsi="Segoe UI" w:cs="Segoe UI"/>
          <w:color w:val="auto"/>
          <w:sz w:val="20"/>
          <w:szCs w:val="20"/>
        </w:rPr>
        <w:t>MŽP SR</w:t>
      </w:r>
      <w:r w:rsidRPr="00506896">
        <w:rPr>
          <w:rFonts w:ascii="Segoe UI" w:hAnsi="Segoe UI" w:cs="Segoe UI"/>
          <w:color w:val="auto"/>
          <w:sz w:val="20"/>
          <w:szCs w:val="20"/>
        </w:rPr>
        <w:t xml:space="preserve"> </w:t>
      </w:r>
      <w:r w:rsidR="000B2D00">
        <w:rPr>
          <w:rFonts w:ascii="Segoe UI" w:hAnsi="Segoe UI" w:cs="Segoe UI"/>
          <w:color w:val="auto"/>
          <w:sz w:val="20"/>
          <w:szCs w:val="20"/>
        </w:rPr>
        <w:t>celkovo v</w:t>
      </w:r>
      <w:r w:rsidRPr="00506896">
        <w:rPr>
          <w:rFonts w:ascii="Segoe UI" w:hAnsi="Segoe UI" w:cs="Segoe UI"/>
          <w:color w:val="auto"/>
          <w:sz w:val="20"/>
          <w:szCs w:val="20"/>
        </w:rPr>
        <w:t xml:space="preserve"> </w:t>
      </w:r>
      <w:r w:rsidRPr="00F15428">
        <w:rPr>
          <w:rFonts w:ascii="Segoe UI" w:hAnsi="Segoe UI" w:cs="Segoe UI"/>
          <w:color w:val="auto"/>
          <w:sz w:val="20"/>
          <w:szCs w:val="20"/>
        </w:rPr>
        <w:t>14 lokalitách</w:t>
      </w:r>
      <w:r w:rsidRPr="00506896">
        <w:rPr>
          <w:rFonts w:ascii="Segoe UI" w:hAnsi="Segoe UI" w:cs="Segoe UI"/>
          <w:color w:val="auto"/>
          <w:sz w:val="20"/>
          <w:szCs w:val="20"/>
        </w:rPr>
        <w:t xml:space="preserve"> s vysokou prioritou riešenia spôsobilo, že finančná podpora vo výške cca </w:t>
      </w:r>
      <w:r w:rsidRPr="00F15428">
        <w:rPr>
          <w:rFonts w:ascii="Segoe UI" w:hAnsi="Segoe UI" w:cs="Segoe UI"/>
          <w:color w:val="auto"/>
          <w:sz w:val="20"/>
          <w:szCs w:val="20"/>
        </w:rPr>
        <w:t xml:space="preserve">61 mil. eur </w:t>
      </w:r>
      <w:r w:rsidRPr="00506896">
        <w:rPr>
          <w:rFonts w:ascii="Segoe UI" w:hAnsi="Segoe UI" w:cs="Segoe UI"/>
          <w:color w:val="auto"/>
          <w:sz w:val="20"/>
          <w:szCs w:val="20"/>
        </w:rPr>
        <w:t>z OP KŽP nebola využitá.</w:t>
      </w:r>
    </w:p>
    <w:p w14:paraId="15940BB2" w14:textId="5D941AD4" w:rsidR="00936DDB" w:rsidRDefault="00B910C5" w:rsidP="00B910C5">
      <w:pPr>
        <w:rPr>
          <w:rFonts w:cs="Segoe UI"/>
          <w:szCs w:val="20"/>
        </w:rPr>
      </w:pPr>
      <w:r w:rsidRPr="00A55D5D">
        <w:rPr>
          <w:rFonts w:cs="Segoe UI"/>
          <w:b/>
          <w:bCs/>
          <w:szCs w:val="20"/>
        </w:rPr>
        <w:t>Príjmy EF na rok 2024 sú rozpočtované vo výške 2,4 mld. eur, čo je oproti roku 2023 (1,9 mld. eur) zvýšenie o 24 %.</w:t>
      </w:r>
      <w:r w:rsidRPr="00506896">
        <w:rPr>
          <w:rFonts w:cs="Segoe UI"/>
          <w:bCs/>
          <w:szCs w:val="20"/>
        </w:rPr>
        <w:t xml:space="preserve"> Súvisí to s nárastom </w:t>
      </w:r>
      <w:r w:rsidRPr="00F15428">
        <w:rPr>
          <w:rFonts w:cs="Segoe UI"/>
          <w:bCs/>
          <w:szCs w:val="20"/>
        </w:rPr>
        <w:t xml:space="preserve">príjmov z predaja emisných kvót, </w:t>
      </w:r>
      <w:r w:rsidRPr="00506896">
        <w:rPr>
          <w:rFonts w:cs="Segoe UI"/>
          <w:bCs/>
          <w:szCs w:val="20"/>
        </w:rPr>
        <w:t>ktoré</w:t>
      </w:r>
      <w:r w:rsidRPr="00F15428">
        <w:rPr>
          <w:rFonts w:cs="Segoe UI"/>
          <w:bCs/>
          <w:szCs w:val="20"/>
        </w:rPr>
        <w:t xml:space="preserve"> </w:t>
      </w:r>
      <w:r w:rsidRPr="00F15428">
        <w:rPr>
          <w:rFonts w:cs="Segoe UI"/>
          <w:szCs w:val="20"/>
        </w:rPr>
        <w:t>rastú</w:t>
      </w:r>
      <w:r w:rsidRPr="00506896">
        <w:rPr>
          <w:rFonts w:cs="Segoe UI"/>
          <w:szCs w:val="20"/>
        </w:rPr>
        <w:t xml:space="preserve"> z dôvodu </w:t>
      </w:r>
      <w:r w:rsidRPr="00F15428">
        <w:rPr>
          <w:rFonts w:cs="Segoe UI"/>
          <w:szCs w:val="20"/>
        </w:rPr>
        <w:t>navyšujúcich</w:t>
      </w:r>
      <w:r w:rsidRPr="00506896">
        <w:rPr>
          <w:rFonts w:cs="Segoe UI"/>
          <w:szCs w:val="20"/>
        </w:rPr>
        <w:t xml:space="preserve"> sa </w:t>
      </w:r>
      <w:r w:rsidRPr="00F15428">
        <w:rPr>
          <w:rFonts w:cs="Segoe UI"/>
          <w:szCs w:val="20"/>
        </w:rPr>
        <w:t>cien emisných povoleniek</w:t>
      </w:r>
      <w:r w:rsidRPr="00506896">
        <w:rPr>
          <w:rFonts w:cs="Segoe UI"/>
          <w:szCs w:val="20"/>
        </w:rPr>
        <w:t xml:space="preserve"> na burze, ktoré vykompenzovali relatívne nižšiu ponuku emisných povoleniek</w:t>
      </w:r>
      <w:r w:rsidRPr="00506896">
        <w:rPr>
          <w:rStyle w:val="Odkaznapoznmkupodiarou"/>
          <w:rFonts w:cs="Segoe UI"/>
          <w:szCs w:val="20"/>
        </w:rPr>
        <w:footnoteReference w:id="55"/>
      </w:r>
      <w:r w:rsidRPr="00506896">
        <w:rPr>
          <w:rFonts w:cs="Segoe UI"/>
          <w:szCs w:val="20"/>
        </w:rPr>
        <w:t xml:space="preserve">. Príjmy EF za obchodovanie s emisnými kvótami sa rozpočtujú na rok 2024 na hotovostnej úrovni vo výške </w:t>
      </w:r>
      <w:r w:rsidRPr="00F15428">
        <w:rPr>
          <w:rFonts w:cs="Segoe UI"/>
          <w:szCs w:val="20"/>
        </w:rPr>
        <w:t>451 mil.</w:t>
      </w:r>
      <w:r w:rsidRPr="00506896">
        <w:rPr>
          <w:rFonts w:cs="Segoe UI"/>
          <w:szCs w:val="20"/>
        </w:rPr>
        <w:t xml:space="preserve"> </w:t>
      </w:r>
      <w:r w:rsidRPr="00F15428">
        <w:rPr>
          <w:rFonts w:cs="Segoe UI"/>
          <w:szCs w:val="20"/>
        </w:rPr>
        <w:t>eur</w:t>
      </w:r>
      <w:r w:rsidRPr="00506896">
        <w:rPr>
          <w:rFonts w:cs="Segoe UI"/>
          <w:szCs w:val="20"/>
        </w:rPr>
        <w:t>.</w:t>
      </w:r>
      <w:r>
        <w:rPr>
          <w:rFonts w:cs="Segoe UI"/>
          <w:szCs w:val="20"/>
        </w:rPr>
        <w:t xml:space="preserve"> </w:t>
      </w:r>
      <w:r w:rsidRPr="00D8189F">
        <w:rPr>
          <w:rFonts w:cs="Segoe UI"/>
          <w:szCs w:val="20"/>
        </w:rPr>
        <w:t xml:space="preserve">V roku 2024 </w:t>
      </w:r>
      <w:r>
        <w:rPr>
          <w:rFonts w:cs="Segoe UI"/>
          <w:szCs w:val="20"/>
        </w:rPr>
        <w:t>sa predpokladá</w:t>
      </w:r>
      <w:r w:rsidRPr="00D8189F">
        <w:rPr>
          <w:rFonts w:cs="Segoe UI"/>
          <w:szCs w:val="20"/>
        </w:rPr>
        <w:t xml:space="preserve"> medziročné navýšenie akruálneho výnosu </w:t>
      </w:r>
      <w:r w:rsidR="00205DCC">
        <w:rPr>
          <w:rFonts w:cs="Segoe UI"/>
          <w:szCs w:val="20"/>
        </w:rPr>
        <w:t>o</w:t>
      </w:r>
      <w:r w:rsidRPr="00D8189F">
        <w:rPr>
          <w:rFonts w:cs="Segoe UI"/>
          <w:szCs w:val="20"/>
        </w:rPr>
        <w:t xml:space="preserve"> 57 % z dôvodu zníženého objemu kvót stiahnutého v rámci mechanizmu MSR, tzv. tržnej rezervy. Výnos však na dlhšom horizonte môže byť ovplyvnený zmenami vyplývajúcimi z revízie smernice</w:t>
      </w:r>
      <w:r>
        <w:rPr>
          <w:rStyle w:val="Odkaznapoznmkupodiarou"/>
          <w:rFonts w:cs="Segoe UI"/>
          <w:szCs w:val="20"/>
        </w:rPr>
        <w:footnoteReference w:id="56"/>
      </w:r>
      <w:r w:rsidRPr="00D8189F">
        <w:rPr>
          <w:rFonts w:cs="Segoe UI"/>
          <w:szCs w:val="20"/>
        </w:rPr>
        <w:t>.</w:t>
      </w:r>
      <w:r>
        <w:rPr>
          <w:rFonts w:cs="Segoe UI"/>
          <w:szCs w:val="20"/>
        </w:rPr>
        <w:t xml:space="preserve"> </w:t>
      </w:r>
      <w:r w:rsidRPr="00D8189F">
        <w:rPr>
          <w:rFonts w:cs="Segoe UI"/>
          <w:szCs w:val="20"/>
        </w:rPr>
        <w:t xml:space="preserve">Konečný vývoj výnosu z obchodovania s emisnými kvótami preto na rozpočtovom horizonte podlieha vysokej miere </w:t>
      </w:r>
      <w:proofErr w:type="spellStart"/>
      <w:r w:rsidRPr="00D8189F">
        <w:rPr>
          <w:rFonts w:cs="Segoe UI"/>
          <w:szCs w:val="20"/>
        </w:rPr>
        <w:t>volatility</w:t>
      </w:r>
      <w:proofErr w:type="spellEnd"/>
      <w:r w:rsidRPr="00D8189F">
        <w:rPr>
          <w:rFonts w:cs="Segoe UI"/>
          <w:szCs w:val="20"/>
        </w:rPr>
        <w:t>.</w:t>
      </w:r>
      <w:r>
        <w:rPr>
          <w:rFonts w:cs="Segoe UI"/>
          <w:szCs w:val="20"/>
        </w:rPr>
        <w:t xml:space="preserve"> </w:t>
      </w:r>
      <w:r w:rsidR="00936DDB" w:rsidRPr="00936DDB">
        <w:rPr>
          <w:rFonts w:cs="Segoe UI"/>
          <w:szCs w:val="20"/>
        </w:rPr>
        <w:t xml:space="preserve">Neustále rastú ceny za emisie  a príjmy z ich predaja, čím sa </w:t>
      </w:r>
      <w:r w:rsidR="00936DDB">
        <w:rPr>
          <w:rFonts w:cs="Segoe UI"/>
          <w:szCs w:val="20"/>
        </w:rPr>
        <w:t xml:space="preserve">na </w:t>
      </w:r>
      <w:r w:rsidR="00936DDB" w:rsidRPr="00936DDB">
        <w:rPr>
          <w:rFonts w:cs="Segoe UI"/>
          <w:szCs w:val="20"/>
        </w:rPr>
        <w:t>jednej strane zvyšuje zo zákona % príjmov z predaja emisných kvót smerujúce do výdavkov, na druhej strane každoročne narastá  zostatok hospodárenia z predchádzajúcich rokov (v roku 2024 sa rozpočtuje na 1,7 mld. eur), nakoľko finančný potenciál fondu sa dostatočne nevyužíva.</w:t>
      </w:r>
    </w:p>
    <w:p w14:paraId="27EF0CC1" w14:textId="0D3AE062" w:rsidR="00B910C5" w:rsidRPr="000E56BF" w:rsidRDefault="00B910C5" w:rsidP="00B910C5">
      <w:pPr>
        <w:rPr>
          <w:rFonts w:cs="Segoe UI"/>
          <w:szCs w:val="20"/>
        </w:rPr>
      </w:pPr>
      <w:r w:rsidRPr="00A55D5D">
        <w:rPr>
          <w:rFonts w:cs="Segoe UI"/>
          <w:b/>
          <w:szCs w:val="20"/>
        </w:rPr>
        <w:t>Výdavky EF na rok 2024 sú rozpočtované vo výške 373 mil. eur čo je oproti roku 2023 zvýšenie o 18 %.</w:t>
      </w:r>
      <w:r w:rsidRPr="000E56BF">
        <w:rPr>
          <w:rFonts w:cs="Segoe UI"/>
          <w:szCs w:val="20"/>
        </w:rPr>
        <w:t xml:space="preserve"> V rámci rozpočtu na rok 2024 sú alokované výdavky EF v celkovom objeme </w:t>
      </w:r>
      <w:r w:rsidRPr="00F15428">
        <w:rPr>
          <w:rFonts w:cs="Segoe UI"/>
          <w:szCs w:val="20"/>
        </w:rPr>
        <w:t>210 mil. eur</w:t>
      </w:r>
      <w:r w:rsidRPr="000E56BF">
        <w:rPr>
          <w:rFonts w:cs="Segoe UI"/>
          <w:szCs w:val="20"/>
        </w:rPr>
        <w:t xml:space="preserve">, ktoré medziročne rastú o </w:t>
      </w:r>
      <w:r w:rsidRPr="00F15428">
        <w:rPr>
          <w:rFonts w:cs="Segoe UI"/>
          <w:szCs w:val="20"/>
        </w:rPr>
        <w:t>57,5 mil. eur</w:t>
      </w:r>
      <w:r w:rsidRPr="000E56BF">
        <w:rPr>
          <w:rFonts w:cs="Segoe UI"/>
          <w:szCs w:val="20"/>
        </w:rPr>
        <w:t xml:space="preserve"> v súvislosti so schválenou legislatívou o obchodovaní s emisnými kvótami, ktorá zvýšila použiteľný výnos z predaja emisných kvót na burze z </w:t>
      </w:r>
      <w:r w:rsidRPr="00F15428">
        <w:rPr>
          <w:rFonts w:cs="Segoe UI"/>
          <w:szCs w:val="20"/>
        </w:rPr>
        <w:t>30 % na 40 %</w:t>
      </w:r>
      <w:r w:rsidRPr="000E56BF">
        <w:rPr>
          <w:rFonts w:cs="Segoe UI"/>
          <w:szCs w:val="20"/>
        </w:rPr>
        <w:t xml:space="preserve">. Budú použité v rámci environmentálnych projektov na ochranu ŽP. Ďalších </w:t>
      </w:r>
      <w:r w:rsidRPr="00F15428">
        <w:rPr>
          <w:rFonts w:cs="Segoe UI"/>
          <w:szCs w:val="20"/>
        </w:rPr>
        <w:t>63 mil. eur</w:t>
      </w:r>
      <w:r w:rsidRPr="000E56BF">
        <w:rPr>
          <w:rFonts w:cs="Segoe UI"/>
          <w:szCs w:val="20"/>
        </w:rPr>
        <w:t xml:space="preserve"> je určených na poskytovanie environmentálnych úverov. Do EF </w:t>
      </w:r>
      <w:r w:rsidR="00205DCC">
        <w:rPr>
          <w:rFonts w:cs="Segoe UI"/>
          <w:szCs w:val="20"/>
        </w:rPr>
        <w:t xml:space="preserve">je </w:t>
      </w:r>
      <w:r w:rsidRPr="000E56BF">
        <w:rPr>
          <w:rFonts w:cs="Segoe UI"/>
          <w:szCs w:val="20"/>
        </w:rPr>
        <w:t>začlenen</w:t>
      </w:r>
      <w:r w:rsidR="00205DCC">
        <w:rPr>
          <w:rFonts w:cs="Segoe UI"/>
          <w:szCs w:val="20"/>
        </w:rPr>
        <w:t>ých</w:t>
      </w:r>
      <w:r w:rsidRPr="000E56BF">
        <w:rPr>
          <w:rFonts w:cs="Segoe UI"/>
          <w:szCs w:val="20"/>
        </w:rPr>
        <w:t xml:space="preserve"> aj</w:t>
      </w:r>
      <w:r w:rsidR="00205DCC">
        <w:rPr>
          <w:rFonts w:cs="Segoe UI"/>
          <w:szCs w:val="20"/>
        </w:rPr>
        <w:t>100 mil. eur</w:t>
      </w:r>
      <w:r w:rsidRPr="000E56BF">
        <w:rPr>
          <w:rFonts w:cs="Segoe UI"/>
          <w:szCs w:val="20"/>
        </w:rPr>
        <w:t xml:space="preserve"> z Modernizačného fondu, </w:t>
      </w:r>
      <w:r w:rsidR="00205DCC">
        <w:rPr>
          <w:rFonts w:cs="Segoe UI"/>
          <w:szCs w:val="20"/>
        </w:rPr>
        <w:t xml:space="preserve">ktoré sú </w:t>
      </w:r>
      <w:r w:rsidRPr="000E56BF">
        <w:rPr>
          <w:rFonts w:cs="Segoe UI"/>
          <w:szCs w:val="20"/>
        </w:rPr>
        <w:t xml:space="preserve">určené na schému štátnej pomoci pre teplárenské spoločnosti. Do rozpočtov obcí sa predpokladá poskytnúť v </w:t>
      </w:r>
      <w:r w:rsidR="00205DCC">
        <w:rPr>
          <w:rFonts w:cs="Segoe UI"/>
          <w:szCs w:val="20"/>
        </w:rPr>
        <w:t> </w:t>
      </w:r>
      <w:r w:rsidRPr="000E56BF">
        <w:rPr>
          <w:rFonts w:cs="Segoe UI"/>
          <w:szCs w:val="20"/>
        </w:rPr>
        <w:t xml:space="preserve">roku 2024 transfery z EF v sume </w:t>
      </w:r>
      <w:r w:rsidRPr="00F15428">
        <w:rPr>
          <w:rFonts w:cs="Segoe UI"/>
          <w:szCs w:val="20"/>
        </w:rPr>
        <w:t>113 mil. eur</w:t>
      </w:r>
      <w:r w:rsidRPr="000E56BF">
        <w:rPr>
          <w:rFonts w:cs="Segoe UI"/>
          <w:szCs w:val="20"/>
        </w:rPr>
        <w:t xml:space="preserve">. </w:t>
      </w:r>
    </w:p>
    <w:p w14:paraId="0A5260AF" w14:textId="59D70031" w:rsidR="00D6774D" w:rsidRPr="000B2D00" w:rsidRDefault="00B910C5" w:rsidP="000B2D00">
      <w:pPr>
        <w:rPr>
          <w:rFonts w:cs="Segoe UI"/>
          <w:szCs w:val="20"/>
        </w:rPr>
      </w:pPr>
      <w:r w:rsidRPr="00F15428">
        <w:rPr>
          <w:rFonts w:cs="Segoe UI"/>
          <w:b/>
          <w:szCs w:val="20"/>
        </w:rPr>
        <w:t xml:space="preserve">Vláda by mala prehodnotiť aj činnosť EF, ktorý vytvára dlhodobo prebytky v ŠR a </w:t>
      </w:r>
      <w:r w:rsidRPr="008D3348">
        <w:rPr>
          <w:rFonts w:cs="Segoe UI"/>
          <w:b/>
          <w:szCs w:val="20"/>
        </w:rPr>
        <w:t>stanoviť</w:t>
      </w:r>
      <w:r w:rsidRPr="00F15428">
        <w:rPr>
          <w:rFonts w:cs="Segoe UI"/>
          <w:b/>
          <w:szCs w:val="20"/>
        </w:rPr>
        <w:t xml:space="preserve"> </w:t>
      </w:r>
      <w:r w:rsidRPr="008D3348">
        <w:rPr>
          <w:rFonts w:cs="Segoe UI"/>
          <w:b/>
          <w:szCs w:val="20"/>
        </w:rPr>
        <w:t>mechanizmus</w:t>
      </w:r>
      <w:r w:rsidRPr="00F15428">
        <w:rPr>
          <w:rFonts w:cs="Segoe UI"/>
          <w:b/>
          <w:szCs w:val="20"/>
        </w:rPr>
        <w:t xml:space="preserve"> využívania jeho zdrojov. </w:t>
      </w:r>
      <w:r w:rsidRPr="008D3348">
        <w:rPr>
          <w:rFonts w:cs="Segoe UI"/>
          <w:szCs w:val="20"/>
        </w:rPr>
        <w:t>V nasledujúcich rokoch by sa t</w:t>
      </w:r>
      <w:r w:rsidR="00205DCC">
        <w:rPr>
          <w:rFonts w:cs="Segoe UI"/>
          <w:szCs w:val="20"/>
        </w:rPr>
        <w:t>o mohlo</w:t>
      </w:r>
      <w:r w:rsidRPr="008D3348">
        <w:rPr>
          <w:rFonts w:cs="Segoe UI"/>
          <w:szCs w:val="20"/>
        </w:rPr>
        <w:t xml:space="preserve"> prejaviť v </w:t>
      </w:r>
      <w:r w:rsidRPr="00F15428">
        <w:rPr>
          <w:rFonts w:cs="Segoe UI"/>
          <w:szCs w:val="20"/>
        </w:rPr>
        <w:t xml:space="preserve">navýšení objemu </w:t>
      </w:r>
      <w:r w:rsidRPr="008D3348">
        <w:rPr>
          <w:rFonts w:cs="Segoe UI"/>
          <w:szCs w:val="20"/>
        </w:rPr>
        <w:t xml:space="preserve">finančných prostriedkov určených na príslušné </w:t>
      </w:r>
      <w:r w:rsidRPr="00F15428">
        <w:rPr>
          <w:rFonts w:cs="Segoe UI"/>
          <w:szCs w:val="20"/>
        </w:rPr>
        <w:t>dotačné mechanizmy</w:t>
      </w:r>
      <w:r w:rsidRPr="008D3348">
        <w:rPr>
          <w:rFonts w:cs="Segoe UI"/>
          <w:szCs w:val="20"/>
        </w:rPr>
        <w:t xml:space="preserve"> </w:t>
      </w:r>
      <w:r w:rsidR="00205DCC">
        <w:rPr>
          <w:rFonts w:cs="Segoe UI"/>
          <w:szCs w:val="20"/>
        </w:rPr>
        <w:t>pri</w:t>
      </w:r>
      <w:r w:rsidRPr="008D3348">
        <w:rPr>
          <w:rFonts w:cs="Segoe UI"/>
          <w:szCs w:val="20"/>
        </w:rPr>
        <w:t xml:space="preserve"> presnejš</w:t>
      </w:r>
      <w:r w:rsidR="00205DCC">
        <w:rPr>
          <w:rFonts w:cs="Segoe UI"/>
          <w:szCs w:val="20"/>
        </w:rPr>
        <w:t>om</w:t>
      </w:r>
      <w:r w:rsidRPr="008D3348">
        <w:rPr>
          <w:rFonts w:cs="Segoe UI"/>
          <w:szCs w:val="20"/>
        </w:rPr>
        <w:t xml:space="preserve"> definovan</w:t>
      </w:r>
      <w:r w:rsidR="00205DCC">
        <w:rPr>
          <w:rFonts w:cs="Segoe UI"/>
          <w:szCs w:val="20"/>
        </w:rPr>
        <w:t>í</w:t>
      </w:r>
      <w:r w:rsidRPr="008D3348">
        <w:rPr>
          <w:rFonts w:cs="Segoe UI"/>
          <w:szCs w:val="20"/>
        </w:rPr>
        <w:t xml:space="preserve"> </w:t>
      </w:r>
      <w:r w:rsidRPr="00F15428">
        <w:rPr>
          <w:rFonts w:cs="Segoe UI"/>
          <w:szCs w:val="20"/>
        </w:rPr>
        <w:t>poslania</w:t>
      </w:r>
      <w:r w:rsidRPr="008D3348">
        <w:rPr>
          <w:rFonts w:cs="Segoe UI"/>
          <w:szCs w:val="20"/>
        </w:rPr>
        <w:t xml:space="preserve"> </w:t>
      </w:r>
      <w:r w:rsidR="00205DCC">
        <w:rPr>
          <w:rFonts w:cs="Segoe UI"/>
          <w:szCs w:val="20"/>
        </w:rPr>
        <w:t>fondu</w:t>
      </w:r>
      <w:r w:rsidRPr="008D3348">
        <w:rPr>
          <w:rFonts w:cs="Segoe UI"/>
          <w:szCs w:val="20"/>
        </w:rPr>
        <w:t xml:space="preserve">. V rokoch </w:t>
      </w:r>
      <w:r w:rsidRPr="00F15428">
        <w:rPr>
          <w:rFonts w:cs="Segoe UI"/>
          <w:szCs w:val="20"/>
        </w:rPr>
        <w:t xml:space="preserve">2020 </w:t>
      </w:r>
      <w:r>
        <w:rPr>
          <w:rFonts w:cs="Segoe UI"/>
          <w:szCs w:val="20"/>
        </w:rPr>
        <w:t>–</w:t>
      </w:r>
      <w:r w:rsidRPr="00F15428">
        <w:rPr>
          <w:rFonts w:cs="Segoe UI"/>
          <w:szCs w:val="20"/>
        </w:rPr>
        <w:t xml:space="preserve"> 2027 </w:t>
      </w:r>
      <w:r w:rsidRPr="008D3348">
        <w:rPr>
          <w:rFonts w:cs="Segoe UI"/>
          <w:szCs w:val="20"/>
        </w:rPr>
        <w:t xml:space="preserve">plánuje </w:t>
      </w:r>
      <w:r w:rsidRPr="007878C7">
        <w:rPr>
          <w:rFonts w:cs="Segoe UI"/>
          <w:szCs w:val="20"/>
        </w:rPr>
        <w:t xml:space="preserve">SR </w:t>
      </w:r>
      <w:r w:rsidRPr="008D3348">
        <w:rPr>
          <w:rFonts w:cs="Segoe UI"/>
          <w:szCs w:val="20"/>
        </w:rPr>
        <w:t xml:space="preserve">preinvestovať na životné prostredie za cca </w:t>
      </w:r>
      <w:r w:rsidRPr="00F15428">
        <w:rPr>
          <w:rFonts w:cs="Segoe UI"/>
          <w:szCs w:val="20"/>
        </w:rPr>
        <w:t>2,4-násobne kratšie obdobie</w:t>
      </w:r>
      <w:r w:rsidRPr="008D3348">
        <w:rPr>
          <w:rFonts w:cs="Segoe UI"/>
          <w:szCs w:val="20"/>
        </w:rPr>
        <w:t xml:space="preserve"> </w:t>
      </w:r>
      <w:r w:rsidRPr="00F15428">
        <w:rPr>
          <w:rFonts w:cs="Segoe UI"/>
          <w:szCs w:val="20"/>
        </w:rPr>
        <w:t>porovnateľnú sumu</w:t>
      </w:r>
      <w:r w:rsidRPr="008D3348">
        <w:rPr>
          <w:rFonts w:cs="Segoe UI"/>
          <w:szCs w:val="20"/>
        </w:rPr>
        <w:t xml:space="preserve"> finančných prostriedkov ako za </w:t>
      </w:r>
      <w:r w:rsidRPr="00F15428">
        <w:rPr>
          <w:rFonts w:cs="Segoe UI"/>
          <w:szCs w:val="20"/>
        </w:rPr>
        <w:t>predchádzajúcich 14 rokov</w:t>
      </w:r>
      <w:r w:rsidRPr="008D3348">
        <w:rPr>
          <w:rFonts w:cs="Segoe UI"/>
          <w:szCs w:val="20"/>
        </w:rPr>
        <w:t xml:space="preserve"> (</w:t>
      </w:r>
      <w:r w:rsidRPr="00F15428">
        <w:rPr>
          <w:rFonts w:cs="Segoe UI"/>
          <w:szCs w:val="20"/>
        </w:rPr>
        <w:t>7,88 mld. eur</w:t>
      </w:r>
      <w:r w:rsidRPr="008D3348">
        <w:rPr>
          <w:rFonts w:cs="Segoe UI"/>
          <w:szCs w:val="20"/>
        </w:rPr>
        <w:t>)</w:t>
      </w:r>
      <w:r>
        <w:rPr>
          <w:rFonts w:cs="Segoe UI"/>
          <w:szCs w:val="20"/>
        </w:rPr>
        <w:t>.</w:t>
      </w:r>
      <w:r w:rsidRPr="008D3348">
        <w:rPr>
          <w:rFonts w:cs="Segoe UI"/>
          <w:szCs w:val="20"/>
        </w:rPr>
        <w:t xml:space="preserve"> EF by mal v tomto procese </w:t>
      </w:r>
      <w:r w:rsidRPr="00F15428">
        <w:rPr>
          <w:rFonts w:cs="Segoe UI"/>
          <w:szCs w:val="20"/>
        </w:rPr>
        <w:t>plniť úlohu dôležitého nástroja politiky ochrany ŽP</w:t>
      </w:r>
      <w:r w:rsidRPr="008D3348">
        <w:rPr>
          <w:rFonts w:cs="Segoe UI"/>
          <w:szCs w:val="20"/>
        </w:rPr>
        <w:t>.</w:t>
      </w:r>
    </w:p>
    <w:sectPr w:rsidR="00D6774D" w:rsidRPr="000B2D00" w:rsidSect="00962F36">
      <w:headerReference w:type="default" r:id="rId35"/>
      <w:footerReference w:type="default" r:id="rId36"/>
      <w:pgSz w:w="11906" w:h="16838"/>
      <w:pgMar w:top="1418" w:right="1418" w:bottom="113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309DA7" w14:textId="77777777" w:rsidR="008920FD" w:rsidRDefault="008920FD" w:rsidP="004F10D0">
      <w:pPr>
        <w:spacing w:after="0" w:line="240" w:lineRule="auto"/>
      </w:pPr>
      <w:r>
        <w:separator/>
      </w:r>
    </w:p>
    <w:p w14:paraId="581CC611" w14:textId="77777777" w:rsidR="008920FD" w:rsidRDefault="008920FD"/>
  </w:endnote>
  <w:endnote w:type="continuationSeparator" w:id="0">
    <w:p w14:paraId="5ED137A9" w14:textId="77777777" w:rsidR="008920FD" w:rsidRDefault="008920FD" w:rsidP="004F10D0">
      <w:pPr>
        <w:spacing w:after="0" w:line="240" w:lineRule="auto"/>
      </w:pPr>
      <w:r>
        <w:continuationSeparator/>
      </w:r>
    </w:p>
    <w:p w14:paraId="1B512B3C" w14:textId="77777777" w:rsidR="008920FD" w:rsidRDefault="008920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Montserrat">
    <w:panose1 w:val="00000500000000000000"/>
    <w:charset w:val="EE"/>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F6B56" w14:textId="39CDB947" w:rsidR="00A9226D" w:rsidRPr="005C61DD" w:rsidRDefault="00A9226D" w:rsidP="005C61DD">
    <w:pPr>
      <w:tabs>
        <w:tab w:val="left" w:pos="709"/>
      </w:tabs>
      <w:jc w:val="center"/>
      <w:rPr>
        <w:rFonts w:eastAsia="Calibri" w:cs="Segoe UI"/>
        <w:i/>
        <w:sz w:val="18"/>
        <w:szCs w:val="20"/>
      </w:rPr>
    </w:pPr>
    <w:r w:rsidRPr="005C61DD">
      <w:rPr>
        <w:rFonts w:eastAsia="Calibri" w:cs="Segoe UI"/>
        <w:i/>
        <w:sz w:val="18"/>
        <w:szCs w:val="20"/>
      </w:rPr>
      <w:t xml:space="preserve">Stanovisko NKÚ SR k návrhu </w:t>
    </w:r>
    <w:r>
      <w:rPr>
        <w:rFonts w:eastAsia="Calibri" w:cs="Segoe UI"/>
        <w:i/>
        <w:sz w:val="18"/>
        <w:szCs w:val="20"/>
      </w:rPr>
      <w:t>štátneho rozpočtu</w:t>
    </w:r>
    <w:r w:rsidRPr="005C61DD">
      <w:rPr>
        <w:rFonts w:eastAsia="Calibri" w:cs="Segoe UI"/>
        <w:i/>
        <w:sz w:val="18"/>
        <w:szCs w:val="20"/>
      </w:rPr>
      <w:t xml:space="preserve"> na rok 202</w:t>
    </w:r>
    <w:r>
      <w:rPr>
        <w:rFonts w:eastAsia="Calibri" w:cs="Segoe UI"/>
        <w:i/>
        <w:sz w:val="18"/>
        <w:szCs w:val="20"/>
      </w:rPr>
      <w:t>4</w:t>
    </w:r>
    <w:r w:rsidRPr="005C61DD">
      <w:rPr>
        <w:rFonts w:eastAsia="Calibri" w:cs="Segoe UI"/>
        <w:i/>
        <w:sz w:val="18"/>
        <w:szCs w:val="20"/>
      </w:rPr>
      <w:t xml:space="preserve"> bolo vypracované v súlade s § 5 ods. 1 zákona o NKÚ SR na základe kontroly vykonanej na M</w:t>
    </w:r>
    <w:r>
      <w:rPr>
        <w:rFonts w:eastAsia="Calibri" w:cs="Segoe UI"/>
        <w:i/>
        <w:sz w:val="18"/>
        <w:szCs w:val="20"/>
      </w:rPr>
      <w:t>inisterstve financií</w:t>
    </w:r>
    <w:r w:rsidRPr="005C61DD">
      <w:rPr>
        <w:rFonts w:eastAsia="Calibri" w:cs="Segoe UI"/>
        <w:i/>
        <w:sz w:val="18"/>
        <w:szCs w:val="20"/>
      </w:rPr>
      <w:t xml:space="preserve"> SR, ktoré podľa zákona o rozpočtových pravidlách VS zostavuje návrh </w:t>
    </w:r>
    <w:r>
      <w:rPr>
        <w:rFonts w:eastAsia="Calibri" w:cs="Segoe UI"/>
        <w:i/>
        <w:sz w:val="18"/>
        <w:szCs w:val="20"/>
      </w:rPr>
      <w:t>rozpočtu verejnej správy</w:t>
    </w:r>
    <w:r w:rsidRPr="005C61DD">
      <w:rPr>
        <w:rFonts w:eastAsia="Calibri" w:cs="Segoe UI"/>
        <w:i/>
        <w:sz w:val="18"/>
        <w:szCs w:val="20"/>
      </w:rPr>
      <w:t xml:space="preserve"> za </w:t>
    </w:r>
    <w:r>
      <w:rPr>
        <w:rFonts w:eastAsia="Calibri" w:cs="Segoe UI"/>
        <w:i/>
        <w:sz w:val="18"/>
        <w:szCs w:val="20"/>
      </w:rPr>
      <w:t>štátny rozpočet</w:t>
    </w:r>
    <w:r w:rsidRPr="005C61DD">
      <w:rPr>
        <w:rFonts w:eastAsia="Calibri" w:cs="Segoe UI"/>
        <w:i/>
        <w:sz w:val="18"/>
        <w:szCs w:val="20"/>
      </w:rPr>
      <w:t xml:space="preserve"> a súhrnné rozpočty ostatných subjektov VS.</w:t>
    </w:r>
  </w:p>
  <w:p w14:paraId="58356A1A" w14:textId="77777777" w:rsidR="00A9226D" w:rsidRPr="00FF5DA3" w:rsidRDefault="00A9226D" w:rsidP="008F0A84">
    <w:pPr>
      <w:pStyle w:val="Pta"/>
      <w:tabs>
        <w:tab w:val="clear" w:pos="4536"/>
        <w:tab w:val="clear" w:pos="9072"/>
        <w:tab w:val="center" w:pos="9070"/>
      </w:tabs>
      <w:jc w:val="center"/>
      <w:rPr>
        <w:b/>
        <w:color w:val="314364"/>
        <w:sz w:val="3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5359340"/>
      <w:docPartObj>
        <w:docPartGallery w:val="Page Numbers (Bottom of Page)"/>
        <w:docPartUnique/>
      </w:docPartObj>
    </w:sdtPr>
    <w:sdtEndPr/>
    <w:sdtContent>
      <w:p w14:paraId="1CF29EB5" w14:textId="1635625A" w:rsidR="00A9226D" w:rsidRDefault="00A9226D" w:rsidP="00733BFD">
        <w:pPr>
          <w:pStyle w:val="Pta"/>
          <w:jc w:val="right"/>
        </w:pPr>
        <w:r>
          <w:fldChar w:fldCharType="begin"/>
        </w:r>
        <w:r>
          <w:instrText>PAGE   \* MERGEFORMAT</w:instrText>
        </w:r>
        <w:r>
          <w:fldChar w:fldCharType="separate"/>
        </w:r>
        <w:r w:rsidR="00D70648">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F12C8A" w14:textId="77777777" w:rsidR="008920FD" w:rsidRDefault="008920FD" w:rsidP="004F10D0">
      <w:pPr>
        <w:spacing w:after="0" w:line="240" w:lineRule="auto"/>
      </w:pPr>
      <w:r>
        <w:separator/>
      </w:r>
    </w:p>
  </w:footnote>
  <w:footnote w:type="continuationSeparator" w:id="0">
    <w:p w14:paraId="4EF9DC5D" w14:textId="77777777" w:rsidR="008920FD" w:rsidRDefault="008920FD" w:rsidP="004F10D0">
      <w:pPr>
        <w:spacing w:after="0" w:line="240" w:lineRule="auto"/>
      </w:pPr>
      <w:r>
        <w:continuationSeparator/>
      </w:r>
    </w:p>
    <w:p w14:paraId="6287A92F" w14:textId="77777777" w:rsidR="008920FD" w:rsidRDefault="008920FD"/>
  </w:footnote>
  <w:footnote w:id="1">
    <w:p w14:paraId="67DEFBCE" w14:textId="77777777" w:rsidR="00A9226D" w:rsidRDefault="00A9226D" w:rsidP="00CB40A2">
      <w:pPr>
        <w:pStyle w:val="Textpoznmkypodiarou"/>
      </w:pPr>
      <w:r>
        <w:rPr>
          <w:rStyle w:val="Odkaznapoznmkupodiarou"/>
        </w:rPr>
        <w:footnoteRef/>
      </w:r>
      <w:r>
        <w:t xml:space="preserve"> Programové vyhlásenie vlády SR 2023 – 2027. [</w:t>
      </w:r>
      <w:hyperlink r:id="rId1" w:history="1">
        <w:r w:rsidRPr="009E60BB">
          <w:rPr>
            <w:rStyle w:val="Hypertextovprepojenie"/>
            <w:sz w:val="16"/>
          </w:rPr>
          <w:t>online</w:t>
        </w:r>
      </w:hyperlink>
      <w:r>
        <w:t>].</w:t>
      </w:r>
    </w:p>
  </w:footnote>
  <w:footnote w:id="2">
    <w:p w14:paraId="41750C81" w14:textId="2D1DE1D2" w:rsidR="00A9226D" w:rsidRDefault="00A9226D">
      <w:pPr>
        <w:pStyle w:val="Textpoznmkypodiarou"/>
      </w:pPr>
      <w:r>
        <w:rPr>
          <w:rStyle w:val="Odkaznapoznmkupodiarou"/>
        </w:rPr>
        <w:footnoteRef/>
      </w:r>
      <w:r>
        <w:t xml:space="preserve"> Návrh zákona, ktorým sa menia a dopĺňajú niektoré zákony v súvislosti so zlepšením stavu verejných financií. [</w:t>
      </w:r>
      <w:hyperlink r:id="rId2" w:history="1">
        <w:r w:rsidRPr="00B07DCA">
          <w:rPr>
            <w:rStyle w:val="Hypertextovprepojenie"/>
            <w:sz w:val="16"/>
          </w:rPr>
          <w:t>online</w:t>
        </w:r>
      </w:hyperlink>
      <w:r>
        <w:t>].</w:t>
      </w:r>
    </w:p>
  </w:footnote>
  <w:footnote w:id="3">
    <w:p w14:paraId="76C8D337" w14:textId="7C5FDCC8" w:rsidR="00A9226D" w:rsidRDefault="00A9226D" w:rsidP="00BE3DAC">
      <w:pPr>
        <w:pStyle w:val="Textpoznmkypodiarou"/>
      </w:pPr>
      <w:r>
        <w:rPr>
          <w:rStyle w:val="Odkaznapoznmkupodiarou"/>
        </w:rPr>
        <w:footnoteRef/>
      </w:r>
      <w:r>
        <w:t xml:space="preserve"> </w:t>
      </w:r>
      <w:r w:rsidRPr="004B23D7">
        <w:t>Vec C-412/23: Žaloba podaná dňa 5. júla 2023 – Európska komisia v. Slovenská republika</w:t>
      </w:r>
      <w:r>
        <w:t>. [</w:t>
      </w:r>
      <w:hyperlink r:id="rId3" w:history="1">
        <w:r w:rsidRPr="00194B34">
          <w:rPr>
            <w:rStyle w:val="Hypertextovprepojenie"/>
            <w:sz w:val="16"/>
          </w:rPr>
          <w:t>online</w:t>
        </w:r>
      </w:hyperlink>
      <w:r>
        <w:t>].</w:t>
      </w:r>
    </w:p>
  </w:footnote>
  <w:footnote w:id="4">
    <w:p w14:paraId="115BDB5F" w14:textId="243D6612" w:rsidR="00A9226D" w:rsidRDefault="00A9226D" w:rsidP="00BE3DAC">
      <w:pPr>
        <w:pStyle w:val="Textpoznmkypodiarou"/>
      </w:pPr>
      <w:r>
        <w:rPr>
          <w:rStyle w:val="Odkaznapoznmkupodiarou"/>
        </w:rPr>
        <w:footnoteRef/>
      </w:r>
      <w:r>
        <w:t xml:space="preserve"> NKÚ SR – Daňové licencie mohli priniesť do rozpočtu viac financií. [</w:t>
      </w:r>
      <w:hyperlink r:id="rId4" w:history="1">
        <w:r w:rsidRPr="00194B34">
          <w:rPr>
            <w:rStyle w:val="Hypertextovprepojenie"/>
            <w:sz w:val="16"/>
          </w:rPr>
          <w:t>online</w:t>
        </w:r>
      </w:hyperlink>
      <w:r>
        <w:t>].</w:t>
      </w:r>
    </w:p>
  </w:footnote>
  <w:footnote w:id="5">
    <w:p w14:paraId="0BFB7EB1" w14:textId="77777777" w:rsidR="00A9226D" w:rsidRDefault="00A9226D" w:rsidP="00BE3DAC">
      <w:pPr>
        <w:pStyle w:val="Textpoznmkypodiarou"/>
      </w:pPr>
      <w:r>
        <w:rPr>
          <w:rStyle w:val="Odkaznapoznmkupodiarou"/>
        </w:rPr>
        <w:footnoteRef/>
      </w:r>
      <w:r>
        <w:t xml:space="preserve"> Daň z príjmu fyzických osôb rozdeľuje štát priamo územnej samospráve.</w:t>
      </w:r>
    </w:p>
  </w:footnote>
  <w:footnote w:id="6">
    <w:p w14:paraId="40C19099" w14:textId="77777777" w:rsidR="00A9226D" w:rsidRDefault="00A9226D" w:rsidP="00A934C2">
      <w:pPr>
        <w:pStyle w:val="Textpoznmkypodiarou"/>
      </w:pPr>
      <w:r>
        <w:rPr>
          <w:rStyle w:val="Odkaznapoznmkupodiarou"/>
        </w:rPr>
        <w:footnoteRef/>
      </w:r>
      <w:r>
        <w:t xml:space="preserve"> IFP – Na väčšiu potrebu šetrenia ukazujú aj nové pravidlá EÚ. [</w:t>
      </w:r>
      <w:hyperlink r:id="rId5" w:history="1">
        <w:r w:rsidRPr="009971E5">
          <w:rPr>
            <w:rStyle w:val="Hypertextovprepojenie"/>
            <w:sz w:val="16"/>
          </w:rPr>
          <w:t>online</w:t>
        </w:r>
      </w:hyperlink>
      <w:r>
        <w:t>].</w:t>
      </w:r>
    </w:p>
  </w:footnote>
  <w:footnote w:id="7">
    <w:p w14:paraId="14093070" w14:textId="4080A1DD" w:rsidR="00A9226D" w:rsidRDefault="00A9226D">
      <w:pPr>
        <w:pStyle w:val="Textpoznmkypodiarou"/>
      </w:pPr>
      <w:r>
        <w:rPr>
          <w:rStyle w:val="Odkaznapoznmkupodiarou"/>
        </w:rPr>
        <w:footnoteRef/>
      </w:r>
      <w:r>
        <w:t xml:space="preserve"> </w:t>
      </w:r>
      <w:r w:rsidRPr="00527381">
        <w:t xml:space="preserve">Na dosiahnutie stanovených cieľov do roku 2026 bude musieť vláda predstaviť dodatočné konsolidačné opatrenia v objeme </w:t>
      </w:r>
      <w:r>
        <w:br/>
      </w:r>
      <w:r w:rsidRPr="00527381">
        <w:t>1,6 % HDP</w:t>
      </w:r>
      <w:r>
        <w:t>, keďže schodok súčasne nastaveného rozpočtu je vyšší práve o 1,1 % HDP v roku 2025, resp. o 1,6 % HDP v roku 2026 v porovnaní s očakávanými požiadavkami európskych fiškálnych pravidiel. [</w:t>
      </w:r>
      <w:hyperlink r:id="rId6" w:history="1">
        <w:r w:rsidRPr="00527381">
          <w:rPr>
            <w:rStyle w:val="Hypertextovprepojenie"/>
            <w:sz w:val="16"/>
          </w:rPr>
          <w:t>online</w:t>
        </w:r>
      </w:hyperlink>
      <w:r>
        <w:t>].</w:t>
      </w:r>
    </w:p>
  </w:footnote>
  <w:footnote w:id="8">
    <w:p w14:paraId="0E3E7817" w14:textId="77777777" w:rsidR="00A9226D" w:rsidRDefault="00A9226D" w:rsidP="00B2121F">
      <w:pPr>
        <w:pStyle w:val="Textpoznmkypodiarou"/>
      </w:pPr>
      <w:r>
        <w:rPr>
          <w:rStyle w:val="Odkaznapoznmkupodiarou"/>
        </w:rPr>
        <w:footnoteRef/>
      </w:r>
      <w:r>
        <w:t xml:space="preserve"> Zákon č. 523/2004 Z. z. o rozpočtových pravidlách verejnej správy, §30aa, ods. 16. </w:t>
      </w:r>
      <w:r>
        <w:rPr>
          <w:lang w:val="en-US"/>
        </w:rPr>
        <w:t>[</w:t>
      </w:r>
      <w:hyperlink r:id="rId7" w:anchor="paragraf-30aa.odsek-16" w:history="1">
        <w:proofErr w:type="gramStart"/>
        <w:r w:rsidRPr="0038031E">
          <w:rPr>
            <w:rStyle w:val="Hypertextovprepojenie"/>
            <w:sz w:val="16"/>
          </w:rPr>
          <w:t>online</w:t>
        </w:r>
        <w:proofErr w:type="gramEnd"/>
      </w:hyperlink>
      <w:r>
        <w:t xml:space="preserve">]. </w:t>
      </w:r>
    </w:p>
  </w:footnote>
  <w:footnote w:id="9">
    <w:p w14:paraId="0D91D36A" w14:textId="77777777" w:rsidR="00A9226D" w:rsidRDefault="00A9226D" w:rsidP="00B2121F">
      <w:pPr>
        <w:pStyle w:val="Textpoznmkypodiarou"/>
      </w:pPr>
      <w:r>
        <w:rPr>
          <w:rStyle w:val="Odkaznapoznmkupodiarou"/>
        </w:rPr>
        <w:footnoteRef/>
      </w:r>
      <w:r>
        <w:t xml:space="preserve"> RRZ. Výpočet indikatívneho limitu verejných výdavkov na roky 2024 – 2027. </w:t>
      </w:r>
      <w:r>
        <w:rPr>
          <w:lang w:val="en-US"/>
        </w:rPr>
        <w:t>[</w:t>
      </w:r>
      <w:hyperlink r:id="rId8" w:history="1">
        <w:proofErr w:type="gramStart"/>
        <w:r w:rsidRPr="0038031E">
          <w:rPr>
            <w:rStyle w:val="Hypertextovprepojenie"/>
            <w:sz w:val="16"/>
          </w:rPr>
          <w:t>online</w:t>
        </w:r>
        <w:proofErr w:type="gramEnd"/>
      </w:hyperlink>
      <w:r>
        <w:t xml:space="preserve">]. </w:t>
      </w:r>
    </w:p>
  </w:footnote>
  <w:footnote w:id="10">
    <w:p w14:paraId="2E6840CE" w14:textId="77777777" w:rsidR="00A9226D" w:rsidRDefault="00A9226D" w:rsidP="00B2121F">
      <w:pPr>
        <w:pStyle w:val="Textpoznmkypodiarou"/>
      </w:pPr>
      <w:r>
        <w:rPr>
          <w:rStyle w:val="Odkaznapoznmkupodiarou"/>
        </w:rPr>
        <w:footnoteRef/>
      </w:r>
      <w:r>
        <w:t xml:space="preserve"> Zákon č. 523/2004 Z. z. o rozpočtových pravidlách verejnej správy, §30aa, ods. 3. </w:t>
      </w:r>
      <w:r>
        <w:rPr>
          <w:lang w:val="en-US"/>
        </w:rPr>
        <w:t>[</w:t>
      </w:r>
      <w:hyperlink r:id="rId9" w:anchor="paragraf-30aa.odsek-3" w:history="1">
        <w:proofErr w:type="gramStart"/>
        <w:r w:rsidRPr="0038031E">
          <w:rPr>
            <w:rStyle w:val="Hypertextovprepojenie"/>
            <w:sz w:val="16"/>
          </w:rPr>
          <w:t>online</w:t>
        </w:r>
        <w:proofErr w:type="gramEnd"/>
      </w:hyperlink>
      <w:r>
        <w:t xml:space="preserve">]. </w:t>
      </w:r>
    </w:p>
  </w:footnote>
  <w:footnote w:id="11">
    <w:p w14:paraId="708AFA9F" w14:textId="77777777" w:rsidR="00A9226D" w:rsidRDefault="00A9226D" w:rsidP="00B2121F">
      <w:pPr>
        <w:pStyle w:val="Textpoznmkypodiarou"/>
      </w:pPr>
      <w:r>
        <w:rPr>
          <w:rStyle w:val="Odkaznapoznmkupodiarou"/>
        </w:rPr>
        <w:footnoteRef/>
      </w:r>
      <w:r>
        <w:t xml:space="preserve"> Zákon č. 523/2004 Z. z. o rozpočtových pravidlách verejnej správy, §37m, ods. 4. </w:t>
      </w:r>
      <w:r>
        <w:rPr>
          <w:lang w:val="en-US"/>
        </w:rPr>
        <w:t>[</w:t>
      </w:r>
      <w:hyperlink r:id="rId10" w:anchor="paragraf-37m.odsek-4" w:history="1">
        <w:proofErr w:type="gramStart"/>
        <w:r w:rsidRPr="0038031E">
          <w:rPr>
            <w:rStyle w:val="Hypertextovprepojenie"/>
            <w:sz w:val="16"/>
          </w:rPr>
          <w:t>online</w:t>
        </w:r>
        <w:proofErr w:type="gramEnd"/>
      </w:hyperlink>
      <w:r>
        <w:t xml:space="preserve">]. </w:t>
      </w:r>
    </w:p>
  </w:footnote>
  <w:footnote w:id="12">
    <w:p w14:paraId="523B62F4" w14:textId="5366CA3E" w:rsidR="00A9226D" w:rsidRPr="00083CC1" w:rsidRDefault="00A9226D" w:rsidP="00A934C2">
      <w:pPr>
        <w:pStyle w:val="Textpoznmkypodiarou"/>
        <w:rPr>
          <w:lang w:val="en-US"/>
        </w:rPr>
      </w:pPr>
      <w:r>
        <w:rPr>
          <w:rStyle w:val="Odkaznapoznmkupodiarou"/>
        </w:rPr>
        <w:footnoteRef/>
      </w:r>
      <w:r>
        <w:t xml:space="preserve"> NKÚ SR – Stanovisko NKÚ SR k návrhu ŠR SR na rok 2023. </w:t>
      </w:r>
      <w:r>
        <w:rPr>
          <w:lang w:val="en-US"/>
        </w:rPr>
        <w:t>[</w:t>
      </w:r>
      <w:hyperlink r:id="rId11" w:history="1">
        <w:proofErr w:type="gramStart"/>
        <w:r w:rsidRPr="00083CC1">
          <w:rPr>
            <w:rStyle w:val="Hypertextovprepojenie"/>
            <w:sz w:val="16"/>
            <w:lang w:val="en-US"/>
          </w:rPr>
          <w:t>online</w:t>
        </w:r>
        <w:proofErr w:type="gramEnd"/>
      </w:hyperlink>
      <w:r>
        <w:rPr>
          <w:lang w:val="en-US"/>
        </w:rPr>
        <w:t>].</w:t>
      </w:r>
    </w:p>
  </w:footnote>
  <w:footnote w:id="13">
    <w:p w14:paraId="1B11F243" w14:textId="77777777" w:rsidR="00A9226D" w:rsidRDefault="00A9226D" w:rsidP="003C5000">
      <w:pPr>
        <w:pStyle w:val="Textpoznmkypodiarou"/>
      </w:pPr>
      <w:r>
        <w:rPr>
          <w:rStyle w:val="Odkaznapoznmkupodiarou"/>
        </w:rPr>
        <w:footnoteRef/>
      </w:r>
      <w:r>
        <w:t xml:space="preserve"> Čerpanie PRV v 3. programovom období k 30. 11. 2023 bolo 61,84 %.</w:t>
      </w:r>
    </w:p>
  </w:footnote>
  <w:footnote w:id="14">
    <w:p w14:paraId="1A87B934" w14:textId="77777777" w:rsidR="00A9226D" w:rsidRDefault="00A9226D" w:rsidP="003C5000">
      <w:pPr>
        <w:pStyle w:val="Textpoznmkypodiarou"/>
      </w:pPr>
      <w:r>
        <w:rPr>
          <w:rStyle w:val="Odkaznapoznmkupodiarou"/>
        </w:rPr>
        <w:footnoteRef/>
      </w:r>
      <w:r>
        <w:t xml:space="preserve"> V roku 2021 EK schválila modifikáciu PO PRV 2014 – 2020, ktorou predĺžila obdobie o dva roky, t. j. do roku 2022. V zmysle pravidla čerpania n+3 je tak možné poľnohospodárske fondy z PO 2014 – 2022 čerpať do konca roka 2025.</w:t>
      </w:r>
    </w:p>
  </w:footnote>
  <w:footnote w:id="15">
    <w:p w14:paraId="63D8B098" w14:textId="77777777" w:rsidR="00A9226D" w:rsidRDefault="00A9226D" w:rsidP="003C5000">
      <w:pPr>
        <w:pStyle w:val="Textpoznmkypodiarou"/>
      </w:pPr>
      <w:r w:rsidRPr="00672CE5">
        <w:rPr>
          <w:rStyle w:val="Odkaznapoznmkupodiarou"/>
        </w:rPr>
        <w:footnoteRef/>
      </w:r>
      <w:r w:rsidRPr="00672CE5">
        <w:t xml:space="preserve"> </w:t>
      </w:r>
      <w:r w:rsidRPr="004139F4">
        <w:t>K 30.</w:t>
      </w:r>
      <w:r>
        <w:t xml:space="preserve"> </w:t>
      </w:r>
      <w:r w:rsidRPr="004139F4">
        <w:t>11. 2023 bolo vyčerpaných 87,38 % z celkovej alokácie PO 2014 – 2020 (bez P</w:t>
      </w:r>
      <w:r>
        <w:t>RV</w:t>
      </w:r>
      <w:r w:rsidRPr="004139F4">
        <w:t>).</w:t>
      </w:r>
    </w:p>
  </w:footnote>
  <w:footnote w:id="16">
    <w:p w14:paraId="33ADB7B2" w14:textId="77777777" w:rsidR="00A9226D" w:rsidRDefault="00A9226D" w:rsidP="006056E7">
      <w:pPr>
        <w:pStyle w:val="Textpoznmkypodiarou"/>
      </w:pPr>
      <w:r>
        <w:rPr>
          <w:rStyle w:val="Odkaznapoznmkupodiarou"/>
        </w:rPr>
        <w:footnoteRef/>
      </w:r>
      <w:r>
        <w:t xml:space="preserve"> </w:t>
      </w:r>
      <w:r w:rsidRPr="00E055D4">
        <w:t>Dekomitment alebo nesplnený záväzok znamená, že sa nepodarila vyčerpať dopredu stanovená suma peňazí na konkrétny rok, pri ktorom platí pravidlo n+3. Častým dôvodom prepadnutia prostriedkov je práve nestihnutie termínov na ich dočerpanie.</w:t>
      </w:r>
    </w:p>
  </w:footnote>
  <w:footnote w:id="17">
    <w:p w14:paraId="16D9D196" w14:textId="77777777" w:rsidR="00A9226D" w:rsidRDefault="00A9226D" w:rsidP="009A67A5">
      <w:pPr>
        <w:pStyle w:val="Textpoznmkypodiarou"/>
      </w:pPr>
      <w:r>
        <w:rPr>
          <w:rStyle w:val="Odkaznapoznmkupodiarou"/>
        </w:rPr>
        <w:footnoteRef/>
      </w:r>
      <w:r>
        <w:t xml:space="preserve"> Prostriedky z POO je možné čerpať do roku 2026. </w:t>
      </w:r>
    </w:p>
  </w:footnote>
  <w:footnote w:id="18">
    <w:p w14:paraId="61B64102" w14:textId="77777777" w:rsidR="00A9226D" w:rsidRPr="00EA3814" w:rsidRDefault="00A9226D" w:rsidP="003D4429">
      <w:pPr>
        <w:pStyle w:val="Textpoznmkypodiarou"/>
        <w:rPr>
          <w:rFonts w:cs="Segoe UI"/>
          <w:szCs w:val="16"/>
        </w:rPr>
      </w:pPr>
      <w:r w:rsidRPr="00EA3814">
        <w:rPr>
          <w:rStyle w:val="Odkaznapoznmkupodiarou"/>
          <w:rFonts w:cs="Segoe UI"/>
          <w:szCs w:val="16"/>
        </w:rPr>
        <w:footnoteRef/>
      </w:r>
      <w:r w:rsidRPr="00EA3814">
        <w:rPr>
          <w:rFonts w:cs="Segoe UI"/>
          <w:szCs w:val="16"/>
        </w:rPr>
        <w:t xml:space="preserve"> NKÚ SR – Správa o vývoji rozpočtového hospodárenia SR za 1. polrok 2023. [</w:t>
      </w:r>
      <w:hyperlink r:id="rId12" w:history="1">
        <w:r w:rsidRPr="00EA3814">
          <w:rPr>
            <w:rStyle w:val="Hypertextovprepojenie"/>
            <w:rFonts w:cs="Segoe UI"/>
            <w:sz w:val="16"/>
            <w:szCs w:val="16"/>
          </w:rPr>
          <w:t>online</w:t>
        </w:r>
      </w:hyperlink>
      <w:r w:rsidRPr="00EA3814">
        <w:rPr>
          <w:rFonts w:cs="Segoe UI"/>
          <w:szCs w:val="16"/>
        </w:rPr>
        <w:t>].</w:t>
      </w:r>
    </w:p>
  </w:footnote>
  <w:footnote w:id="19">
    <w:p w14:paraId="1D73E36B" w14:textId="77777777" w:rsidR="00A9226D" w:rsidRPr="00EA3814" w:rsidRDefault="00A9226D" w:rsidP="00EA3814">
      <w:pPr>
        <w:pStyle w:val="Textpoznmkypodiarou"/>
        <w:rPr>
          <w:rFonts w:cs="Segoe UI"/>
          <w:szCs w:val="16"/>
        </w:rPr>
      </w:pPr>
      <w:r w:rsidRPr="00EA3814">
        <w:rPr>
          <w:rStyle w:val="Odkaznapoznmkupodiarou"/>
          <w:szCs w:val="16"/>
        </w:rPr>
        <w:footnoteRef/>
      </w:r>
      <w:r w:rsidRPr="00EA3814">
        <w:rPr>
          <w:szCs w:val="16"/>
        </w:rPr>
        <w:t xml:space="preserve"> </w:t>
      </w:r>
      <w:r w:rsidRPr="00EA3814">
        <w:rPr>
          <w:rFonts w:cs="Segoe UI"/>
          <w:szCs w:val="16"/>
        </w:rPr>
        <w:t>MO SR – Investičné plány MO SR. [</w:t>
      </w:r>
      <w:hyperlink r:id="rId13" w:history="1">
        <w:r w:rsidRPr="00EA3814">
          <w:rPr>
            <w:rStyle w:val="Hypertextovprepojenie"/>
            <w:rFonts w:cs="Segoe UI"/>
            <w:sz w:val="16"/>
            <w:szCs w:val="16"/>
          </w:rPr>
          <w:t>online</w:t>
        </w:r>
      </w:hyperlink>
      <w:r w:rsidRPr="00EA3814">
        <w:rPr>
          <w:rFonts w:cs="Segoe UI"/>
          <w:szCs w:val="16"/>
        </w:rPr>
        <w:t>].</w:t>
      </w:r>
    </w:p>
  </w:footnote>
  <w:footnote w:id="20">
    <w:p w14:paraId="45801790" w14:textId="0DB8A47E" w:rsidR="00A9226D" w:rsidRDefault="00A9226D" w:rsidP="00A20C21">
      <w:pPr>
        <w:pStyle w:val="Textpoznmkypodiarou"/>
      </w:pPr>
      <w:r>
        <w:rPr>
          <w:rStyle w:val="Odkaznapoznmkupodiarou"/>
        </w:rPr>
        <w:footnoteRef/>
      </w:r>
      <w:r>
        <w:t xml:space="preserve"> </w:t>
      </w:r>
      <w:r w:rsidRPr="00276D2B">
        <w:rPr>
          <w:rFonts w:cs="Segoe UI"/>
          <w:szCs w:val="16"/>
        </w:rPr>
        <w:t>NKÚ SR</w:t>
      </w:r>
      <w:r>
        <w:rPr>
          <w:rFonts w:cs="Segoe UI"/>
          <w:szCs w:val="16"/>
        </w:rPr>
        <w:t xml:space="preserve">. Nákup stíhačiek </w:t>
      </w:r>
      <w:r w:rsidRPr="00276D2B">
        <w:rPr>
          <w:rFonts w:cs="Segoe UI"/>
          <w:szCs w:val="16"/>
        </w:rPr>
        <w:t>F-16. [</w:t>
      </w:r>
      <w:hyperlink r:id="rId14" w:history="1">
        <w:r w:rsidRPr="00276D2B">
          <w:rPr>
            <w:rStyle w:val="Hypertextovprepojenie"/>
            <w:sz w:val="16"/>
            <w:szCs w:val="16"/>
          </w:rPr>
          <w:t>online</w:t>
        </w:r>
      </w:hyperlink>
      <w:r w:rsidRPr="00276D2B">
        <w:rPr>
          <w:rFonts w:cs="Segoe UI"/>
          <w:szCs w:val="16"/>
        </w:rPr>
        <w:t>].</w:t>
      </w:r>
    </w:p>
  </w:footnote>
  <w:footnote w:id="21">
    <w:p w14:paraId="5204478D" w14:textId="7CF3388A" w:rsidR="00A9226D" w:rsidRDefault="00A9226D" w:rsidP="00217D25">
      <w:pPr>
        <w:pStyle w:val="Textpoznmkypodiarou"/>
      </w:pPr>
      <w:r>
        <w:rPr>
          <w:rStyle w:val="Odkaznapoznmkupodiarou"/>
        </w:rPr>
        <w:footnoteRef/>
      </w:r>
      <w:r>
        <w:t xml:space="preserve"> </w:t>
      </w:r>
      <w:r w:rsidRPr="009908A6">
        <w:t>Šetrenie na prevádzke štátu bolo kvantifikované na úrovni 5</w:t>
      </w:r>
      <w:r>
        <w:t xml:space="preserve"> </w:t>
      </w:r>
      <w:r w:rsidRPr="009908A6">
        <w:t>% osobných výdavkov</w:t>
      </w:r>
      <w:r>
        <w:t xml:space="preserve">, </w:t>
      </w:r>
      <w:r w:rsidRPr="009908A6">
        <w:t xml:space="preserve">ale kapitoly to mohli zaviazať </w:t>
      </w:r>
      <w:r>
        <w:t xml:space="preserve">aj na </w:t>
      </w:r>
      <w:r w:rsidRPr="009908A6">
        <w:t>prevádzk</w:t>
      </w:r>
      <w:r>
        <w:t>ových,</w:t>
      </w:r>
      <w:r w:rsidRPr="009908A6">
        <w:t xml:space="preserve"> nielen na osobných výdavkoch</w:t>
      </w:r>
      <w:r>
        <w:t>.</w:t>
      </w:r>
    </w:p>
  </w:footnote>
  <w:footnote w:id="22">
    <w:p w14:paraId="4DE43D68" w14:textId="77777777" w:rsidR="00A9226D" w:rsidRDefault="00A9226D" w:rsidP="00F37C80">
      <w:pPr>
        <w:pStyle w:val="Textpoznmkypodiarou"/>
      </w:pPr>
      <w:r>
        <w:rPr>
          <w:rStyle w:val="Odkaznapoznmkupodiarou"/>
        </w:rPr>
        <w:footnoteRef/>
      </w:r>
      <w:r>
        <w:t xml:space="preserve"> </w:t>
      </w:r>
      <w:r>
        <w:rPr>
          <w:noProof/>
        </w:rPr>
        <w:t>Očakávaná skutočnosť nezohľadňuje dočasne neobsadené miesta.</w:t>
      </w:r>
    </w:p>
  </w:footnote>
  <w:footnote w:id="23">
    <w:p w14:paraId="4814ABCD" w14:textId="77777777" w:rsidR="00A9226D" w:rsidRPr="00E119E5" w:rsidRDefault="00A9226D" w:rsidP="00F37C80">
      <w:pPr>
        <w:pStyle w:val="Textpoznmkypodiarou"/>
        <w:rPr>
          <w:szCs w:val="16"/>
        </w:rPr>
      </w:pPr>
      <w:r w:rsidRPr="00E119E5">
        <w:rPr>
          <w:rStyle w:val="Odkaznapoznmkupodiarou"/>
          <w:szCs w:val="16"/>
        </w:rPr>
        <w:footnoteRef/>
      </w:r>
      <w:r w:rsidRPr="00E119E5">
        <w:rPr>
          <w:szCs w:val="16"/>
        </w:rPr>
        <w:t xml:space="preserve"> Nárast je spôsobený najmä z dôvodu prijatia novely zákona č. 245/2008 Z. z. o výchove a vzdelávaní (školský zákon) a o zmene a doplnení niektorých zákonov v znení neskorších predpisov.</w:t>
      </w:r>
    </w:p>
  </w:footnote>
  <w:footnote w:id="24">
    <w:p w14:paraId="598AC3F3" w14:textId="77D916CB" w:rsidR="00A9226D" w:rsidRDefault="00A9226D" w:rsidP="001C1F57">
      <w:pPr>
        <w:pStyle w:val="Textpoznmkypodiarou"/>
      </w:pPr>
      <w:r>
        <w:rPr>
          <w:rStyle w:val="Odkaznapoznmkupodiarou"/>
        </w:rPr>
        <w:footnoteRef/>
      </w:r>
      <w:r>
        <w:t xml:space="preserve"> </w:t>
      </w:r>
      <w:r w:rsidRPr="007D2EBD">
        <w:t>Vládny návrh zákona o pomoci pri splácaní úveru na bývanie a o zmene a doplnení niektorých zákonov</w:t>
      </w:r>
      <w:r>
        <w:t xml:space="preserve">, </w:t>
      </w:r>
      <w:r w:rsidRPr="007D2EBD">
        <w:t>parlamentná tlač 84</w:t>
      </w:r>
      <w:r>
        <w:t>.</w:t>
      </w:r>
    </w:p>
  </w:footnote>
  <w:footnote w:id="25">
    <w:p w14:paraId="6EC89D41" w14:textId="2494C265" w:rsidR="00A9226D" w:rsidRDefault="00A9226D" w:rsidP="00A401BB">
      <w:pPr>
        <w:pStyle w:val="Textpoznmkypodiarou"/>
      </w:pPr>
      <w:r>
        <w:rPr>
          <w:rStyle w:val="Odkaznapoznmkupodiarou"/>
        </w:rPr>
        <w:footnoteRef/>
      </w:r>
      <w:r>
        <w:t xml:space="preserve"> </w:t>
      </w:r>
      <w:r w:rsidRPr="00CA0768">
        <w:t>Analýza vply</w:t>
      </w:r>
      <w:r>
        <w:t xml:space="preserve">vov na rozpočet verejnej správy, </w:t>
      </w:r>
      <w:r w:rsidRPr="00CA0768">
        <w:t xml:space="preserve">na zamestnanosť vo </w:t>
      </w:r>
      <w:r>
        <w:t>verejnej správe</w:t>
      </w:r>
      <w:r w:rsidRPr="00CA0768">
        <w:t xml:space="preserve"> a financovanie návrhu</w:t>
      </w:r>
      <w:r>
        <w:t xml:space="preserve"> k vládnemu</w:t>
      </w:r>
      <w:r w:rsidRPr="00CA0768">
        <w:t xml:space="preserve"> návrh</w:t>
      </w:r>
      <w:r>
        <w:t>u</w:t>
      </w:r>
      <w:r w:rsidRPr="00CA0768">
        <w:t xml:space="preserve"> zákona o pomoci pri splácaní úveru na bývanie a o zmene a doplnení niektorých zákonov</w:t>
      </w:r>
      <w:r>
        <w:t>. [</w:t>
      </w:r>
      <w:hyperlink r:id="rId15" w:history="1">
        <w:r w:rsidRPr="00CA0768">
          <w:rPr>
            <w:rStyle w:val="Hypertextovprepojenie"/>
            <w:sz w:val="16"/>
          </w:rPr>
          <w:t>online</w:t>
        </w:r>
      </w:hyperlink>
      <w:r>
        <w:t>].</w:t>
      </w:r>
    </w:p>
  </w:footnote>
  <w:footnote w:id="26">
    <w:p w14:paraId="1B0AC9AB" w14:textId="02EA6F80" w:rsidR="00A9226D" w:rsidRPr="00C021DA" w:rsidRDefault="00A9226D" w:rsidP="00A401BB">
      <w:pPr>
        <w:pStyle w:val="Textpoznmkypodiarou"/>
      </w:pPr>
      <w:r>
        <w:rPr>
          <w:rStyle w:val="Odkaznapoznmkupodiarou"/>
        </w:rPr>
        <w:footnoteRef/>
      </w:r>
      <w:r>
        <w:t xml:space="preserve"> </w:t>
      </w:r>
      <w:r w:rsidRPr="00567491">
        <w:t>Na raste počtu zamestnancov v kapitole MŽP SR sa najviac podieľa počet zamestnancov na implementáciu POO v počte 184 osôb, administratívnych kapacít v súlade so schváleným materiálom MIRRI SR k stanoveniu počtu administratívnych kapacít osobitne sledovaných na nové</w:t>
      </w:r>
      <w:r>
        <w:t xml:space="preserve"> PO</w:t>
      </w:r>
      <w:r w:rsidRPr="00567491">
        <w:t xml:space="preserve"> v počte 61 osôb a v súlade s prijatou legislatívou v počte 93 osôb na plnenie záväzkov v oblasti ochrany životného prostredia, ochrany ovzdušia, prevenci</w:t>
      </w:r>
      <w:r>
        <w:t>e</w:t>
      </w:r>
      <w:r w:rsidRPr="00567491">
        <w:t xml:space="preserve"> kontroly znečisťovania životného prostredia a ochrany prírody a krajiny. V kapitole MIRRI SR sa </w:t>
      </w:r>
      <w:r>
        <w:t xml:space="preserve">na </w:t>
      </w:r>
      <w:r w:rsidRPr="00567491">
        <w:t xml:space="preserve">zvýšenom počte zamestnancov v najväčšej miere podieľajú projektoví zamestnanci v počte 95 osôb a administratívne kapacity v počte 64 osôb. </w:t>
      </w:r>
      <w:r w:rsidRPr="006B6959">
        <w:t>V nadväznosti na schválenú legislatívu v oblasti E-</w:t>
      </w:r>
      <w:proofErr w:type="spellStart"/>
      <w:r w:rsidRPr="006B6959">
        <w:t>gover</w:t>
      </w:r>
      <w:r>
        <w:t>n</w:t>
      </w:r>
      <w:r w:rsidRPr="006B6959">
        <w:t>mentu</w:t>
      </w:r>
      <w:proofErr w:type="spellEnd"/>
      <w:r w:rsidRPr="006B6959">
        <w:t>, Plánu digitálnej transformácie a Zákona č. 95 z 27. marca 2019 o informačných technológiách vo</w:t>
      </w:r>
      <w:r>
        <w:t xml:space="preserve"> VS</w:t>
      </w:r>
      <w:r w:rsidRPr="006B6959">
        <w:t xml:space="preserve"> a o zmene a doplnení niektorých zákonov sa zvýši počet zamestnancov o 16 osôb.</w:t>
      </w:r>
    </w:p>
  </w:footnote>
  <w:footnote w:id="27">
    <w:p w14:paraId="3B8C338B" w14:textId="77777777" w:rsidR="00A9226D" w:rsidRDefault="00A9226D" w:rsidP="001C1F57">
      <w:pPr>
        <w:pStyle w:val="Textpoznmkypodiarou"/>
      </w:pPr>
      <w:r>
        <w:rPr>
          <w:rStyle w:val="Odkaznapoznmkupodiarou"/>
        </w:rPr>
        <w:footnoteRef/>
      </w:r>
      <w:r>
        <w:t xml:space="preserve"> NKÚ SR. KA Implementácia Programu ESO, 2017</w:t>
      </w:r>
    </w:p>
  </w:footnote>
  <w:footnote w:id="28">
    <w:p w14:paraId="5CDE81B9" w14:textId="026E7C39" w:rsidR="00A9226D" w:rsidRPr="00D06C00" w:rsidRDefault="00A9226D" w:rsidP="00D36B99">
      <w:pPr>
        <w:pStyle w:val="Textpoznmkypodiarou"/>
      </w:pPr>
      <w:r w:rsidRPr="00D06C00">
        <w:rPr>
          <w:rStyle w:val="Odkaznapoznmkupodiarou"/>
        </w:rPr>
        <w:footnoteRef/>
      </w:r>
      <w:r w:rsidRPr="00D06C00">
        <w:t xml:space="preserve"> </w:t>
      </w:r>
      <w:r>
        <w:t>Programové vyhlásenie vlády Slovenskej republiky 2023 – 2027. [</w:t>
      </w:r>
      <w:hyperlink r:id="rId16" w:history="1">
        <w:r w:rsidRPr="00451C0A">
          <w:rPr>
            <w:rStyle w:val="Hypertextovprepojenie"/>
            <w:sz w:val="16"/>
          </w:rPr>
          <w:t>online</w:t>
        </w:r>
      </w:hyperlink>
      <w:r>
        <w:t>].</w:t>
      </w:r>
    </w:p>
  </w:footnote>
  <w:footnote w:id="29">
    <w:p w14:paraId="0540D3D3" w14:textId="77777777" w:rsidR="00A9226D" w:rsidRDefault="00A9226D" w:rsidP="00604F76">
      <w:pPr>
        <w:pStyle w:val="Textpoznmkypodiarou"/>
      </w:pPr>
      <w:r>
        <w:rPr>
          <w:rStyle w:val="Odkaznapoznmkupodiarou"/>
        </w:rPr>
        <w:footnoteRef/>
      </w:r>
      <w:r>
        <w:t xml:space="preserve"> Zákon </w:t>
      </w:r>
      <w:r w:rsidRPr="008D31C6">
        <w:t>518/2022 Z. z.</w:t>
      </w:r>
      <w:r>
        <w:t xml:space="preserve"> schválený v decembri 2022.</w:t>
      </w:r>
    </w:p>
  </w:footnote>
  <w:footnote w:id="30">
    <w:p w14:paraId="7C068AEA" w14:textId="77777777" w:rsidR="00A9226D" w:rsidRDefault="00A9226D" w:rsidP="00604F76">
      <w:pPr>
        <w:pStyle w:val="Textpoznmkypodiarou"/>
      </w:pPr>
      <w:r>
        <w:rPr>
          <w:rStyle w:val="Odkaznapoznmkupodiarou"/>
        </w:rPr>
        <w:footnoteRef/>
      </w:r>
      <w:r>
        <w:t xml:space="preserve"> Pre roky 2024 a 2025. Od roku 2026 sa má uplatňovať sadzba vo výške 5 %. (</w:t>
      </w:r>
      <w:r w:rsidRPr="00BB2117">
        <w:t>§ 12</w:t>
      </w:r>
      <w:r>
        <w:t xml:space="preserve">, f), </w:t>
      </w:r>
      <w:r w:rsidRPr="00BB2117">
        <w:t>§ 38ezg</w:t>
      </w:r>
      <w:r>
        <w:t xml:space="preserve"> Zákona </w:t>
      </w:r>
      <w:r w:rsidRPr="009B3110">
        <w:t>580/2004 Z. z.</w:t>
      </w:r>
      <w:r>
        <w:t xml:space="preserve"> v znení platnom od budúceho roku).</w:t>
      </w:r>
    </w:p>
  </w:footnote>
  <w:footnote w:id="31">
    <w:p w14:paraId="75D90210" w14:textId="4F7D8738" w:rsidR="00A9226D" w:rsidRPr="00FD0412" w:rsidRDefault="00A9226D" w:rsidP="00787720">
      <w:pPr>
        <w:pStyle w:val="Textpoznmkypodiarou"/>
        <w:rPr>
          <w:szCs w:val="16"/>
        </w:rPr>
      </w:pPr>
      <w:r w:rsidRPr="00FD0412">
        <w:rPr>
          <w:rStyle w:val="Odkaznapoznmkupodiarou"/>
          <w:szCs w:val="16"/>
        </w:rPr>
        <w:footnoteRef/>
      </w:r>
      <w:r w:rsidRPr="00FD0412">
        <w:rPr>
          <w:szCs w:val="16"/>
        </w:rPr>
        <w:t xml:space="preserve"> </w:t>
      </w:r>
      <w:hyperlink r:id="rId17" w:history="1">
        <w:r w:rsidRPr="00FD0412">
          <w:rPr>
            <w:rStyle w:val="Hypertextovprepojenie"/>
            <w:sz w:val="16"/>
            <w:szCs w:val="16"/>
          </w:rPr>
          <w:t>Hlavna-kniha.pdf (mfsr.sk)</w:t>
        </w:r>
      </w:hyperlink>
      <w:r w:rsidRPr="00FD0412">
        <w:rPr>
          <w:szCs w:val="16"/>
        </w:rPr>
        <w:t xml:space="preserve"> str.133</w:t>
      </w:r>
      <w:r>
        <w:rPr>
          <w:szCs w:val="16"/>
        </w:rPr>
        <w:t>.</w:t>
      </w:r>
    </w:p>
  </w:footnote>
  <w:footnote w:id="32">
    <w:p w14:paraId="278136A2" w14:textId="77777777" w:rsidR="00A9226D" w:rsidRDefault="00A9226D" w:rsidP="00063087">
      <w:pPr>
        <w:pStyle w:val="Textpoznmkypodiarou"/>
      </w:pPr>
      <w:r>
        <w:rPr>
          <w:rStyle w:val="Odkaznapoznmkupodiarou"/>
        </w:rPr>
        <w:footnoteRef/>
      </w:r>
      <w:r>
        <w:t xml:space="preserve"> Zdroj: ČTK </w:t>
      </w:r>
      <w:r>
        <w:rPr>
          <w:lang w:val="en-US"/>
        </w:rPr>
        <w:t>[</w:t>
      </w:r>
      <w:hyperlink r:id="rId18" w:history="1">
        <w:r w:rsidRPr="006024D3">
          <w:rPr>
            <w:rStyle w:val="Hypertextovprepojenie"/>
            <w:sz w:val="16"/>
          </w:rPr>
          <w:t>online</w:t>
        </w:r>
      </w:hyperlink>
      <w:r>
        <w:t>]; prepočet kurzom CZK/EUR 24,31.</w:t>
      </w:r>
    </w:p>
  </w:footnote>
  <w:footnote w:id="33">
    <w:p w14:paraId="04B7F7D0" w14:textId="77777777" w:rsidR="00A9226D" w:rsidRDefault="00A9226D" w:rsidP="009D046F">
      <w:pPr>
        <w:pStyle w:val="Textpoznmkypodiarou"/>
      </w:pPr>
      <w:r>
        <w:rPr>
          <w:rStyle w:val="Odkaznapoznmkupodiarou"/>
        </w:rPr>
        <w:footnoteRef/>
      </w:r>
      <w:r>
        <w:t xml:space="preserve"> Aktualizácia implementačného plánu revízie výdavkov na zdravotníctvo 2023-2025, september 2023</w:t>
      </w:r>
    </w:p>
  </w:footnote>
  <w:footnote w:id="34">
    <w:p w14:paraId="20AA89EE" w14:textId="77777777" w:rsidR="00A9226D" w:rsidRPr="00AD21D3" w:rsidRDefault="00A9226D" w:rsidP="009D046F">
      <w:pPr>
        <w:pStyle w:val="Textpoznmkypodiarou"/>
        <w:rPr>
          <w:szCs w:val="16"/>
        </w:rPr>
      </w:pPr>
      <w:r w:rsidRPr="00AD21D3">
        <w:rPr>
          <w:rStyle w:val="Odkaznapoznmkupodiarou"/>
          <w:szCs w:val="16"/>
        </w:rPr>
        <w:footnoteRef/>
      </w:r>
      <w:r w:rsidRPr="00AD21D3">
        <w:rPr>
          <w:szCs w:val="16"/>
        </w:rPr>
        <w:t xml:space="preserve"> </w:t>
      </w:r>
      <w:hyperlink r:id="rId19" w:history="1">
        <w:r w:rsidRPr="00AD21D3">
          <w:rPr>
            <w:rStyle w:val="Hypertextovprepojenie"/>
            <w:sz w:val="16"/>
            <w:szCs w:val="16"/>
          </w:rPr>
          <w:t>20230330_5520400-2.pdf (slov-lex.sk)</w:t>
        </w:r>
      </w:hyperlink>
    </w:p>
  </w:footnote>
  <w:footnote w:id="35">
    <w:p w14:paraId="1566A31B" w14:textId="77777777" w:rsidR="00A9226D" w:rsidRPr="00F47564" w:rsidRDefault="00A9226D" w:rsidP="00217D25">
      <w:pPr>
        <w:pStyle w:val="Textpoznmkypodiarou"/>
        <w:rPr>
          <w:rFonts w:cs="Segoe UI"/>
          <w:szCs w:val="16"/>
        </w:rPr>
      </w:pPr>
      <w:r w:rsidRPr="00F47564">
        <w:rPr>
          <w:rStyle w:val="Odkaznapoznmkupodiarou"/>
          <w:rFonts w:cs="Segoe UI"/>
          <w:szCs w:val="16"/>
        </w:rPr>
        <w:footnoteRef/>
      </w:r>
      <w:r w:rsidRPr="00F47564">
        <w:rPr>
          <w:rFonts w:cs="Segoe UI"/>
          <w:szCs w:val="16"/>
        </w:rPr>
        <w:t xml:space="preserve"> </w:t>
      </w:r>
      <w:r w:rsidRPr="00F47564">
        <w:rPr>
          <w:rFonts w:cs="Segoe UI"/>
          <w:bCs/>
          <w:szCs w:val="16"/>
        </w:rPr>
        <w:t xml:space="preserve">Výbor pre daňové prognózy, </w:t>
      </w:r>
      <w:r w:rsidRPr="00F47564">
        <w:rPr>
          <w:rFonts w:cs="Segoe UI"/>
          <w:szCs w:val="16"/>
        </w:rPr>
        <w:t>75. zasadnutie December 2023.</w:t>
      </w:r>
    </w:p>
  </w:footnote>
  <w:footnote w:id="36">
    <w:p w14:paraId="0FB03DEF" w14:textId="77777777" w:rsidR="00A9226D" w:rsidRDefault="00A9226D" w:rsidP="00887AA2">
      <w:pPr>
        <w:pStyle w:val="Textpoznmkypodiarou"/>
      </w:pPr>
      <w:r>
        <w:rPr>
          <w:rStyle w:val="Odkaznapoznmkupodiarou"/>
        </w:rPr>
        <w:footnoteRef/>
      </w:r>
      <w:r>
        <w:t xml:space="preserve"> </w:t>
      </w:r>
      <w:r w:rsidRPr="00E77CB7">
        <w:t>Prioritné výdavkové tituly Ministerstva školstva, vedy výskumu a šport</w:t>
      </w:r>
      <w:r>
        <w:t>u SR na roky 2024 až 2026 (máj 2023).</w:t>
      </w:r>
    </w:p>
  </w:footnote>
  <w:footnote w:id="37">
    <w:p w14:paraId="7744A774" w14:textId="77777777" w:rsidR="00A9226D" w:rsidRDefault="00A9226D" w:rsidP="00887AA2">
      <w:pPr>
        <w:pStyle w:val="Textpoznmkypodiarou"/>
      </w:pPr>
      <w:r>
        <w:rPr>
          <w:rStyle w:val="Odkaznapoznmkupodiarou"/>
        </w:rPr>
        <w:footnoteRef/>
      </w:r>
      <w:r>
        <w:t xml:space="preserve"> </w:t>
      </w:r>
      <w:r w:rsidRPr="00E77CB7">
        <w:t>Prioritné výdavkové tituly Ministerstva školstva, vedy výskumu a šport</w:t>
      </w:r>
      <w:r>
        <w:t>u SR na roky 2024 až 2026 (máj 2023).</w:t>
      </w:r>
    </w:p>
  </w:footnote>
  <w:footnote w:id="38">
    <w:p w14:paraId="1FD8FEBC" w14:textId="77777777" w:rsidR="00A9226D" w:rsidRDefault="00A9226D" w:rsidP="00887AA2">
      <w:pPr>
        <w:pStyle w:val="Textpoznmkypodiarou"/>
      </w:pPr>
      <w:r>
        <w:rPr>
          <w:rStyle w:val="Odkaznapoznmkupodiarou"/>
        </w:rPr>
        <w:footnoteRef/>
      </w:r>
      <w:r>
        <w:t xml:space="preserve"> Akčný plán k Stratégii celoživotného vzdelávania a poradenstva na roky 2022 – 2024.</w:t>
      </w:r>
      <w:r w:rsidRPr="00AA6DAA">
        <w:t xml:space="preserve"> [</w:t>
      </w:r>
      <w:hyperlink r:id="rId20" w:history="1">
        <w:r w:rsidRPr="00AA6DAA">
          <w:rPr>
            <w:rStyle w:val="Hypertextovprepojenie"/>
            <w:sz w:val="16"/>
          </w:rPr>
          <w:t>online</w:t>
        </w:r>
      </w:hyperlink>
      <w:r w:rsidRPr="00AA6DAA">
        <w:t>].</w:t>
      </w:r>
    </w:p>
  </w:footnote>
  <w:footnote w:id="39">
    <w:p w14:paraId="62B133DB" w14:textId="3D55A2AB" w:rsidR="00A9226D" w:rsidRDefault="00A9226D" w:rsidP="00887AA2">
      <w:pPr>
        <w:pStyle w:val="Textpoznmkypodiarou"/>
      </w:pPr>
      <w:r>
        <w:rPr>
          <w:rStyle w:val="Odkaznapoznmkupodiarou"/>
        </w:rPr>
        <w:footnoteRef/>
      </w:r>
      <w:r>
        <w:t xml:space="preserve"> </w:t>
      </w:r>
      <w:r w:rsidRPr="00D174ED">
        <w:t xml:space="preserve">Proces, kde sa dohodnú základné parametre a funkcionality tohto nástroja, na základe ktorých sa umožní jednotlivcom čerpanie hodnoty cca 200 </w:t>
      </w:r>
      <w:r>
        <w:t>eur</w:t>
      </w:r>
      <w:r w:rsidRPr="00D174ED">
        <w:t xml:space="preserve"> na vzdelávanie, ktoré je registrované v pripravovanom registri vzdelávacích inštitúcií, ktoré môžu ponúkať vzdelávacie programy.</w:t>
      </w:r>
    </w:p>
  </w:footnote>
  <w:footnote w:id="40">
    <w:p w14:paraId="431F564A" w14:textId="77777777" w:rsidR="00A9226D" w:rsidRDefault="00A9226D" w:rsidP="00887AA2">
      <w:pPr>
        <w:pStyle w:val="Textpoznmkypodiarou"/>
      </w:pPr>
      <w:r>
        <w:rPr>
          <w:rStyle w:val="Odkaznapoznmkupodiarou"/>
        </w:rPr>
        <w:footnoteRef/>
      </w:r>
      <w:r>
        <w:t xml:space="preserve"> </w:t>
      </w:r>
      <w:r w:rsidRPr="00E77CB7">
        <w:t>Prioritné výdavkové tituly Ministerstva školstva, vedy výskumu a šport</w:t>
      </w:r>
      <w:r>
        <w:t>u SR na roky 2024 až 2026 (máj 2023).</w:t>
      </w:r>
    </w:p>
  </w:footnote>
  <w:footnote w:id="41">
    <w:p w14:paraId="243E26C8" w14:textId="77777777" w:rsidR="00A9226D" w:rsidRPr="00007D75" w:rsidRDefault="00A9226D" w:rsidP="00887AA2">
      <w:pPr>
        <w:pStyle w:val="Textpoznmkypodiarou"/>
        <w:rPr>
          <w:szCs w:val="16"/>
        </w:rPr>
      </w:pPr>
      <w:r w:rsidRPr="00007D75">
        <w:rPr>
          <w:rStyle w:val="Odkaznapoznmkupodiarou"/>
          <w:szCs w:val="16"/>
        </w:rPr>
        <w:footnoteRef/>
      </w:r>
      <w:r w:rsidRPr="00007D75">
        <w:rPr>
          <w:szCs w:val="16"/>
        </w:rPr>
        <w:t xml:space="preserve"> NKÚ SR, 2023. Stanovisko NKÚ SR k Návrhu Štátneho záverečného účtu SR za rok 2022. [</w:t>
      </w:r>
      <w:hyperlink r:id="rId21" w:history="1">
        <w:r w:rsidRPr="00007D75">
          <w:rPr>
            <w:rStyle w:val="Hypertextovprepojenie"/>
            <w:sz w:val="16"/>
            <w:szCs w:val="16"/>
          </w:rPr>
          <w:t>online</w:t>
        </w:r>
      </w:hyperlink>
      <w:r w:rsidRPr="00007D75">
        <w:rPr>
          <w:szCs w:val="16"/>
        </w:rPr>
        <w:t>].</w:t>
      </w:r>
    </w:p>
  </w:footnote>
  <w:footnote w:id="42">
    <w:p w14:paraId="7F628E95" w14:textId="162804CA" w:rsidR="00A9226D" w:rsidRPr="00007D75" w:rsidRDefault="00A9226D" w:rsidP="00887AA2">
      <w:pPr>
        <w:pStyle w:val="Textpoznmkypodiarou"/>
        <w:rPr>
          <w:szCs w:val="16"/>
        </w:rPr>
      </w:pPr>
      <w:r w:rsidRPr="00007D75">
        <w:rPr>
          <w:rStyle w:val="Odkaznapoznmkupodiarou"/>
          <w:szCs w:val="16"/>
        </w:rPr>
        <w:footnoteRef/>
      </w:r>
      <w:r w:rsidRPr="00007D75">
        <w:rPr>
          <w:szCs w:val="16"/>
        </w:rPr>
        <w:t xml:space="preserve"> V októbri 2023 bola navýšená alokácia prostriedkov na výzvu na 82,6 mil. eur</w:t>
      </w:r>
      <w:r>
        <w:rPr>
          <w:szCs w:val="16"/>
        </w:rPr>
        <w:t>. [</w:t>
      </w:r>
      <w:hyperlink r:id="rId22" w:history="1">
        <w:r w:rsidRPr="00CA3C68">
          <w:rPr>
            <w:rStyle w:val="Hypertextovprepojenie"/>
            <w:sz w:val="16"/>
            <w:szCs w:val="16"/>
          </w:rPr>
          <w:t>online</w:t>
        </w:r>
      </w:hyperlink>
      <w:r>
        <w:rPr>
          <w:szCs w:val="16"/>
        </w:rPr>
        <w:t>].</w:t>
      </w:r>
    </w:p>
  </w:footnote>
  <w:footnote w:id="43">
    <w:p w14:paraId="0304F8B9" w14:textId="03B80AD4" w:rsidR="00A9226D" w:rsidRPr="00C054EF" w:rsidRDefault="00A9226D" w:rsidP="00887AA2">
      <w:pPr>
        <w:pStyle w:val="Textpoznmkypodiarou"/>
        <w:rPr>
          <w:szCs w:val="16"/>
        </w:rPr>
      </w:pPr>
      <w:r w:rsidRPr="00007D75">
        <w:rPr>
          <w:rStyle w:val="Odkaznapoznmkupodiarou"/>
          <w:szCs w:val="16"/>
        </w:rPr>
        <w:footnoteRef/>
      </w:r>
      <w:r w:rsidRPr="00007D75">
        <w:rPr>
          <w:szCs w:val="16"/>
        </w:rPr>
        <w:t xml:space="preserve"> Ministerstvo je pripravené vyčleniť na tento účel dodatočných 71,5 mil. eur</w:t>
      </w:r>
      <w:r>
        <w:rPr>
          <w:szCs w:val="16"/>
        </w:rPr>
        <w:t xml:space="preserve"> [</w:t>
      </w:r>
      <w:hyperlink r:id="rId23" w:history="1">
        <w:r w:rsidRPr="00CA3C68">
          <w:rPr>
            <w:rStyle w:val="Hypertextovprepojenie"/>
            <w:sz w:val="16"/>
            <w:szCs w:val="16"/>
          </w:rPr>
          <w:t>online</w:t>
        </w:r>
      </w:hyperlink>
      <w:r>
        <w:rPr>
          <w:szCs w:val="16"/>
        </w:rPr>
        <w:t>].</w:t>
      </w:r>
      <w:hyperlink r:id="rId24" w:history="1"/>
    </w:p>
  </w:footnote>
  <w:footnote w:id="44">
    <w:p w14:paraId="391C2FE2" w14:textId="6FAC07C7" w:rsidR="00A9226D" w:rsidRDefault="00A9226D">
      <w:pPr>
        <w:pStyle w:val="Textpoznmkypodiarou"/>
      </w:pPr>
      <w:r>
        <w:rPr>
          <w:rStyle w:val="Odkaznapoznmkupodiarou"/>
        </w:rPr>
        <w:footnoteRef/>
      </w:r>
      <w:r>
        <w:t xml:space="preserve"> </w:t>
      </w:r>
      <w:r w:rsidRPr="007A35C9">
        <w:t>IVP, 2019</w:t>
      </w:r>
      <w:r>
        <w:t>.</w:t>
      </w:r>
    </w:p>
  </w:footnote>
  <w:footnote w:id="45">
    <w:p w14:paraId="70C677CB" w14:textId="77777777" w:rsidR="00A9226D" w:rsidRDefault="00A9226D" w:rsidP="00887AA2">
      <w:pPr>
        <w:pStyle w:val="Textpoznmkypodiarou"/>
      </w:pPr>
      <w:r>
        <w:rPr>
          <w:rStyle w:val="Odkaznapoznmkupodiarou"/>
        </w:rPr>
        <w:footnoteRef/>
      </w:r>
      <w:r>
        <w:t xml:space="preserve"> Predbežný údaj za rok 2023 je 1 023.</w:t>
      </w:r>
    </w:p>
  </w:footnote>
  <w:footnote w:id="46">
    <w:p w14:paraId="08EE957F" w14:textId="77777777" w:rsidR="00A9226D" w:rsidRDefault="00A9226D" w:rsidP="00887AA2">
      <w:pPr>
        <w:pStyle w:val="Textpoznmkypodiarou"/>
      </w:pPr>
      <w:r>
        <w:rPr>
          <w:rStyle w:val="Odkaznapoznmkupodiarou"/>
        </w:rPr>
        <w:footnoteRef/>
      </w:r>
      <w:r>
        <w:t xml:space="preserve"> Pre MŠ nie je vyčíslená potreba asistentov učiteľa pre žiakov so zdravotným znevýhodnením.</w:t>
      </w:r>
    </w:p>
  </w:footnote>
  <w:footnote w:id="47">
    <w:p w14:paraId="43E9DF29" w14:textId="77777777" w:rsidR="00A9226D" w:rsidRDefault="00A9226D" w:rsidP="00887AA2">
      <w:pPr>
        <w:pStyle w:val="Textpoznmkypodiarou"/>
      </w:pPr>
      <w:r>
        <w:rPr>
          <w:rStyle w:val="Odkaznapoznmkupodiarou"/>
        </w:rPr>
        <w:footnoteRef/>
      </w:r>
      <w:r>
        <w:t xml:space="preserve"> </w:t>
      </w:r>
      <w:r w:rsidRPr="00E77CB7">
        <w:t>Prioritné výdavkové tituly Ministerstva školstva, vedy výskumu a šport</w:t>
      </w:r>
      <w:r>
        <w:t>u SR na roky 2024 až 2026 (máj 2023).</w:t>
      </w:r>
    </w:p>
  </w:footnote>
  <w:footnote w:id="48">
    <w:p w14:paraId="7E23004E" w14:textId="77777777" w:rsidR="00A9226D" w:rsidRDefault="00A9226D" w:rsidP="00887AA2">
      <w:pPr>
        <w:pStyle w:val="Textpoznmkypodiarou"/>
      </w:pPr>
      <w:r>
        <w:rPr>
          <w:rStyle w:val="Odkaznapoznmkupodiarou"/>
        </w:rPr>
        <w:footnoteRef/>
      </w:r>
      <w:r>
        <w:t xml:space="preserve"> </w:t>
      </w:r>
      <w:r w:rsidRPr="00E77CB7">
        <w:t>Prioritné výdavkové tituly Ministerstva školstva, vedy výskumu a šport</w:t>
      </w:r>
      <w:r>
        <w:t>u SR na roky 2024 až 2026 (máj 2023).</w:t>
      </w:r>
    </w:p>
  </w:footnote>
  <w:footnote w:id="49">
    <w:p w14:paraId="09AC6E7E" w14:textId="30116A68" w:rsidR="00A9226D" w:rsidRPr="00A30B4A" w:rsidRDefault="00A9226D">
      <w:pPr>
        <w:pStyle w:val="Textpoznmkypodiarou"/>
        <w:rPr>
          <w:szCs w:val="16"/>
        </w:rPr>
      </w:pPr>
      <w:r w:rsidRPr="00A30B4A">
        <w:rPr>
          <w:rStyle w:val="Odkaznapoznmkupodiarou"/>
          <w:szCs w:val="16"/>
        </w:rPr>
        <w:footnoteRef/>
      </w:r>
      <w:r w:rsidRPr="00A30B4A">
        <w:rPr>
          <w:szCs w:val="16"/>
        </w:rPr>
        <w:t xml:space="preserve"> NKÚ SR. </w:t>
      </w:r>
      <w:r w:rsidRPr="00A30B4A">
        <w:rPr>
          <w:szCs w:val="16"/>
          <w:lang w:val="en-US"/>
        </w:rPr>
        <w:t>[</w:t>
      </w:r>
      <w:hyperlink r:id="rId25" w:history="1">
        <w:proofErr w:type="gramStart"/>
        <w:r w:rsidRPr="00A30B4A">
          <w:rPr>
            <w:rStyle w:val="Hypertextovprepojenie"/>
            <w:color w:val="auto"/>
            <w:sz w:val="16"/>
            <w:szCs w:val="16"/>
          </w:rPr>
          <w:t>online</w:t>
        </w:r>
        <w:proofErr w:type="gramEnd"/>
      </w:hyperlink>
      <w:r w:rsidRPr="00A30B4A">
        <w:rPr>
          <w:szCs w:val="16"/>
        </w:rPr>
        <w:t>].</w:t>
      </w:r>
    </w:p>
  </w:footnote>
  <w:footnote w:id="50">
    <w:p w14:paraId="0DD00B52" w14:textId="266098F1" w:rsidR="00A9226D" w:rsidRDefault="00A9226D" w:rsidP="00C021DA">
      <w:pPr>
        <w:pStyle w:val="Textpoznmkypodiarou"/>
      </w:pPr>
      <w:r>
        <w:rPr>
          <w:rStyle w:val="Odkaznapoznmkupodiarou"/>
        </w:rPr>
        <w:footnoteRef/>
      </w:r>
      <w:r>
        <w:t xml:space="preserve"> NKÚ SR – Správa o výsledku kontroly 2023</w:t>
      </w:r>
      <w:r w:rsidRPr="002663A5">
        <w:t xml:space="preserve"> </w:t>
      </w:r>
      <w:r>
        <w:t>Infraštruktúra pre pripájanie škôl do internetu</w:t>
      </w:r>
      <w:r w:rsidRPr="002663A5">
        <w:t>. [</w:t>
      </w:r>
      <w:hyperlink r:id="rId26" w:history="1">
        <w:r w:rsidRPr="002663A5">
          <w:rPr>
            <w:rStyle w:val="Hypertextovprepojenie"/>
            <w:sz w:val="16"/>
          </w:rPr>
          <w:t>online</w:t>
        </w:r>
      </w:hyperlink>
      <w:r w:rsidRPr="002663A5">
        <w:t>].</w:t>
      </w:r>
      <w:r>
        <w:t xml:space="preserve">  </w:t>
      </w:r>
    </w:p>
  </w:footnote>
  <w:footnote w:id="51">
    <w:p w14:paraId="7ED5D0BD" w14:textId="3E17195F" w:rsidR="00A9226D" w:rsidRDefault="00A9226D" w:rsidP="00B910C5">
      <w:pPr>
        <w:pStyle w:val="Textpoznmkypodiarou"/>
      </w:pPr>
      <w:r>
        <w:rPr>
          <w:rStyle w:val="Odkaznapoznmkupodiarou"/>
        </w:rPr>
        <w:footnoteRef/>
      </w:r>
      <w:r>
        <w:t xml:space="preserve"> </w:t>
      </w:r>
      <w:r w:rsidRPr="004F2DB9">
        <w:t>NKÚ SR</w:t>
      </w:r>
      <w:r>
        <w:t xml:space="preserve"> – </w:t>
      </w:r>
      <w:r w:rsidRPr="004F2DB9">
        <w:t>Správa o výsledku kontroly 2023 Ochrana pred povodňami v SR - kontrola opatrení</w:t>
      </w:r>
      <w:r>
        <w:t xml:space="preserve">. </w:t>
      </w:r>
      <w:r w:rsidRPr="004F2DB9">
        <w:t>[</w:t>
      </w:r>
      <w:hyperlink r:id="rId27" w:history="1">
        <w:r w:rsidRPr="004F2DB9">
          <w:rPr>
            <w:rStyle w:val="Hypertextovprepojenie"/>
            <w:sz w:val="16"/>
          </w:rPr>
          <w:t>online</w:t>
        </w:r>
      </w:hyperlink>
      <w:r w:rsidRPr="004F2DB9">
        <w:t>].</w:t>
      </w:r>
    </w:p>
  </w:footnote>
  <w:footnote w:id="52">
    <w:p w14:paraId="37B93876" w14:textId="77777777" w:rsidR="00A9226D" w:rsidRDefault="00A9226D" w:rsidP="00D2530C">
      <w:pPr>
        <w:shd w:val="clear" w:color="auto" w:fill="FFFFFF"/>
        <w:spacing w:after="0" w:line="240" w:lineRule="auto"/>
      </w:pPr>
      <w:r w:rsidRPr="00023691">
        <w:rPr>
          <w:sz w:val="16"/>
          <w:szCs w:val="20"/>
          <w:vertAlign w:val="superscript"/>
        </w:rPr>
        <w:footnoteRef/>
      </w:r>
      <w:r w:rsidRPr="00023691">
        <w:rPr>
          <w:sz w:val="16"/>
          <w:szCs w:val="20"/>
        </w:rPr>
        <w:t xml:space="preserve"> </w:t>
      </w:r>
      <w:r>
        <w:rPr>
          <w:sz w:val="16"/>
          <w:szCs w:val="20"/>
        </w:rPr>
        <w:t>EK, 2022: Rozhodnutia o neplnení povinností. [</w:t>
      </w:r>
      <w:hyperlink r:id="rId28" w:history="1">
        <w:r>
          <w:rPr>
            <w:rStyle w:val="Hypertextovprepojenie"/>
            <w:sz w:val="16"/>
            <w:szCs w:val="20"/>
          </w:rPr>
          <w:t>online</w:t>
        </w:r>
      </w:hyperlink>
      <w:r>
        <w:rPr>
          <w:rStyle w:val="Hypertextovprepojenie"/>
          <w:sz w:val="16"/>
          <w:szCs w:val="20"/>
        </w:rPr>
        <w:t>].</w:t>
      </w:r>
      <w:r>
        <w:rPr>
          <w:sz w:val="16"/>
          <w:szCs w:val="20"/>
        </w:rPr>
        <w:t xml:space="preserve"> </w:t>
      </w:r>
    </w:p>
  </w:footnote>
  <w:footnote w:id="53">
    <w:p w14:paraId="57B7DEFB" w14:textId="19FC526A" w:rsidR="00A9226D" w:rsidRDefault="00A9226D" w:rsidP="00D2530C">
      <w:pPr>
        <w:pStyle w:val="Textpoznmkypodiarou"/>
      </w:pPr>
      <w:r>
        <w:rPr>
          <w:rStyle w:val="Odkaznapoznmkupodiarou"/>
        </w:rPr>
        <w:footnoteRef/>
      </w:r>
      <w:r>
        <w:t xml:space="preserve"> IEP, 203: Po nás potopa, Ekonomická a finančná analýza Slovenského vodohospodárskeho podniku. [</w:t>
      </w:r>
      <w:hyperlink r:id="rId29" w:history="1">
        <w:r w:rsidRPr="004F2DB9">
          <w:rPr>
            <w:rStyle w:val="Hypertextovprepojenie"/>
            <w:sz w:val="16"/>
          </w:rPr>
          <w:t>online</w:t>
        </w:r>
      </w:hyperlink>
      <w:r>
        <w:rPr>
          <w:rStyle w:val="Hypertextovprepojenie"/>
          <w:sz w:val="16"/>
        </w:rPr>
        <w:t>].</w:t>
      </w:r>
    </w:p>
  </w:footnote>
  <w:footnote w:id="54">
    <w:p w14:paraId="6AC414E6" w14:textId="77777777" w:rsidR="00A9226D" w:rsidRDefault="00A9226D" w:rsidP="00205DCC">
      <w:pPr>
        <w:pStyle w:val="Textpoznmkypodiarou"/>
      </w:pPr>
      <w:r>
        <w:rPr>
          <w:rStyle w:val="Odkaznapoznmkupodiarou"/>
        </w:rPr>
        <w:footnoteRef/>
      </w:r>
      <w:r>
        <w:t xml:space="preserve"> </w:t>
      </w:r>
      <w:r w:rsidRPr="00E238B6">
        <w:t>Správa o výsledku kontroly 2022 ŠPSEZ (2016 – 2021)</w:t>
      </w:r>
      <w:r>
        <w:t xml:space="preserve">. </w:t>
      </w:r>
      <w:hyperlink r:id="rId30" w:history="1">
        <w:r>
          <w:rPr>
            <w:rStyle w:val="Hypertextovprepojenie"/>
            <w:sz w:val="16"/>
          </w:rPr>
          <w:t>[online]</w:t>
        </w:r>
      </w:hyperlink>
      <w:r>
        <w:rPr>
          <w:rStyle w:val="Hypertextovprepojenie"/>
          <w:sz w:val="16"/>
        </w:rPr>
        <w:t>.</w:t>
      </w:r>
    </w:p>
  </w:footnote>
  <w:footnote w:id="55">
    <w:p w14:paraId="7AD2AF11" w14:textId="77777777" w:rsidR="00A9226D" w:rsidRDefault="00A9226D" w:rsidP="00B910C5">
      <w:pPr>
        <w:pStyle w:val="Textpoznmkypodiarou"/>
      </w:pPr>
      <w:r>
        <w:rPr>
          <w:rStyle w:val="Odkaznapoznmkupodiarou"/>
        </w:rPr>
        <w:footnoteRef/>
      </w:r>
      <w:r>
        <w:t xml:space="preserve"> </w:t>
      </w:r>
      <w:r w:rsidRPr="00D8189F">
        <w:rPr>
          <w:rFonts w:cs="Segoe UI"/>
          <w:szCs w:val="16"/>
        </w:rPr>
        <w:t>Systém obchodovania s emisnými povolenkami obsahuje možnosť stiahnuť určitý objem emisných kvót do tzv. tržnej rezervy (</w:t>
      </w:r>
      <w:proofErr w:type="spellStart"/>
      <w:r w:rsidRPr="00D8189F">
        <w:rPr>
          <w:rFonts w:cs="Segoe UI"/>
          <w:szCs w:val="16"/>
        </w:rPr>
        <w:t>Market</w:t>
      </w:r>
      <w:proofErr w:type="spellEnd"/>
      <w:r w:rsidRPr="00D8189F">
        <w:rPr>
          <w:rFonts w:cs="Segoe UI"/>
          <w:szCs w:val="16"/>
        </w:rPr>
        <w:t xml:space="preserve"> Stability </w:t>
      </w:r>
      <w:proofErr w:type="spellStart"/>
      <w:r w:rsidRPr="00D8189F">
        <w:rPr>
          <w:rFonts w:cs="Segoe UI"/>
          <w:szCs w:val="16"/>
        </w:rPr>
        <w:t>Reserve</w:t>
      </w:r>
      <w:proofErr w:type="spellEnd"/>
      <w:r w:rsidRPr="00D8189F">
        <w:rPr>
          <w:rFonts w:cs="Segoe UI"/>
          <w:szCs w:val="16"/>
        </w:rPr>
        <w:t>). Ide o nástroj pre dosiahnutie cien emisných povoleniek, zvyšujúcich motivácie firiem k znižovaniu emisií v súlade s emisnými cieľmi Európskej komisie.</w:t>
      </w:r>
    </w:p>
  </w:footnote>
  <w:footnote w:id="56">
    <w:p w14:paraId="7F93152F" w14:textId="77777777" w:rsidR="00A9226D" w:rsidRDefault="00A9226D" w:rsidP="00B910C5">
      <w:pPr>
        <w:pStyle w:val="Textpoznmkypodiarou"/>
      </w:pPr>
      <w:r>
        <w:rPr>
          <w:rStyle w:val="Odkaznapoznmkupodiarou"/>
        </w:rPr>
        <w:footnoteRef/>
      </w:r>
      <w:r>
        <w:t xml:space="preserve"> </w:t>
      </w:r>
      <w:r w:rsidRPr="00D8189F">
        <w:rPr>
          <w:rFonts w:cs="Segoe UI"/>
          <w:szCs w:val="16"/>
        </w:rPr>
        <w:t>Smernica EP a Rady (EÚ) 2023/959 z 10. mája 2023, ktorou sa mení smernica 2003/87/ES o vytvorení systému obchodovania s emisnými kv</w:t>
      </w:r>
      <w:r>
        <w:rPr>
          <w:rFonts w:cs="Segoe UI"/>
          <w:szCs w:val="16"/>
        </w:rPr>
        <w:t xml:space="preserve">ótami skleníkových plynov v EÚ </w:t>
      </w:r>
      <w:hyperlink r:id="rId31" w:history="1">
        <w:r w:rsidRPr="00702ADB">
          <w:rPr>
            <w:rStyle w:val="Hypertextovprepojenie"/>
            <w:rFonts w:cs="Segoe UI"/>
            <w:sz w:val="16"/>
            <w:szCs w:val="16"/>
          </w:rPr>
          <w:t>online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803" w:type="pct"/>
      <w:tblInd w:w="-1418" w:type="dxa"/>
      <w:shd w:val="clear" w:color="auto" w:fill="9CB9EC" w:themeFill="accent2"/>
      <w:tblCellMar>
        <w:top w:w="115" w:type="dxa"/>
        <w:left w:w="115" w:type="dxa"/>
        <w:bottom w:w="115" w:type="dxa"/>
        <w:right w:w="115" w:type="dxa"/>
      </w:tblCellMar>
      <w:tblLook w:val="04A0" w:firstRow="1" w:lastRow="0" w:firstColumn="1" w:lastColumn="0" w:noHBand="0" w:noVBand="1"/>
    </w:tblPr>
    <w:tblGrid>
      <w:gridCol w:w="12341"/>
    </w:tblGrid>
    <w:tr w:rsidR="00A9226D" w14:paraId="6078A1EE" w14:textId="77777777" w:rsidTr="00D368ED">
      <w:trPr>
        <w:trHeight w:val="1911"/>
      </w:trPr>
      <w:tc>
        <w:tcPr>
          <w:tcW w:w="5000" w:type="pct"/>
          <w:shd w:val="clear" w:color="auto" w:fill="314364"/>
          <w:vAlign w:val="center"/>
        </w:tcPr>
        <w:p w14:paraId="0129F68B" w14:textId="77777777" w:rsidR="00A9226D" w:rsidRPr="00D368ED" w:rsidRDefault="00A9226D" w:rsidP="000B6CC9">
          <w:pPr>
            <w:pStyle w:val="Hlavika"/>
            <w:tabs>
              <w:tab w:val="clear" w:pos="9072"/>
              <w:tab w:val="right" w:pos="10239"/>
            </w:tabs>
            <w:spacing w:before="240" w:after="120"/>
            <w:ind w:left="1308"/>
            <w:jc w:val="left"/>
            <w:rPr>
              <w:rFonts w:cs="Segoe UI"/>
              <w:b/>
              <w:caps/>
              <w:color w:val="FFFFFF" w:themeColor="background1"/>
              <w:sz w:val="40"/>
              <w:szCs w:val="40"/>
            </w:rPr>
          </w:pPr>
          <w:r w:rsidRPr="0060315B">
            <w:rPr>
              <w:rFonts w:cs="Segoe UI"/>
              <w:noProof/>
              <w:color w:val="FFFFFF" w:themeColor="background1"/>
              <w:sz w:val="40"/>
              <w:lang w:eastAsia="sk-SK"/>
            </w:rPr>
            <w:drawing>
              <wp:anchor distT="0" distB="0" distL="114300" distR="114300" simplePos="0" relativeHeight="251661312" behindDoc="0" locked="0" layoutInCell="1" allowOverlap="1" wp14:anchorId="375CB54A" wp14:editId="30DC9E20">
                <wp:simplePos x="0" y="0"/>
                <wp:positionH relativeFrom="margin">
                  <wp:posOffset>5177155</wp:posOffset>
                </wp:positionH>
                <wp:positionV relativeFrom="margin">
                  <wp:posOffset>135255</wp:posOffset>
                </wp:positionV>
                <wp:extent cx="1371600" cy="1009650"/>
                <wp:effectExtent l="0" t="0" r="0" b="0"/>
                <wp:wrapSquare wrapText="bothSides"/>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ázok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1009650"/>
                        </a:xfrm>
                        <a:prstGeom prst="rect">
                          <a:avLst/>
                        </a:prstGeom>
                      </pic:spPr>
                    </pic:pic>
                  </a:graphicData>
                </a:graphic>
                <wp14:sizeRelH relativeFrom="margin">
                  <wp14:pctWidth>0</wp14:pctWidth>
                </wp14:sizeRelH>
                <wp14:sizeRelV relativeFrom="margin">
                  <wp14:pctHeight>0</wp14:pctHeight>
                </wp14:sizeRelV>
              </wp:anchor>
            </w:drawing>
          </w:r>
          <w:r w:rsidRPr="00D368ED">
            <w:rPr>
              <w:rFonts w:cs="Segoe UI"/>
              <w:b/>
              <w:caps/>
              <w:color w:val="FFFFFF" w:themeColor="background1"/>
              <w:sz w:val="40"/>
              <w:szCs w:val="40"/>
            </w:rPr>
            <w:t>NAJVYŠŠÍ KONTROLNÝ ÚRAD</w:t>
          </w:r>
          <w:r w:rsidRPr="00D368ED">
            <w:rPr>
              <w:rFonts w:cs="Segoe UI"/>
              <w:b/>
              <w:caps/>
              <w:color w:val="FFFFFF" w:themeColor="background1"/>
              <w:sz w:val="40"/>
              <w:szCs w:val="40"/>
            </w:rPr>
            <w:br/>
            <w:t>SLOVENSKEJ REPUBLIKY</w:t>
          </w:r>
        </w:p>
        <w:p w14:paraId="41E3EFF0" w14:textId="77777777" w:rsidR="00A9226D" w:rsidRPr="00452B4A" w:rsidRDefault="00A9226D" w:rsidP="00D368ED">
          <w:pPr>
            <w:pStyle w:val="Hlavika"/>
            <w:ind w:left="1308"/>
            <w:jc w:val="left"/>
            <w:rPr>
              <w:rFonts w:ascii="Montserrat" w:hAnsi="Montserrat"/>
              <w:caps/>
              <w:color w:val="FFFFFF" w:themeColor="background1"/>
            </w:rPr>
          </w:pPr>
          <w:r>
            <w:rPr>
              <w:rFonts w:cs="Segoe UI"/>
              <w:color w:val="FFFFFF" w:themeColor="background1"/>
              <w:sz w:val="24"/>
            </w:rPr>
            <w:t>www.nku.gov.sk</w:t>
          </w:r>
        </w:p>
      </w:tc>
    </w:tr>
  </w:tbl>
  <w:p w14:paraId="0EE9014E" w14:textId="77777777" w:rsidR="00A9226D" w:rsidRDefault="00A9226D">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00" w:type="pct"/>
      <w:tblInd w:w="-1471" w:type="dxa"/>
      <w:shd w:val="clear" w:color="auto" w:fill="9CB9EC" w:themeFill="accent2"/>
      <w:tblCellMar>
        <w:top w:w="115" w:type="dxa"/>
        <w:left w:w="115" w:type="dxa"/>
        <w:bottom w:w="115" w:type="dxa"/>
        <w:right w:w="115" w:type="dxa"/>
      </w:tblCellMar>
      <w:tblLook w:val="04A0" w:firstRow="1" w:lastRow="0" w:firstColumn="1" w:lastColumn="0" w:noHBand="0" w:noVBand="1"/>
    </w:tblPr>
    <w:tblGrid>
      <w:gridCol w:w="11972"/>
    </w:tblGrid>
    <w:tr w:rsidR="00A9226D" w14:paraId="7A36DCFD" w14:textId="77777777" w:rsidTr="0056118C">
      <w:trPr>
        <w:trHeight w:val="1134"/>
      </w:trPr>
      <w:tc>
        <w:tcPr>
          <w:tcW w:w="5000" w:type="pct"/>
          <w:shd w:val="clear" w:color="auto" w:fill="314364"/>
          <w:vAlign w:val="center"/>
        </w:tcPr>
        <w:p w14:paraId="6D97F8F6" w14:textId="5CC4F8FA" w:rsidR="00A9226D" w:rsidRPr="00962F36" w:rsidRDefault="00A9226D" w:rsidP="00092577">
          <w:pPr>
            <w:pStyle w:val="Hlavika"/>
            <w:tabs>
              <w:tab w:val="clear" w:pos="4536"/>
              <w:tab w:val="center" w:pos="309"/>
            </w:tabs>
            <w:spacing w:before="120"/>
            <w:ind w:left="309" w:right="1296"/>
            <w:jc w:val="right"/>
            <w:rPr>
              <w:rFonts w:cs="Segoe UI"/>
              <w:color w:val="FFFFFF" w:themeColor="background1"/>
              <w:sz w:val="24"/>
            </w:rPr>
          </w:pPr>
          <w:r>
            <w:rPr>
              <w:rFonts w:cs="Segoe UI"/>
              <w:color w:val="FFFFFF" w:themeColor="background1"/>
              <w:sz w:val="24"/>
            </w:rPr>
            <w:br/>
            <w:t>www.nku.gov.sk</w:t>
          </w:r>
        </w:p>
      </w:tc>
    </w:tr>
  </w:tbl>
  <w:p w14:paraId="49FBD093" w14:textId="77777777" w:rsidR="00A9226D" w:rsidRDefault="00A9226D" w:rsidP="00E648E7">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D6674"/>
    <w:multiLevelType w:val="hybridMultilevel"/>
    <w:tmpl w:val="51D024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393C6512"/>
    <w:multiLevelType w:val="hybridMultilevel"/>
    <w:tmpl w:val="83A610E6"/>
    <w:lvl w:ilvl="0" w:tplc="24622F06">
      <w:numFmt w:val="bullet"/>
      <w:lvlText w:val="-"/>
      <w:lvlJc w:val="left"/>
      <w:pPr>
        <w:ind w:left="720" w:hanging="360"/>
      </w:pPr>
      <w:rPr>
        <w:rFonts w:ascii="Segoe UI" w:eastAsiaTheme="minorHAnsi" w:hAnsi="Segoe UI" w:cs="Segoe U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3C0547AE"/>
    <w:multiLevelType w:val="hybridMultilevel"/>
    <w:tmpl w:val="564ABB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488E2984"/>
    <w:multiLevelType w:val="hybridMultilevel"/>
    <w:tmpl w:val="A9548BC6"/>
    <w:lvl w:ilvl="0" w:tplc="1EBC9888">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 w15:restartNumberingAfterBreak="0">
    <w:nsid w:val="660D3C0F"/>
    <w:multiLevelType w:val="hybridMultilevel"/>
    <w:tmpl w:val="7936AE06"/>
    <w:lvl w:ilvl="0" w:tplc="980C73D2">
      <w:start w:val="1"/>
      <w:numFmt w:val="decimal"/>
      <w:pStyle w:val="Pouitliteratra"/>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67E22956"/>
    <w:multiLevelType w:val="hybridMultilevel"/>
    <w:tmpl w:val="14707362"/>
    <w:lvl w:ilvl="0" w:tplc="1EBC9888">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15:restartNumberingAfterBreak="0">
    <w:nsid w:val="6BBB33CE"/>
    <w:multiLevelType w:val="hybridMultilevel"/>
    <w:tmpl w:val="5ACA614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7584282E"/>
    <w:multiLevelType w:val="multilevel"/>
    <w:tmpl w:val="A782A818"/>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8371" w:hanging="432"/>
      </w:pPr>
      <w:rPr>
        <w:rFonts w:hint="default"/>
      </w:rPr>
    </w:lvl>
    <w:lvl w:ilvl="2">
      <w:start w:val="1"/>
      <w:numFmt w:val="decimal"/>
      <w:pStyle w:val="Nadpis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
  </w:num>
  <w:num w:numId="2">
    <w:abstractNumId w:val="7"/>
  </w:num>
  <w:num w:numId="3">
    <w:abstractNumId w:val="3"/>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7"/>
  </w:num>
  <w:num w:numId="12">
    <w:abstractNumId w:val="7"/>
  </w:num>
  <w:num w:numId="13">
    <w:abstractNumId w:val="2"/>
  </w:num>
  <w:num w:numId="14">
    <w:abstractNumId w:val="0"/>
  </w:num>
  <w:num w:numId="15">
    <w:abstractNumId w:val="7"/>
  </w:num>
  <w:num w:numId="16">
    <w:abstractNumId w:val="1"/>
  </w:num>
  <w:num w:numId="17">
    <w:abstractNumId w:val="5"/>
  </w:num>
  <w:num w:numId="18">
    <w:abstractNumId w:val="7"/>
  </w:num>
  <w:num w:numId="19">
    <w:abstractNumId w:val="6"/>
  </w:num>
  <w:num w:numId="20">
    <w:abstractNumId w:val="7"/>
  </w:num>
  <w:num w:numId="21">
    <w:abstractNumId w:val="7"/>
  </w:num>
  <w:num w:numId="22">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6C2"/>
    <w:rsid w:val="00000294"/>
    <w:rsid w:val="00001C9E"/>
    <w:rsid w:val="00002667"/>
    <w:rsid w:val="00004033"/>
    <w:rsid w:val="000051FA"/>
    <w:rsid w:val="00005263"/>
    <w:rsid w:val="00005671"/>
    <w:rsid w:val="000059A5"/>
    <w:rsid w:val="00006CF3"/>
    <w:rsid w:val="0001078D"/>
    <w:rsid w:val="00011187"/>
    <w:rsid w:val="000112C8"/>
    <w:rsid w:val="00011DEB"/>
    <w:rsid w:val="000156D3"/>
    <w:rsid w:val="00015CB4"/>
    <w:rsid w:val="00016D01"/>
    <w:rsid w:val="00020042"/>
    <w:rsid w:val="000201F0"/>
    <w:rsid w:val="00023340"/>
    <w:rsid w:val="00024757"/>
    <w:rsid w:val="000248C3"/>
    <w:rsid w:val="00024931"/>
    <w:rsid w:val="00024E9A"/>
    <w:rsid w:val="00025225"/>
    <w:rsid w:val="00025C9D"/>
    <w:rsid w:val="00027733"/>
    <w:rsid w:val="00030072"/>
    <w:rsid w:val="00030D77"/>
    <w:rsid w:val="0003320C"/>
    <w:rsid w:val="000336F0"/>
    <w:rsid w:val="000347E2"/>
    <w:rsid w:val="00034CF4"/>
    <w:rsid w:val="0003553D"/>
    <w:rsid w:val="00035D8F"/>
    <w:rsid w:val="00036406"/>
    <w:rsid w:val="000366C7"/>
    <w:rsid w:val="00037A18"/>
    <w:rsid w:val="00037DEB"/>
    <w:rsid w:val="00037E23"/>
    <w:rsid w:val="00041751"/>
    <w:rsid w:val="0004335E"/>
    <w:rsid w:val="00045218"/>
    <w:rsid w:val="00046FC0"/>
    <w:rsid w:val="00047A70"/>
    <w:rsid w:val="00050F6E"/>
    <w:rsid w:val="00051709"/>
    <w:rsid w:val="0005233D"/>
    <w:rsid w:val="00053B31"/>
    <w:rsid w:val="000555E4"/>
    <w:rsid w:val="0005675B"/>
    <w:rsid w:val="000569D3"/>
    <w:rsid w:val="00056B89"/>
    <w:rsid w:val="000601AC"/>
    <w:rsid w:val="00060491"/>
    <w:rsid w:val="00060EFA"/>
    <w:rsid w:val="00061135"/>
    <w:rsid w:val="000615A9"/>
    <w:rsid w:val="0006160A"/>
    <w:rsid w:val="00061BA7"/>
    <w:rsid w:val="00061F1F"/>
    <w:rsid w:val="00063087"/>
    <w:rsid w:val="0006328F"/>
    <w:rsid w:val="000634F6"/>
    <w:rsid w:val="00064FEC"/>
    <w:rsid w:val="00066A87"/>
    <w:rsid w:val="00070E2D"/>
    <w:rsid w:val="00071405"/>
    <w:rsid w:val="00074731"/>
    <w:rsid w:val="00074FD1"/>
    <w:rsid w:val="00077243"/>
    <w:rsid w:val="000813A5"/>
    <w:rsid w:val="00081734"/>
    <w:rsid w:val="00081DDE"/>
    <w:rsid w:val="00083097"/>
    <w:rsid w:val="00083CC1"/>
    <w:rsid w:val="00083E29"/>
    <w:rsid w:val="00084168"/>
    <w:rsid w:val="00085D9A"/>
    <w:rsid w:val="00086CFA"/>
    <w:rsid w:val="00087BA2"/>
    <w:rsid w:val="00091260"/>
    <w:rsid w:val="00091866"/>
    <w:rsid w:val="00091984"/>
    <w:rsid w:val="00092153"/>
    <w:rsid w:val="00092577"/>
    <w:rsid w:val="00092E55"/>
    <w:rsid w:val="00093514"/>
    <w:rsid w:val="000940C2"/>
    <w:rsid w:val="00095320"/>
    <w:rsid w:val="00095CF4"/>
    <w:rsid w:val="0009606A"/>
    <w:rsid w:val="00096834"/>
    <w:rsid w:val="000A0207"/>
    <w:rsid w:val="000A41F0"/>
    <w:rsid w:val="000A451D"/>
    <w:rsid w:val="000A5967"/>
    <w:rsid w:val="000A597C"/>
    <w:rsid w:val="000B15AD"/>
    <w:rsid w:val="000B17E1"/>
    <w:rsid w:val="000B1C0A"/>
    <w:rsid w:val="000B261C"/>
    <w:rsid w:val="000B2A83"/>
    <w:rsid w:val="000B2D00"/>
    <w:rsid w:val="000B379D"/>
    <w:rsid w:val="000B638D"/>
    <w:rsid w:val="000B6CC9"/>
    <w:rsid w:val="000B6FE0"/>
    <w:rsid w:val="000B7C4A"/>
    <w:rsid w:val="000C1766"/>
    <w:rsid w:val="000C1B1C"/>
    <w:rsid w:val="000C26C5"/>
    <w:rsid w:val="000C33D4"/>
    <w:rsid w:val="000C4086"/>
    <w:rsid w:val="000C671E"/>
    <w:rsid w:val="000C724E"/>
    <w:rsid w:val="000C7B37"/>
    <w:rsid w:val="000D05F7"/>
    <w:rsid w:val="000D08CC"/>
    <w:rsid w:val="000D39CA"/>
    <w:rsid w:val="000D44E2"/>
    <w:rsid w:val="000D556A"/>
    <w:rsid w:val="000D631B"/>
    <w:rsid w:val="000D6535"/>
    <w:rsid w:val="000D6E08"/>
    <w:rsid w:val="000D6E76"/>
    <w:rsid w:val="000D752F"/>
    <w:rsid w:val="000D79F3"/>
    <w:rsid w:val="000E0405"/>
    <w:rsid w:val="000E1798"/>
    <w:rsid w:val="000E1E08"/>
    <w:rsid w:val="000E3856"/>
    <w:rsid w:val="000E4268"/>
    <w:rsid w:val="000E482E"/>
    <w:rsid w:val="000E5B51"/>
    <w:rsid w:val="000E5CB3"/>
    <w:rsid w:val="000F0C49"/>
    <w:rsid w:val="000F1888"/>
    <w:rsid w:val="000F43AE"/>
    <w:rsid w:val="000F4C77"/>
    <w:rsid w:val="000F5FAD"/>
    <w:rsid w:val="000F6084"/>
    <w:rsid w:val="000F6D77"/>
    <w:rsid w:val="000F73C1"/>
    <w:rsid w:val="00100936"/>
    <w:rsid w:val="00100FF0"/>
    <w:rsid w:val="00103C21"/>
    <w:rsid w:val="00104F9C"/>
    <w:rsid w:val="00105203"/>
    <w:rsid w:val="00105E47"/>
    <w:rsid w:val="001067DB"/>
    <w:rsid w:val="00106BF8"/>
    <w:rsid w:val="00107DD4"/>
    <w:rsid w:val="00110271"/>
    <w:rsid w:val="00112147"/>
    <w:rsid w:val="001123B7"/>
    <w:rsid w:val="001136F4"/>
    <w:rsid w:val="00113C5D"/>
    <w:rsid w:val="00115BC5"/>
    <w:rsid w:val="0011737A"/>
    <w:rsid w:val="0011791E"/>
    <w:rsid w:val="00117ABE"/>
    <w:rsid w:val="0012014B"/>
    <w:rsid w:val="001208E2"/>
    <w:rsid w:val="00120A92"/>
    <w:rsid w:val="00122236"/>
    <w:rsid w:val="00122526"/>
    <w:rsid w:val="001256A4"/>
    <w:rsid w:val="00127302"/>
    <w:rsid w:val="001273CF"/>
    <w:rsid w:val="00130002"/>
    <w:rsid w:val="00132622"/>
    <w:rsid w:val="00134158"/>
    <w:rsid w:val="001355D0"/>
    <w:rsid w:val="0013594B"/>
    <w:rsid w:val="00135BC5"/>
    <w:rsid w:val="001363E6"/>
    <w:rsid w:val="00136576"/>
    <w:rsid w:val="00136A97"/>
    <w:rsid w:val="0013703B"/>
    <w:rsid w:val="00137BC8"/>
    <w:rsid w:val="00137F1C"/>
    <w:rsid w:val="00140496"/>
    <w:rsid w:val="0014071A"/>
    <w:rsid w:val="0014156E"/>
    <w:rsid w:val="0014343D"/>
    <w:rsid w:val="0014479C"/>
    <w:rsid w:val="0014533F"/>
    <w:rsid w:val="00145644"/>
    <w:rsid w:val="00145BA9"/>
    <w:rsid w:val="00151147"/>
    <w:rsid w:val="0015153D"/>
    <w:rsid w:val="001528AD"/>
    <w:rsid w:val="00152E06"/>
    <w:rsid w:val="00152FDF"/>
    <w:rsid w:val="00154812"/>
    <w:rsid w:val="001555F8"/>
    <w:rsid w:val="001576E9"/>
    <w:rsid w:val="001578A2"/>
    <w:rsid w:val="00157D03"/>
    <w:rsid w:val="001609D9"/>
    <w:rsid w:val="00160B33"/>
    <w:rsid w:val="00160CCF"/>
    <w:rsid w:val="00162997"/>
    <w:rsid w:val="00163A8C"/>
    <w:rsid w:val="00164DF3"/>
    <w:rsid w:val="00165813"/>
    <w:rsid w:val="00165B4F"/>
    <w:rsid w:val="00165F25"/>
    <w:rsid w:val="0016767D"/>
    <w:rsid w:val="0017145F"/>
    <w:rsid w:val="0017193D"/>
    <w:rsid w:val="0017296B"/>
    <w:rsid w:val="00172C8B"/>
    <w:rsid w:val="001736C2"/>
    <w:rsid w:val="00174F97"/>
    <w:rsid w:val="00176A5D"/>
    <w:rsid w:val="001778A6"/>
    <w:rsid w:val="001813E9"/>
    <w:rsid w:val="00181C89"/>
    <w:rsid w:val="00182145"/>
    <w:rsid w:val="00184758"/>
    <w:rsid w:val="0018540D"/>
    <w:rsid w:val="0018541D"/>
    <w:rsid w:val="00185A1F"/>
    <w:rsid w:val="00185FA1"/>
    <w:rsid w:val="00191436"/>
    <w:rsid w:val="00192A7B"/>
    <w:rsid w:val="001931C5"/>
    <w:rsid w:val="001932C8"/>
    <w:rsid w:val="00194B34"/>
    <w:rsid w:val="00194C12"/>
    <w:rsid w:val="001951C8"/>
    <w:rsid w:val="001951F6"/>
    <w:rsid w:val="00196D31"/>
    <w:rsid w:val="00197492"/>
    <w:rsid w:val="0019785D"/>
    <w:rsid w:val="001A1C0E"/>
    <w:rsid w:val="001A2FF8"/>
    <w:rsid w:val="001A3D08"/>
    <w:rsid w:val="001A4790"/>
    <w:rsid w:val="001A4B53"/>
    <w:rsid w:val="001A6FB8"/>
    <w:rsid w:val="001B03A6"/>
    <w:rsid w:val="001B10CB"/>
    <w:rsid w:val="001B13FF"/>
    <w:rsid w:val="001B2BA3"/>
    <w:rsid w:val="001B3E13"/>
    <w:rsid w:val="001B4846"/>
    <w:rsid w:val="001B5440"/>
    <w:rsid w:val="001B54E4"/>
    <w:rsid w:val="001B5A17"/>
    <w:rsid w:val="001B77C9"/>
    <w:rsid w:val="001C051B"/>
    <w:rsid w:val="001C10F5"/>
    <w:rsid w:val="001C1F57"/>
    <w:rsid w:val="001C47F4"/>
    <w:rsid w:val="001C5FF2"/>
    <w:rsid w:val="001C7157"/>
    <w:rsid w:val="001C732F"/>
    <w:rsid w:val="001C7997"/>
    <w:rsid w:val="001D0581"/>
    <w:rsid w:val="001D0D9A"/>
    <w:rsid w:val="001D3AA6"/>
    <w:rsid w:val="001D4049"/>
    <w:rsid w:val="001D4805"/>
    <w:rsid w:val="001D56CD"/>
    <w:rsid w:val="001D5DFC"/>
    <w:rsid w:val="001D5E57"/>
    <w:rsid w:val="001D7483"/>
    <w:rsid w:val="001E0A12"/>
    <w:rsid w:val="001E109F"/>
    <w:rsid w:val="001E3DBD"/>
    <w:rsid w:val="001E4A2A"/>
    <w:rsid w:val="001E5E06"/>
    <w:rsid w:val="001E601E"/>
    <w:rsid w:val="001E7A80"/>
    <w:rsid w:val="001F0E91"/>
    <w:rsid w:val="001F1B66"/>
    <w:rsid w:val="001F1CBA"/>
    <w:rsid w:val="001F3866"/>
    <w:rsid w:val="001F4513"/>
    <w:rsid w:val="001F4AA2"/>
    <w:rsid w:val="001F7057"/>
    <w:rsid w:val="001F78F5"/>
    <w:rsid w:val="001F7D00"/>
    <w:rsid w:val="00202081"/>
    <w:rsid w:val="0020314A"/>
    <w:rsid w:val="002038B4"/>
    <w:rsid w:val="00204DCA"/>
    <w:rsid w:val="0020515F"/>
    <w:rsid w:val="00205613"/>
    <w:rsid w:val="00205DCC"/>
    <w:rsid w:val="00207111"/>
    <w:rsid w:val="00207753"/>
    <w:rsid w:val="00210CF0"/>
    <w:rsid w:val="002149B3"/>
    <w:rsid w:val="00214C3D"/>
    <w:rsid w:val="002158AB"/>
    <w:rsid w:val="00217674"/>
    <w:rsid w:val="00217CD2"/>
    <w:rsid w:val="00217D25"/>
    <w:rsid w:val="00217DFF"/>
    <w:rsid w:val="00220608"/>
    <w:rsid w:val="00220B89"/>
    <w:rsid w:val="00221DBC"/>
    <w:rsid w:val="00224A44"/>
    <w:rsid w:val="002260E2"/>
    <w:rsid w:val="002277AE"/>
    <w:rsid w:val="00227DB9"/>
    <w:rsid w:val="002317A5"/>
    <w:rsid w:val="0023186B"/>
    <w:rsid w:val="00235889"/>
    <w:rsid w:val="00235CFE"/>
    <w:rsid w:val="002360EC"/>
    <w:rsid w:val="00237F46"/>
    <w:rsid w:val="002401E8"/>
    <w:rsid w:val="002403A7"/>
    <w:rsid w:val="002407D6"/>
    <w:rsid w:val="0024149A"/>
    <w:rsid w:val="00241FDE"/>
    <w:rsid w:val="00243236"/>
    <w:rsid w:val="00243A51"/>
    <w:rsid w:val="00243D49"/>
    <w:rsid w:val="0024755A"/>
    <w:rsid w:val="00255A35"/>
    <w:rsid w:val="002604A2"/>
    <w:rsid w:val="0026323B"/>
    <w:rsid w:val="0026362C"/>
    <w:rsid w:val="0026414E"/>
    <w:rsid w:val="0026439C"/>
    <w:rsid w:val="002649EE"/>
    <w:rsid w:val="002661F7"/>
    <w:rsid w:val="00272DAF"/>
    <w:rsid w:val="0027333D"/>
    <w:rsid w:val="00273440"/>
    <w:rsid w:val="00273B17"/>
    <w:rsid w:val="002741AA"/>
    <w:rsid w:val="00274403"/>
    <w:rsid w:val="00274EED"/>
    <w:rsid w:val="00275387"/>
    <w:rsid w:val="00276436"/>
    <w:rsid w:val="00277B68"/>
    <w:rsid w:val="00277C8B"/>
    <w:rsid w:val="00280E3A"/>
    <w:rsid w:val="002814E5"/>
    <w:rsid w:val="00282703"/>
    <w:rsid w:val="00283524"/>
    <w:rsid w:val="002836AF"/>
    <w:rsid w:val="002846CB"/>
    <w:rsid w:val="0028558B"/>
    <w:rsid w:val="002858A0"/>
    <w:rsid w:val="00286504"/>
    <w:rsid w:val="00286679"/>
    <w:rsid w:val="00287025"/>
    <w:rsid w:val="002926E5"/>
    <w:rsid w:val="0029286C"/>
    <w:rsid w:val="00292D37"/>
    <w:rsid w:val="00293CF6"/>
    <w:rsid w:val="0029471F"/>
    <w:rsid w:val="00294C28"/>
    <w:rsid w:val="00296624"/>
    <w:rsid w:val="00297F78"/>
    <w:rsid w:val="002A0326"/>
    <w:rsid w:val="002A1496"/>
    <w:rsid w:val="002A20BC"/>
    <w:rsid w:val="002A24A1"/>
    <w:rsid w:val="002A2BE3"/>
    <w:rsid w:val="002A2DEC"/>
    <w:rsid w:val="002A3132"/>
    <w:rsid w:val="002A31B8"/>
    <w:rsid w:val="002A367E"/>
    <w:rsid w:val="002A3A7F"/>
    <w:rsid w:val="002A46C1"/>
    <w:rsid w:val="002A51E3"/>
    <w:rsid w:val="002A5217"/>
    <w:rsid w:val="002A55CE"/>
    <w:rsid w:val="002A58E5"/>
    <w:rsid w:val="002A599C"/>
    <w:rsid w:val="002A73DA"/>
    <w:rsid w:val="002B0AFD"/>
    <w:rsid w:val="002B2A28"/>
    <w:rsid w:val="002B2E82"/>
    <w:rsid w:val="002B3CFA"/>
    <w:rsid w:val="002B6671"/>
    <w:rsid w:val="002B70F2"/>
    <w:rsid w:val="002C16C4"/>
    <w:rsid w:val="002C28FB"/>
    <w:rsid w:val="002C2BAB"/>
    <w:rsid w:val="002C55AB"/>
    <w:rsid w:val="002C61B7"/>
    <w:rsid w:val="002C7A6A"/>
    <w:rsid w:val="002C7DEF"/>
    <w:rsid w:val="002D14C1"/>
    <w:rsid w:val="002D1720"/>
    <w:rsid w:val="002D21FE"/>
    <w:rsid w:val="002D3110"/>
    <w:rsid w:val="002D389F"/>
    <w:rsid w:val="002D3CCA"/>
    <w:rsid w:val="002D4645"/>
    <w:rsid w:val="002D4ED0"/>
    <w:rsid w:val="002D4FA6"/>
    <w:rsid w:val="002D50F1"/>
    <w:rsid w:val="002D54D7"/>
    <w:rsid w:val="002D54E5"/>
    <w:rsid w:val="002D65A5"/>
    <w:rsid w:val="002D6F02"/>
    <w:rsid w:val="002E0AA8"/>
    <w:rsid w:val="002E130C"/>
    <w:rsid w:val="002E2742"/>
    <w:rsid w:val="002E3AB9"/>
    <w:rsid w:val="002E47E5"/>
    <w:rsid w:val="002E4B8B"/>
    <w:rsid w:val="002E4C15"/>
    <w:rsid w:val="002E4CC5"/>
    <w:rsid w:val="002E4FF4"/>
    <w:rsid w:val="002E54C0"/>
    <w:rsid w:val="002E77FC"/>
    <w:rsid w:val="002F09E3"/>
    <w:rsid w:val="002F0DBC"/>
    <w:rsid w:val="002F0E72"/>
    <w:rsid w:val="002F199C"/>
    <w:rsid w:val="002F30A4"/>
    <w:rsid w:val="002F401A"/>
    <w:rsid w:val="002F626E"/>
    <w:rsid w:val="002F69BE"/>
    <w:rsid w:val="002F731B"/>
    <w:rsid w:val="002F7706"/>
    <w:rsid w:val="003044AE"/>
    <w:rsid w:val="0030544E"/>
    <w:rsid w:val="00305B42"/>
    <w:rsid w:val="00305D3C"/>
    <w:rsid w:val="00306EFE"/>
    <w:rsid w:val="0031008D"/>
    <w:rsid w:val="00311600"/>
    <w:rsid w:val="00311DA9"/>
    <w:rsid w:val="00312033"/>
    <w:rsid w:val="003131B6"/>
    <w:rsid w:val="00313BE3"/>
    <w:rsid w:val="003141CA"/>
    <w:rsid w:val="003149DB"/>
    <w:rsid w:val="00315F34"/>
    <w:rsid w:val="003161B2"/>
    <w:rsid w:val="00320202"/>
    <w:rsid w:val="0032280E"/>
    <w:rsid w:val="00324428"/>
    <w:rsid w:val="003244B5"/>
    <w:rsid w:val="00326C51"/>
    <w:rsid w:val="00327CDE"/>
    <w:rsid w:val="00330871"/>
    <w:rsid w:val="00331365"/>
    <w:rsid w:val="00333744"/>
    <w:rsid w:val="003356A6"/>
    <w:rsid w:val="0033663A"/>
    <w:rsid w:val="00337BD2"/>
    <w:rsid w:val="00340840"/>
    <w:rsid w:val="00342619"/>
    <w:rsid w:val="003445E1"/>
    <w:rsid w:val="003465F3"/>
    <w:rsid w:val="00346601"/>
    <w:rsid w:val="00346E23"/>
    <w:rsid w:val="00347074"/>
    <w:rsid w:val="003470FF"/>
    <w:rsid w:val="0035040C"/>
    <w:rsid w:val="003514B9"/>
    <w:rsid w:val="0035167C"/>
    <w:rsid w:val="00351819"/>
    <w:rsid w:val="003518F7"/>
    <w:rsid w:val="00353534"/>
    <w:rsid w:val="00354F33"/>
    <w:rsid w:val="0035673A"/>
    <w:rsid w:val="003567A1"/>
    <w:rsid w:val="00357153"/>
    <w:rsid w:val="003602A4"/>
    <w:rsid w:val="00361E85"/>
    <w:rsid w:val="00362015"/>
    <w:rsid w:val="00362865"/>
    <w:rsid w:val="00362C0F"/>
    <w:rsid w:val="00363203"/>
    <w:rsid w:val="00365E11"/>
    <w:rsid w:val="003671FA"/>
    <w:rsid w:val="003709F8"/>
    <w:rsid w:val="003712F4"/>
    <w:rsid w:val="00371DE1"/>
    <w:rsid w:val="003731BB"/>
    <w:rsid w:val="003733BE"/>
    <w:rsid w:val="00374E07"/>
    <w:rsid w:val="0037525E"/>
    <w:rsid w:val="0037558E"/>
    <w:rsid w:val="00375593"/>
    <w:rsid w:val="00375629"/>
    <w:rsid w:val="0037567D"/>
    <w:rsid w:val="00376D38"/>
    <w:rsid w:val="00377255"/>
    <w:rsid w:val="0038031E"/>
    <w:rsid w:val="00380732"/>
    <w:rsid w:val="00380979"/>
    <w:rsid w:val="00381348"/>
    <w:rsid w:val="00381698"/>
    <w:rsid w:val="00381C1B"/>
    <w:rsid w:val="00382E23"/>
    <w:rsid w:val="003914D9"/>
    <w:rsid w:val="00391708"/>
    <w:rsid w:val="00391D7C"/>
    <w:rsid w:val="00392952"/>
    <w:rsid w:val="00392CE4"/>
    <w:rsid w:val="00393658"/>
    <w:rsid w:val="00393A4D"/>
    <w:rsid w:val="00393F57"/>
    <w:rsid w:val="003955D6"/>
    <w:rsid w:val="00397688"/>
    <w:rsid w:val="00397B49"/>
    <w:rsid w:val="003A14C2"/>
    <w:rsid w:val="003A151A"/>
    <w:rsid w:val="003A15C9"/>
    <w:rsid w:val="003A1E8A"/>
    <w:rsid w:val="003A21CD"/>
    <w:rsid w:val="003A375E"/>
    <w:rsid w:val="003A44A0"/>
    <w:rsid w:val="003A48F9"/>
    <w:rsid w:val="003A4E42"/>
    <w:rsid w:val="003A5A60"/>
    <w:rsid w:val="003A6C19"/>
    <w:rsid w:val="003A74A2"/>
    <w:rsid w:val="003B0361"/>
    <w:rsid w:val="003B1E6E"/>
    <w:rsid w:val="003B321A"/>
    <w:rsid w:val="003B4011"/>
    <w:rsid w:val="003B5630"/>
    <w:rsid w:val="003B7F8F"/>
    <w:rsid w:val="003C0B57"/>
    <w:rsid w:val="003C1F82"/>
    <w:rsid w:val="003C3FA9"/>
    <w:rsid w:val="003C5000"/>
    <w:rsid w:val="003C661F"/>
    <w:rsid w:val="003D04DA"/>
    <w:rsid w:val="003D05CC"/>
    <w:rsid w:val="003D0D23"/>
    <w:rsid w:val="003D1B82"/>
    <w:rsid w:val="003D315C"/>
    <w:rsid w:val="003D32FF"/>
    <w:rsid w:val="003D4429"/>
    <w:rsid w:val="003D4D45"/>
    <w:rsid w:val="003D4F20"/>
    <w:rsid w:val="003D6146"/>
    <w:rsid w:val="003D6267"/>
    <w:rsid w:val="003D7A71"/>
    <w:rsid w:val="003E0E2F"/>
    <w:rsid w:val="003E0F4E"/>
    <w:rsid w:val="003E1DDD"/>
    <w:rsid w:val="003E24BE"/>
    <w:rsid w:val="003E257A"/>
    <w:rsid w:val="003E5ED7"/>
    <w:rsid w:val="003F19FB"/>
    <w:rsid w:val="003F1A2E"/>
    <w:rsid w:val="003F248C"/>
    <w:rsid w:val="003F28BE"/>
    <w:rsid w:val="003F31E2"/>
    <w:rsid w:val="003F36D0"/>
    <w:rsid w:val="003F59A6"/>
    <w:rsid w:val="003F69EA"/>
    <w:rsid w:val="003F7659"/>
    <w:rsid w:val="003F7B4F"/>
    <w:rsid w:val="00400A50"/>
    <w:rsid w:val="00401E43"/>
    <w:rsid w:val="0040246D"/>
    <w:rsid w:val="00402AD5"/>
    <w:rsid w:val="00402C95"/>
    <w:rsid w:val="004041DF"/>
    <w:rsid w:val="0041054D"/>
    <w:rsid w:val="00410D7C"/>
    <w:rsid w:val="004117E6"/>
    <w:rsid w:val="00411A4C"/>
    <w:rsid w:val="00412486"/>
    <w:rsid w:val="00413AF0"/>
    <w:rsid w:val="00413DDE"/>
    <w:rsid w:val="004207C0"/>
    <w:rsid w:val="00420BF2"/>
    <w:rsid w:val="00420E3D"/>
    <w:rsid w:val="00421462"/>
    <w:rsid w:val="00422249"/>
    <w:rsid w:val="00423642"/>
    <w:rsid w:val="00424B2A"/>
    <w:rsid w:val="00426946"/>
    <w:rsid w:val="004271ED"/>
    <w:rsid w:val="00427568"/>
    <w:rsid w:val="00427916"/>
    <w:rsid w:val="00432AD8"/>
    <w:rsid w:val="00433225"/>
    <w:rsid w:val="00435210"/>
    <w:rsid w:val="0043565C"/>
    <w:rsid w:val="00436A49"/>
    <w:rsid w:val="00437345"/>
    <w:rsid w:val="00440A40"/>
    <w:rsid w:val="00441315"/>
    <w:rsid w:val="00442538"/>
    <w:rsid w:val="00442CE6"/>
    <w:rsid w:val="00442F3D"/>
    <w:rsid w:val="00444649"/>
    <w:rsid w:val="00446505"/>
    <w:rsid w:val="0044663F"/>
    <w:rsid w:val="00446D73"/>
    <w:rsid w:val="00447295"/>
    <w:rsid w:val="004472CA"/>
    <w:rsid w:val="00447F9D"/>
    <w:rsid w:val="0045176B"/>
    <w:rsid w:val="00451D11"/>
    <w:rsid w:val="00451E2D"/>
    <w:rsid w:val="00452609"/>
    <w:rsid w:val="004527DD"/>
    <w:rsid w:val="00452FAE"/>
    <w:rsid w:val="0045441E"/>
    <w:rsid w:val="00454845"/>
    <w:rsid w:val="00454AE6"/>
    <w:rsid w:val="00462C0B"/>
    <w:rsid w:val="0046587D"/>
    <w:rsid w:val="0046711E"/>
    <w:rsid w:val="004673B5"/>
    <w:rsid w:val="004702D4"/>
    <w:rsid w:val="00472E4A"/>
    <w:rsid w:val="004754C7"/>
    <w:rsid w:val="004848BF"/>
    <w:rsid w:val="004851A3"/>
    <w:rsid w:val="00486E7C"/>
    <w:rsid w:val="004903B6"/>
    <w:rsid w:val="0049128E"/>
    <w:rsid w:val="004923FD"/>
    <w:rsid w:val="00493BE3"/>
    <w:rsid w:val="00494DDB"/>
    <w:rsid w:val="0049640C"/>
    <w:rsid w:val="00497CAB"/>
    <w:rsid w:val="004A05BA"/>
    <w:rsid w:val="004A0C53"/>
    <w:rsid w:val="004A1372"/>
    <w:rsid w:val="004A147A"/>
    <w:rsid w:val="004A29A5"/>
    <w:rsid w:val="004A3F2C"/>
    <w:rsid w:val="004A4470"/>
    <w:rsid w:val="004A5262"/>
    <w:rsid w:val="004A5459"/>
    <w:rsid w:val="004A7AEC"/>
    <w:rsid w:val="004B0E21"/>
    <w:rsid w:val="004B1DD1"/>
    <w:rsid w:val="004B2632"/>
    <w:rsid w:val="004B4656"/>
    <w:rsid w:val="004B4BAD"/>
    <w:rsid w:val="004C00A0"/>
    <w:rsid w:val="004C1252"/>
    <w:rsid w:val="004C1914"/>
    <w:rsid w:val="004C1CC1"/>
    <w:rsid w:val="004C2056"/>
    <w:rsid w:val="004C3AFC"/>
    <w:rsid w:val="004C4E08"/>
    <w:rsid w:val="004C4EB7"/>
    <w:rsid w:val="004C501B"/>
    <w:rsid w:val="004C691A"/>
    <w:rsid w:val="004C6D1F"/>
    <w:rsid w:val="004C7A3E"/>
    <w:rsid w:val="004D09C6"/>
    <w:rsid w:val="004D118B"/>
    <w:rsid w:val="004D139E"/>
    <w:rsid w:val="004D1A47"/>
    <w:rsid w:val="004D2725"/>
    <w:rsid w:val="004D29D9"/>
    <w:rsid w:val="004D3016"/>
    <w:rsid w:val="004D414A"/>
    <w:rsid w:val="004E051A"/>
    <w:rsid w:val="004E415F"/>
    <w:rsid w:val="004E64AB"/>
    <w:rsid w:val="004E6991"/>
    <w:rsid w:val="004E6F9A"/>
    <w:rsid w:val="004E7DA3"/>
    <w:rsid w:val="004F018B"/>
    <w:rsid w:val="004F0587"/>
    <w:rsid w:val="004F10D0"/>
    <w:rsid w:val="004F207A"/>
    <w:rsid w:val="004F2D47"/>
    <w:rsid w:val="004F2E30"/>
    <w:rsid w:val="004F324F"/>
    <w:rsid w:val="004F6F21"/>
    <w:rsid w:val="00500947"/>
    <w:rsid w:val="00503DB6"/>
    <w:rsid w:val="00504005"/>
    <w:rsid w:val="005051D4"/>
    <w:rsid w:val="0050599E"/>
    <w:rsid w:val="0050756F"/>
    <w:rsid w:val="00510257"/>
    <w:rsid w:val="00512AA9"/>
    <w:rsid w:val="00513E0C"/>
    <w:rsid w:val="00514E3F"/>
    <w:rsid w:val="0051510D"/>
    <w:rsid w:val="005158D2"/>
    <w:rsid w:val="005174E3"/>
    <w:rsid w:val="005217B4"/>
    <w:rsid w:val="005224B6"/>
    <w:rsid w:val="00524B6B"/>
    <w:rsid w:val="0052787E"/>
    <w:rsid w:val="005278FE"/>
    <w:rsid w:val="005302BF"/>
    <w:rsid w:val="0053105A"/>
    <w:rsid w:val="0053108E"/>
    <w:rsid w:val="00532D3A"/>
    <w:rsid w:val="00532F40"/>
    <w:rsid w:val="00534688"/>
    <w:rsid w:val="00534BDB"/>
    <w:rsid w:val="0053531F"/>
    <w:rsid w:val="00537277"/>
    <w:rsid w:val="0053790A"/>
    <w:rsid w:val="0054041D"/>
    <w:rsid w:val="005406A8"/>
    <w:rsid w:val="00541E71"/>
    <w:rsid w:val="005445C4"/>
    <w:rsid w:val="00544EBD"/>
    <w:rsid w:val="005476C3"/>
    <w:rsid w:val="00547F89"/>
    <w:rsid w:val="0055004D"/>
    <w:rsid w:val="00550132"/>
    <w:rsid w:val="00550DAB"/>
    <w:rsid w:val="00550DEB"/>
    <w:rsid w:val="0055104C"/>
    <w:rsid w:val="0055168A"/>
    <w:rsid w:val="00552BE4"/>
    <w:rsid w:val="00552FA4"/>
    <w:rsid w:val="00553554"/>
    <w:rsid w:val="0056096B"/>
    <w:rsid w:val="00560B1D"/>
    <w:rsid w:val="00560E93"/>
    <w:rsid w:val="0056118C"/>
    <w:rsid w:val="00562332"/>
    <w:rsid w:val="005634D1"/>
    <w:rsid w:val="00565C1B"/>
    <w:rsid w:val="005664A5"/>
    <w:rsid w:val="005665A8"/>
    <w:rsid w:val="005665BF"/>
    <w:rsid w:val="00567491"/>
    <w:rsid w:val="00567CCE"/>
    <w:rsid w:val="00567D83"/>
    <w:rsid w:val="00570AB0"/>
    <w:rsid w:val="005718D5"/>
    <w:rsid w:val="0057191D"/>
    <w:rsid w:val="00571A80"/>
    <w:rsid w:val="0057351D"/>
    <w:rsid w:val="005752DC"/>
    <w:rsid w:val="00580018"/>
    <w:rsid w:val="00582A6C"/>
    <w:rsid w:val="0058481E"/>
    <w:rsid w:val="00584854"/>
    <w:rsid w:val="005852A6"/>
    <w:rsid w:val="00585A84"/>
    <w:rsid w:val="0058652C"/>
    <w:rsid w:val="005870DD"/>
    <w:rsid w:val="00587DF9"/>
    <w:rsid w:val="00590B0F"/>
    <w:rsid w:val="0059120A"/>
    <w:rsid w:val="0059169C"/>
    <w:rsid w:val="00592162"/>
    <w:rsid w:val="00592C4B"/>
    <w:rsid w:val="00593B17"/>
    <w:rsid w:val="00593D0A"/>
    <w:rsid w:val="0059495F"/>
    <w:rsid w:val="00595289"/>
    <w:rsid w:val="005A0044"/>
    <w:rsid w:val="005A0CC1"/>
    <w:rsid w:val="005A1B77"/>
    <w:rsid w:val="005A4C1A"/>
    <w:rsid w:val="005A6AB0"/>
    <w:rsid w:val="005A7563"/>
    <w:rsid w:val="005B0A15"/>
    <w:rsid w:val="005B144E"/>
    <w:rsid w:val="005B1FEF"/>
    <w:rsid w:val="005B214C"/>
    <w:rsid w:val="005B253E"/>
    <w:rsid w:val="005B3CF9"/>
    <w:rsid w:val="005B47CF"/>
    <w:rsid w:val="005B513E"/>
    <w:rsid w:val="005B56E7"/>
    <w:rsid w:val="005B7CF2"/>
    <w:rsid w:val="005C008D"/>
    <w:rsid w:val="005C0F36"/>
    <w:rsid w:val="005C1FD3"/>
    <w:rsid w:val="005C21B6"/>
    <w:rsid w:val="005C28F3"/>
    <w:rsid w:val="005C3B91"/>
    <w:rsid w:val="005C4E49"/>
    <w:rsid w:val="005C55A0"/>
    <w:rsid w:val="005C61DD"/>
    <w:rsid w:val="005D090C"/>
    <w:rsid w:val="005D0B91"/>
    <w:rsid w:val="005D2701"/>
    <w:rsid w:val="005D3AAF"/>
    <w:rsid w:val="005D3DC8"/>
    <w:rsid w:val="005D4BF2"/>
    <w:rsid w:val="005D5D96"/>
    <w:rsid w:val="005D5F55"/>
    <w:rsid w:val="005D7C5F"/>
    <w:rsid w:val="005E114C"/>
    <w:rsid w:val="005E1FFA"/>
    <w:rsid w:val="005E276B"/>
    <w:rsid w:val="005E312A"/>
    <w:rsid w:val="005E35D9"/>
    <w:rsid w:val="005E3614"/>
    <w:rsid w:val="005E3AEA"/>
    <w:rsid w:val="005E3E18"/>
    <w:rsid w:val="005E582F"/>
    <w:rsid w:val="005E58BC"/>
    <w:rsid w:val="005E6A4E"/>
    <w:rsid w:val="005E7D60"/>
    <w:rsid w:val="005F0F5B"/>
    <w:rsid w:val="005F2380"/>
    <w:rsid w:val="005F2BDE"/>
    <w:rsid w:val="005F3517"/>
    <w:rsid w:val="005F383C"/>
    <w:rsid w:val="005F5E3D"/>
    <w:rsid w:val="005F64E6"/>
    <w:rsid w:val="00600AD2"/>
    <w:rsid w:val="006023A2"/>
    <w:rsid w:val="00604AA9"/>
    <w:rsid w:val="00604F76"/>
    <w:rsid w:val="006056E7"/>
    <w:rsid w:val="00606C83"/>
    <w:rsid w:val="00607D51"/>
    <w:rsid w:val="00607ED0"/>
    <w:rsid w:val="00610070"/>
    <w:rsid w:val="00611403"/>
    <w:rsid w:val="006119C0"/>
    <w:rsid w:val="00612131"/>
    <w:rsid w:val="006125F4"/>
    <w:rsid w:val="00612D23"/>
    <w:rsid w:val="006139F5"/>
    <w:rsid w:val="00613D4B"/>
    <w:rsid w:val="00614192"/>
    <w:rsid w:val="00614590"/>
    <w:rsid w:val="006147D5"/>
    <w:rsid w:val="006153F7"/>
    <w:rsid w:val="0061744A"/>
    <w:rsid w:val="00621100"/>
    <w:rsid w:val="00624D44"/>
    <w:rsid w:val="00626C5D"/>
    <w:rsid w:val="00626D05"/>
    <w:rsid w:val="00630BD8"/>
    <w:rsid w:val="00631C44"/>
    <w:rsid w:val="00631CEE"/>
    <w:rsid w:val="00633464"/>
    <w:rsid w:val="00633D92"/>
    <w:rsid w:val="00633EEC"/>
    <w:rsid w:val="006343B6"/>
    <w:rsid w:val="00634A7F"/>
    <w:rsid w:val="00635F0B"/>
    <w:rsid w:val="00635FF4"/>
    <w:rsid w:val="00640000"/>
    <w:rsid w:val="00640ABF"/>
    <w:rsid w:val="0064125B"/>
    <w:rsid w:val="00644022"/>
    <w:rsid w:val="006443FB"/>
    <w:rsid w:val="00645469"/>
    <w:rsid w:val="006458B4"/>
    <w:rsid w:val="006509D9"/>
    <w:rsid w:val="00650EAB"/>
    <w:rsid w:val="0065185F"/>
    <w:rsid w:val="00651C67"/>
    <w:rsid w:val="00654191"/>
    <w:rsid w:val="006541BE"/>
    <w:rsid w:val="00654270"/>
    <w:rsid w:val="00654A4C"/>
    <w:rsid w:val="00655B94"/>
    <w:rsid w:val="00656788"/>
    <w:rsid w:val="00656939"/>
    <w:rsid w:val="00664675"/>
    <w:rsid w:val="00664B90"/>
    <w:rsid w:val="00664F4D"/>
    <w:rsid w:val="0066520B"/>
    <w:rsid w:val="00666EFE"/>
    <w:rsid w:val="00670DBE"/>
    <w:rsid w:val="00671411"/>
    <w:rsid w:val="00672640"/>
    <w:rsid w:val="00672C38"/>
    <w:rsid w:val="00673170"/>
    <w:rsid w:val="00673E85"/>
    <w:rsid w:val="006766B6"/>
    <w:rsid w:val="00677008"/>
    <w:rsid w:val="00680454"/>
    <w:rsid w:val="006804E0"/>
    <w:rsid w:val="0068192D"/>
    <w:rsid w:val="006827E6"/>
    <w:rsid w:val="00684647"/>
    <w:rsid w:val="00684F50"/>
    <w:rsid w:val="00686D80"/>
    <w:rsid w:val="00687394"/>
    <w:rsid w:val="00691C61"/>
    <w:rsid w:val="00691E3F"/>
    <w:rsid w:val="00694846"/>
    <w:rsid w:val="00694E0B"/>
    <w:rsid w:val="00694F30"/>
    <w:rsid w:val="00696621"/>
    <w:rsid w:val="00697049"/>
    <w:rsid w:val="006A1463"/>
    <w:rsid w:val="006A2BFC"/>
    <w:rsid w:val="006B0082"/>
    <w:rsid w:val="006B077E"/>
    <w:rsid w:val="006B152B"/>
    <w:rsid w:val="006B1E23"/>
    <w:rsid w:val="006B1F61"/>
    <w:rsid w:val="006B1F90"/>
    <w:rsid w:val="006B262B"/>
    <w:rsid w:val="006B2B93"/>
    <w:rsid w:val="006B2BB0"/>
    <w:rsid w:val="006B3A80"/>
    <w:rsid w:val="006B62C1"/>
    <w:rsid w:val="006B6959"/>
    <w:rsid w:val="006C0A47"/>
    <w:rsid w:val="006C0F36"/>
    <w:rsid w:val="006C125B"/>
    <w:rsid w:val="006C2234"/>
    <w:rsid w:val="006C2FCA"/>
    <w:rsid w:val="006C47F4"/>
    <w:rsid w:val="006C557F"/>
    <w:rsid w:val="006C6266"/>
    <w:rsid w:val="006C78E6"/>
    <w:rsid w:val="006D0283"/>
    <w:rsid w:val="006D02DE"/>
    <w:rsid w:val="006D053A"/>
    <w:rsid w:val="006D094C"/>
    <w:rsid w:val="006D16ED"/>
    <w:rsid w:val="006D19B9"/>
    <w:rsid w:val="006D2563"/>
    <w:rsid w:val="006D40BF"/>
    <w:rsid w:val="006D5BCC"/>
    <w:rsid w:val="006D5E21"/>
    <w:rsid w:val="006D5ECF"/>
    <w:rsid w:val="006D6F6D"/>
    <w:rsid w:val="006D7DF9"/>
    <w:rsid w:val="006E064F"/>
    <w:rsid w:val="006E077F"/>
    <w:rsid w:val="006E0B99"/>
    <w:rsid w:val="006E1936"/>
    <w:rsid w:val="006E1CA2"/>
    <w:rsid w:val="006E4D9B"/>
    <w:rsid w:val="006E4E45"/>
    <w:rsid w:val="006E7157"/>
    <w:rsid w:val="006F2B5B"/>
    <w:rsid w:val="006F2F8A"/>
    <w:rsid w:val="006F3595"/>
    <w:rsid w:val="006F3C69"/>
    <w:rsid w:val="006F418A"/>
    <w:rsid w:val="006F529C"/>
    <w:rsid w:val="006F7935"/>
    <w:rsid w:val="00700055"/>
    <w:rsid w:val="0070093B"/>
    <w:rsid w:val="00700E5A"/>
    <w:rsid w:val="00701274"/>
    <w:rsid w:val="00701ECE"/>
    <w:rsid w:val="007033E5"/>
    <w:rsid w:val="0070456C"/>
    <w:rsid w:val="0070595E"/>
    <w:rsid w:val="007077C6"/>
    <w:rsid w:val="00707D97"/>
    <w:rsid w:val="00710648"/>
    <w:rsid w:val="00711042"/>
    <w:rsid w:val="00711BAD"/>
    <w:rsid w:val="00712A2B"/>
    <w:rsid w:val="00712B22"/>
    <w:rsid w:val="00714465"/>
    <w:rsid w:val="00714AE1"/>
    <w:rsid w:val="00715454"/>
    <w:rsid w:val="007178AD"/>
    <w:rsid w:val="00721698"/>
    <w:rsid w:val="00722849"/>
    <w:rsid w:val="00725BC0"/>
    <w:rsid w:val="00726CEA"/>
    <w:rsid w:val="00731839"/>
    <w:rsid w:val="0073304A"/>
    <w:rsid w:val="00733B01"/>
    <w:rsid w:val="00733BFD"/>
    <w:rsid w:val="00733EC0"/>
    <w:rsid w:val="00735C7A"/>
    <w:rsid w:val="007370E9"/>
    <w:rsid w:val="00741B19"/>
    <w:rsid w:val="007428CF"/>
    <w:rsid w:val="00743F57"/>
    <w:rsid w:val="00744BBA"/>
    <w:rsid w:val="00744E13"/>
    <w:rsid w:val="00744FAC"/>
    <w:rsid w:val="00745B03"/>
    <w:rsid w:val="007475AC"/>
    <w:rsid w:val="0074779A"/>
    <w:rsid w:val="00752628"/>
    <w:rsid w:val="00752C16"/>
    <w:rsid w:val="00753778"/>
    <w:rsid w:val="00754BE1"/>
    <w:rsid w:val="00754FE3"/>
    <w:rsid w:val="007550B4"/>
    <w:rsid w:val="00757117"/>
    <w:rsid w:val="00760850"/>
    <w:rsid w:val="007653C3"/>
    <w:rsid w:val="00771BA7"/>
    <w:rsid w:val="00773459"/>
    <w:rsid w:val="00773D17"/>
    <w:rsid w:val="00773FB8"/>
    <w:rsid w:val="00776050"/>
    <w:rsid w:val="0077629D"/>
    <w:rsid w:val="00776847"/>
    <w:rsid w:val="007769A0"/>
    <w:rsid w:val="00776B34"/>
    <w:rsid w:val="00777F73"/>
    <w:rsid w:val="00781997"/>
    <w:rsid w:val="00781A79"/>
    <w:rsid w:val="00781EE3"/>
    <w:rsid w:val="00782207"/>
    <w:rsid w:val="00782251"/>
    <w:rsid w:val="00782636"/>
    <w:rsid w:val="00783E97"/>
    <w:rsid w:val="0078469F"/>
    <w:rsid w:val="0078751F"/>
    <w:rsid w:val="00787720"/>
    <w:rsid w:val="00787EEF"/>
    <w:rsid w:val="00790590"/>
    <w:rsid w:val="00791C71"/>
    <w:rsid w:val="00792174"/>
    <w:rsid w:val="0079289C"/>
    <w:rsid w:val="00792AE6"/>
    <w:rsid w:val="00792BFF"/>
    <w:rsid w:val="00792C08"/>
    <w:rsid w:val="00793A21"/>
    <w:rsid w:val="00794A50"/>
    <w:rsid w:val="00795EEC"/>
    <w:rsid w:val="00796113"/>
    <w:rsid w:val="00797376"/>
    <w:rsid w:val="007A031A"/>
    <w:rsid w:val="007A0C9E"/>
    <w:rsid w:val="007A35C9"/>
    <w:rsid w:val="007A3A37"/>
    <w:rsid w:val="007A3FEB"/>
    <w:rsid w:val="007A4609"/>
    <w:rsid w:val="007A512A"/>
    <w:rsid w:val="007A52B2"/>
    <w:rsid w:val="007A7169"/>
    <w:rsid w:val="007A7B30"/>
    <w:rsid w:val="007A7D70"/>
    <w:rsid w:val="007B003F"/>
    <w:rsid w:val="007B045C"/>
    <w:rsid w:val="007B1BC7"/>
    <w:rsid w:val="007B1C9F"/>
    <w:rsid w:val="007B2491"/>
    <w:rsid w:val="007B6665"/>
    <w:rsid w:val="007B7996"/>
    <w:rsid w:val="007B7DCB"/>
    <w:rsid w:val="007C165D"/>
    <w:rsid w:val="007C219E"/>
    <w:rsid w:val="007C274A"/>
    <w:rsid w:val="007C2DB1"/>
    <w:rsid w:val="007C3C74"/>
    <w:rsid w:val="007C5FEF"/>
    <w:rsid w:val="007C79EE"/>
    <w:rsid w:val="007C7C30"/>
    <w:rsid w:val="007D1156"/>
    <w:rsid w:val="007D1251"/>
    <w:rsid w:val="007D18C8"/>
    <w:rsid w:val="007D2232"/>
    <w:rsid w:val="007D2809"/>
    <w:rsid w:val="007D2C59"/>
    <w:rsid w:val="007D4A41"/>
    <w:rsid w:val="007D4E66"/>
    <w:rsid w:val="007D50A9"/>
    <w:rsid w:val="007D6309"/>
    <w:rsid w:val="007D69D4"/>
    <w:rsid w:val="007E0146"/>
    <w:rsid w:val="007E10B2"/>
    <w:rsid w:val="007E17E1"/>
    <w:rsid w:val="007E40DE"/>
    <w:rsid w:val="007E485B"/>
    <w:rsid w:val="007E51E3"/>
    <w:rsid w:val="007E597A"/>
    <w:rsid w:val="007E626D"/>
    <w:rsid w:val="007E630A"/>
    <w:rsid w:val="007E7567"/>
    <w:rsid w:val="007F0B66"/>
    <w:rsid w:val="007F0D96"/>
    <w:rsid w:val="007F13D4"/>
    <w:rsid w:val="007F1E56"/>
    <w:rsid w:val="007F213E"/>
    <w:rsid w:val="007F21CD"/>
    <w:rsid w:val="007F267B"/>
    <w:rsid w:val="007F3C5A"/>
    <w:rsid w:val="007F4C04"/>
    <w:rsid w:val="007F50B2"/>
    <w:rsid w:val="007F5482"/>
    <w:rsid w:val="007F5B8E"/>
    <w:rsid w:val="007F704A"/>
    <w:rsid w:val="007F7294"/>
    <w:rsid w:val="00800226"/>
    <w:rsid w:val="00800895"/>
    <w:rsid w:val="00800CD1"/>
    <w:rsid w:val="00800E63"/>
    <w:rsid w:val="008012FB"/>
    <w:rsid w:val="008044E9"/>
    <w:rsid w:val="00804E2E"/>
    <w:rsid w:val="00804EE7"/>
    <w:rsid w:val="008055E4"/>
    <w:rsid w:val="0080666B"/>
    <w:rsid w:val="00806701"/>
    <w:rsid w:val="00810083"/>
    <w:rsid w:val="00810E79"/>
    <w:rsid w:val="008122BD"/>
    <w:rsid w:val="00812F37"/>
    <w:rsid w:val="00813E8F"/>
    <w:rsid w:val="008148FD"/>
    <w:rsid w:val="00814EA5"/>
    <w:rsid w:val="00814EC4"/>
    <w:rsid w:val="008150DC"/>
    <w:rsid w:val="0081600D"/>
    <w:rsid w:val="00816F82"/>
    <w:rsid w:val="00817039"/>
    <w:rsid w:val="008203E1"/>
    <w:rsid w:val="00821497"/>
    <w:rsid w:val="00821822"/>
    <w:rsid w:val="00821911"/>
    <w:rsid w:val="00821C6A"/>
    <w:rsid w:val="00823184"/>
    <w:rsid w:val="008235CA"/>
    <w:rsid w:val="00825872"/>
    <w:rsid w:val="008323C1"/>
    <w:rsid w:val="00832A16"/>
    <w:rsid w:val="00832FC1"/>
    <w:rsid w:val="0083302A"/>
    <w:rsid w:val="0083385B"/>
    <w:rsid w:val="00833CD5"/>
    <w:rsid w:val="00835DF6"/>
    <w:rsid w:val="00836590"/>
    <w:rsid w:val="0083748A"/>
    <w:rsid w:val="0084186B"/>
    <w:rsid w:val="00841E06"/>
    <w:rsid w:val="00843078"/>
    <w:rsid w:val="00843815"/>
    <w:rsid w:val="00843A10"/>
    <w:rsid w:val="00843A1C"/>
    <w:rsid w:val="0084722A"/>
    <w:rsid w:val="00854E51"/>
    <w:rsid w:val="008551B6"/>
    <w:rsid w:val="00856AB5"/>
    <w:rsid w:val="00857CB1"/>
    <w:rsid w:val="00857EDE"/>
    <w:rsid w:val="00860420"/>
    <w:rsid w:val="00862D4B"/>
    <w:rsid w:val="0086387D"/>
    <w:rsid w:val="008647C7"/>
    <w:rsid w:val="00864EAB"/>
    <w:rsid w:val="00865D0E"/>
    <w:rsid w:val="0086676A"/>
    <w:rsid w:val="00866E83"/>
    <w:rsid w:val="008700C7"/>
    <w:rsid w:val="008713BA"/>
    <w:rsid w:val="008749D2"/>
    <w:rsid w:val="00874A9B"/>
    <w:rsid w:val="00875512"/>
    <w:rsid w:val="008755BA"/>
    <w:rsid w:val="0087651D"/>
    <w:rsid w:val="00877720"/>
    <w:rsid w:val="00877B40"/>
    <w:rsid w:val="008801B5"/>
    <w:rsid w:val="00880466"/>
    <w:rsid w:val="00880694"/>
    <w:rsid w:val="008807A4"/>
    <w:rsid w:val="00881650"/>
    <w:rsid w:val="00882721"/>
    <w:rsid w:val="00883792"/>
    <w:rsid w:val="00884FB4"/>
    <w:rsid w:val="00885631"/>
    <w:rsid w:val="00885BA3"/>
    <w:rsid w:val="008873C7"/>
    <w:rsid w:val="008876BA"/>
    <w:rsid w:val="00887AA2"/>
    <w:rsid w:val="00887C94"/>
    <w:rsid w:val="0089102A"/>
    <w:rsid w:val="00891DC2"/>
    <w:rsid w:val="008920FD"/>
    <w:rsid w:val="008924D3"/>
    <w:rsid w:val="00892C57"/>
    <w:rsid w:val="00893902"/>
    <w:rsid w:val="00893A9B"/>
    <w:rsid w:val="00893D44"/>
    <w:rsid w:val="00893E45"/>
    <w:rsid w:val="00893E88"/>
    <w:rsid w:val="00894E07"/>
    <w:rsid w:val="00895A30"/>
    <w:rsid w:val="0089621C"/>
    <w:rsid w:val="0089676B"/>
    <w:rsid w:val="00896C07"/>
    <w:rsid w:val="00897EA6"/>
    <w:rsid w:val="008A116D"/>
    <w:rsid w:val="008A4CE4"/>
    <w:rsid w:val="008A506A"/>
    <w:rsid w:val="008B18F4"/>
    <w:rsid w:val="008B1906"/>
    <w:rsid w:val="008B1C9A"/>
    <w:rsid w:val="008B24E4"/>
    <w:rsid w:val="008B304A"/>
    <w:rsid w:val="008B3C14"/>
    <w:rsid w:val="008B3C58"/>
    <w:rsid w:val="008B71C1"/>
    <w:rsid w:val="008C06AD"/>
    <w:rsid w:val="008C1BD5"/>
    <w:rsid w:val="008C2695"/>
    <w:rsid w:val="008C2BDF"/>
    <w:rsid w:val="008C3570"/>
    <w:rsid w:val="008C38C1"/>
    <w:rsid w:val="008C3B43"/>
    <w:rsid w:val="008C54F9"/>
    <w:rsid w:val="008C76F7"/>
    <w:rsid w:val="008D1FDD"/>
    <w:rsid w:val="008D4E5A"/>
    <w:rsid w:val="008E0CEC"/>
    <w:rsid w:val="008E3125"/>
    <w:rsid w:val="008E3920"/>
    <w:rsid w:val="008E5EE3"/>
    <w:rsid w:val="008E6998"/>
    <w:rsid w:val="008F011D"/>
    <w:rsid w:val="008F0416"/>
    <w:rsid w:val="008F0A84"/>
    <w:rsid w:val="008F10EE"/>
    <w:rsid w:val="008F1659"/>
    <w:rsid w:val="008F2232"/>
    <w:rsid w:val="008F35B4"/>
    <w:rsid w:val="008F527D"/>
    <w:rsid w:val="008F5D28"/>
    <w:rsid w:val="008F6668"/>
    <w:rsid w:val="008F6CAB"/>
    <w:rsid w:val="008F7084"/>
    <w:rsid w:val="008F7241"/>
    <w:rsid w:val="008F7413"/>
    <w:rsid w:val="008F7CA4"/>
    <w:rsid w:val="00900E47"/>
    <w:rsid w:val="00901F08"/>
    <w:rsid w:val="00902062"/>
    <w:rsid w:val="009021B1"/>
    <w:rsid w:val="00905423"/>
    <w:rsid w:val="0090686A"/>
    <w:rsid w:val="00906A59"/>
    <w:rsid w:val="0090760F"/>
    <w:rsid w:val="009104BE"/>
    <w:rsid w:val="00911056"/>
    <w:rsid w:val="0091328B"/>
    <w:rsid w:val="00914FB9"/>
    <w:rsid w:val="00915019"/>
    <w:rsid w:val="0091611C"/>
    <w:rsid w:val="0091614C"/>
    <w:rsid w:val="009165B2"/>
    <w:rsid w:val="009169C3"/>
    <w:rsid w:val="009169F2"/>
    <w:rsid w:val="009175A7"/>
    <w:rsid w:val="0092004C"/>
    <w:rsid w:val="00920424"/>
    <w:rsid w:val="00924A72"/>
    <w:rsid w:val="009251C1"/>
    <w:rsid w:val="00925A5F"/>
    <w:rsid w:val="00926E61"/>
    <w:rsid w:val="00927A04"/>
    <w:rsid w:val="009309A9"/>
    <w:rsid w:val="00932082"/>
    <w:rsid w:val="0093244D"/>
    <w:rsid w:val="009339AA"/>
    <w:rsid w:val="00933C9F"/>
    <w:rsid w:val="00933D73"/>
    <w:rsid w:val="0093516A"/>
    <w:rsid w:val="0093532B"/>
    <w:rsid w:val="00935F78"/>
    <w:rsid w:val="00936DDB"/>
    <w:rsid w:val="009375B5"/>
    <w:rsid w:val="00941459"/>
    <w:rsid w:val="00941766"/>
    <w:rsid w:val="00942375"/>
    <w:rsid w:val="00942986"/>
    <w:rsid w:val="00945C32"/>
    <w:rsid w:val="00950563"/>
    <w:rsid w:val="00951230"/>
    <w:rsid w:val="00952768"/>
    <w:rsid w:val="00953212"/>
    <w:rsid w:val="0095388D"/>
    <w:rsid w:val="00953CFC"/>
    <w:rsid w:val="00954B34"/>
    <w:rsid w:val="00955742"/>
    <w:rsid w:val="009571B1"/>
    <w:rsid w:val="00957C35"/>
    <w:rsid w:val="00960A11"/>
    <w:rsid w:val="00961651"/>
    <w:rsid w:val="00962E3F"/>
    <w:rsid w:val="00962F36"/>
    <w:rsid w:val="009644B0"/>
    <w:rsid w:val="009651FF"/>
    <w:rsid w:val="00966191"/>
    <w:rsid w:val="00966501"/>
    <w:rsid w:val="00970B7D"/>
    <w:rsid w:val="009711B5"/>
    <w:rsid w:val="00972D87"/>
    <w:rsid w:val="00973297"/>
    <w:rsid w:val="00974D21"/>
    <w:rsid w:val="009757BD"/>
    <w:rsid w:val="009758C7"/>
    <w:rsid w:val="00975A03"/>
    <w:rsid w:val="00976CCA"/>
    <w:rsid w:val="00977205"/>
    <w:rsid w:val="00982066"/>
    <w:rsid w:val="009822C4"/>
    <w:rsid w:val="00983F05"/>
    <w:rsid w:val="0098517E"/>
    <w:rsid w:val="00986474"/>
    <w:rsid w:val="009869CE"/>
    <w:rsid w:val="009873BD"/>
    <w:rsid w:val="00987966"/>
    <w:rsid w:val="00987D5D"/>
    <w:rsid w:val="0099091E"/>
    <w:rsid w:val="00991A07"/>
    <w:rsid w:val="00991D2E"/>
    <w:rsid w:val="00993B2E"/>
    <w:rsid w:val="00993E8C"/>
    <w:rsid w:val="009950D0"/>
    <w:rsid w:val="00995B3F"/>
    <w:rsid w:val="009971E5"/>
    <w:rsid w:val="009A075A"/>
    <w:rsid w:val="009A64E6"/>
    <w:rsid w:val="009A67A5"/>
    <w:rsid w:val="009A6975"/>
    <w:rsid w:val="009B1894"/>
    <w:rsid w:val="009B3608"/>
    <w:rsid w:val="009B3AD0"/>
    <w:rsid w:val="009B66D6"/>
    <w:rsid w:val="009C3E77"/>
    <w:rsid w:val="009C4845"/>
    <w:rsid w:val="009C5336"/>
    <w:rsid w:val="009C5B24"/>
    <w:rsid w:val="009C7DA1"/>
    <w:rsid w:val="009D046F"/>
    <w:rsid w:val="009D0D58"/>
    <w:rsid w:val="009D23BE"/>
    <w:rsid w:val="009D56A6"/>
    <w:rsid w:val="009D576B"/>
    <w:rsid w:val="009E0940"/>
    <w:rsid w:val="009E166C"/>
    <w:rsid w:val="009E2744"/>
    <w:rsid w:val="009E2BD5"/>
    <w:rsid w:val="009E3651"/>
    <w:rsid w:val="009E58F8"/>
    <w:rsid w:val="009E60BB"/>
    <w:rsid w:val="009E62FF"/>
    <w:rsid w:val="009E6D7B"/>
    <w:rsid w:val="009E6EE5"/>
    <w:rsid w:val="009E7408"/>
    <w:rsid w:val="009E7411"/>
    <w:rsid w:val="009E7E3C"/>
    <w:rsid w:val="009F1410"/>
    <w:rsid w:val="009F1596"/>
    <w:rsid w:val="009F2CC0"/>
    <w:rsid w:val="009F2FCD"/>
    <w:rsid w:val="009F301C"/>
    <w:rsid w:val="009F31AA"/>
    <w:rsid w:val="009F5772"/>
    <w:rsid w:val="009F5B70"/>
    <w:rsid w:val="009F5BFC"/>
    <w:rsid w:val="009F7A40"/>
    <w:rsid w:val="009F7DAC"/>
    <w:rsid w:val="00A001BC"/>
    <w:rsid w:val="00A022AF"/>
    <w:rsid w:val="00A02DD1"/>
    <w:rsid w:val="00A036D5"/>
    <w:rsid w:val="00A0443D"/>
    <w:rsid w:val="00A066A9"/>
    <w:rsid w:val="00A10A3A"/>
    <w:rsid w:val="00A1162D"/>
    <w:rsid w:val="00A1212A"/>
    <w:rsid w:val="00A1276B"/>
    <w:rsid w:val="00A1300A"/>
    <w:rsid w:val="00A142F5"/>
    <w:rsid w:val="00A14FB7"/>
    <w:rsid w:val="00A15561"/>
    <w:rsid w:val="00A167A1"/>
    <w:rsid w:val="00A20C21"/>
    <w:rsid w:val="00A20E05"/>
    <w:rsid w:val="00A20EAE"/>
    <w:rsid w:val="00A21157"/>
    <w:rsid w:val="00A212A0"/>
    <w:rsid w:val="00A213FC"/>
    <w:rsid w:val="00A21668"/>
    <w:rsid w:val="00A2196D"/>
    <w:rsid w:val="00A222CE"/>
    <w:rsid w:val="00A22825"/>
    <w:rsid w:val="00A23310"/>
    <w:rsid w:val="00A2393C"/>
    <w:rsid w:val="00A2696A"/>
    <w:rsid w:val="00A30B4A"/>
    <w:rsid w:val="00A32690"/>
    <w:rsid w:val="00A33FD6"/>
    <w:rsid w:val="00A3675A"/>
    <w:rsid w:val="00A37240"/>
    <w:rsid w:val="00A375CD"/>
    <w:rsid w:val="00A401BB"/>
    <w:rsid w:val="00A40DDA"/>
    <w:rsid w:val="00A421EE"/>
    <w:rsid w:val="00A42EAA"/>
    <w:rsid w:val="00A4416F"/>
    <w:rsid w:val="00A44E78"/>
    <w:rsid w:val="00A45F0F"/>
    <w:rsid w:val="00A46532"/>
    <w:rsid w:val="00A4753C"/>
    <w:rsid w:val="00A47CB6"/>
    <w:rsid w:val="00A5085D"/>
    <w:rsid w:val="00A5183A"/>
    <w:rsid w:val="00A527E5"/>
    <w:rsid w:val="00A55614"/>
    <w:rsid w:val="00A55D5D"/>
    <w:rsid w:val="00A56AAF"/>
    <w:rsid w:val="00A605C7"/>
    <w:rsid w:val="00A60706"/>
    <w:rsid w:val="00A60F3D"/>
    <w:rsid w:val="00A61CC5"/>
    <w:rsid w:val="00A633BF"/>
    <w:rsid w:val="00A63A5C"/>
    <w:rsid w:val="00A63F4A"/>
    <w:rsid w:val="00A667E1"/>
    <w:rsid w:val="00A713A5"/>
    <w:rsid w:val="00A723B6"/>
    <w:rsid w:val="00A729F9"/>
    <w:rsid w:val="00A74BC0"/>
    <w:rsid w:val="00A7563F"/>
    <w:rsid w:val="00A77D98"/>
    <w:rsid w:val="00A817A6"/>
    <w:rsid w:val="00A820AA"/>
    <w:rsid w:val="00A825AB"/>
    <w:rsid w:val="00A83DC1"/>
    <w:rsid w:val="00A84655"/>
    <w:rsid w:val="00A85169"/>
    <w:rsid w:val="00A905D1"/>
    <w:rsid w:val="00A9175D"/>
    <w:rsid w:val="00A9226D"/>
    <w:rsid w:val="00A923E7"/>
    <w:rsid w:val="00A92E80"/>
    <w:rsid w:val="00A934C2"/>
    <w:rsid w:val="00A934D2"/>
    <w:rsid w:val="00A93D2D"/>
    <w:rsid w:val="00AA01EB"/>
    <w:rsid w:val="00AA0263"/>
    <w:rsid w:val="00AA2882"/>
    <w:rsid w:val="00AA2A3B"/>
    <w:rsid w:val="00AA5909"/>
    <w:rsid w:val="00AA78EA"/>
    <w:rsid w:val="00AA7F29"/>
    <w:rsid w:val="00AB068E"/>
    <w:rsid w:val="00AB0D9A"/>
    <w:rsid w:val="00AB10BC"/>
    <w:rsid w:val="00AB27A4"/>
    <w:rsid w:val="00AB2CC2"/>
    <w:rsid w:val="00AB2ED7"/>
    <w:rsid w:val="00AB4331"/>
    <w:rsid w:val="00AB4ACB"/>
    <w:rsid w:val="00AB4EAD"/>
    <w:rsid w:val="00AB5CD5"/>
    <w:rsid w:val="00AB6457"/>
    <w:rsid w:val="00AB6B3C"/>
    <w:rsid w:val="00AC012C"/>
    <w:rsid w:val="00AC2555"/>
    <w:rsid w:val="00AC40A8"/>
    <w:rsid w:val="00AC50D5"/>
    <w:rsid w:val="00AC6179"/>
    <w:rsid w:val="00AC6430"/>
    <w:rsid w:val="00AC70F6"/>
    <w:rsid w:val="00AC79D1"/>
    <w:rsid w:val="00AD3A60"/>
    <w:rsid w:val="00AD40A9"/>
    <w:rsid w:val="00AD4386"/>
    <w:rsid w:val="00AD631E"/>
    <w:rsid w:val="00AD7720"/>
    <w:rsid w:val="00AD7F03"/>
    <w:rsid w:val="00AE01AE"/>
    <w:rsid w:val="00AE05AC"/>
    <w:rsid w:val="00AE0A59"/>
    <w:rsid w:val="00AE105C"/>
    <w:rsid w:val="00AE14BC"/>
    <w:rsid w:val="00AE75ED"/>
    <w:rsid w:val="00AF09AC"/>
    <w:rsid w:val="00AF0BA0"/>
    <w:rsid w:val="00AF0D25"/>
    <w:rsid w:val="00AF2AE6"/>
    <w:rsid w:val="00AF4218"/>
    <w:rsid w:val="00AF4350"/>
    <w:rsid w:val="00AF5095"/>
    <w:rsid w:val="00AF6740"/>
    <w:rsid w:val="00AF75BF"/>
    <w:rsid w:val="00AF7A57"/>
    <w:rsid w:val="00B012D1"/>
    <w:rsid w:val="00B021DA"/>
    <w:rsid w:val="00B028F9"/>
    <w:rsid w:val="00B02C7C"/>
    <w:rsid w:val="00B0325D"/>
    <w:rsid w:val="00B03865"/>
    <w:rsid w:val="00B05343"/>
    <w:rsid w:val="00B055DB"/>
    <w:rsid w:val="00B06D48"/>
    <w:rsid w:val="00B07608"/>
    <w:rsid w:val="00B07DCA"/>
    <w:rsid w:val="00B102F8"/>
    <w:rsid w:val="00B10463"/>
    <w:rsid w:val="00B107F5"/>
    <w:rsid w:val="00B10EC5"/>
    <w:rsid w:val="00B11BCB"/>
    <w:rsid w:val="00B11C94"/>
    <w:rsid w:val="00B12B30"/>
    <w:rsid w:val="00B13837"/>
    <w:rsid w:val="00B16B2F"/>
    <w:rsid w:val="00B16D30"/>
    <w:rsid w:val="00B2121F"/>
    <w:rsid w:val="00B2231D"/>
    <w:rsid w:val="00B22423"/>
    <w:rsid w:val="00B22A82"/>
    <w:rsid w:val="00B23016"/>
    <w:rsid w:val="00B2398D"/>
    <w:rsid w:val="00B25A0B"/>
    <w:rsid w:val="00B25A1A"/>
    <w:rsid w:val="00B25F59"/>
    <w:rsid w:val="00B26EBA"/>
    <w:rsid w:val="00B302E9"/>
    <w:rsid w:val="00B315E2"/>
    <w:rsid w:val="00B3241E"/>
    <w:rsid w:val="00B333AC"/>
    <w:rsid w:val="00B33F88"/>
    <w:rsid w:val="00B351E9"/>
    <w:rsid w:val="00B366DF"/>
    <w:rsid w:val="00B367FC"/>
    <w:rsid w:val="00B37945"/>
    <w:rsid w:val="00B37CA4"/>
    <w:rsid w:val="00B40115"/>
    <w:rsid w:val="00B40476"/>
    <w:rsid w:val="00B42065"/>
    <w:rsid w:val="00B427B7"/>
    <w:rsid w:val="00B45069"/>
    <w:rsid w:val="00B45EA9"/>
    <w:rsid w:val="00B4666E"/>
    <w:rsid w:val="00B47D3A"/>
    <w:rsid w:val="00B505D4"/>
    <w:rsid w:val="00B52098"/>
    <w:rsid w:val="00B53533"/>
    <w:rsid w:val="00B559C2"/>
    <w:rsid w:val="00B5674A"/>
    <w:rsid w:val="00B567DB"/>
    <w:rsid w:val="00B60600"/>
    <w:rsid w:val="00B615AC"/>
    <w:rsid w:val="00B61C21"/>
    <w:rsid w:val="00B62F20"/>
    <w:rsid w:val="00B66BC7"/>
    <w:rsid w:val="00B70CA3"/>
    <w:rsid w:val="00B7158D"/>
    <w:rsid w:val="00B74D4A"/>
    <w:rsid w:val="00B75197"/>
    <w:rsid w:val="00B751D4"/>
    <w:rsid w:val="00B772C9"/>
    <w:rsid w:val="00B77FBA"/>
    <w:rsid w:val="00B80484"/>
    <w:rsid w:val="00B80596"/>
    <w:rsid w:val="00B80C5D"/>
    <w:rsid w:val="00B822DA"/>
    <w:rsid w:val="00B82D9D"/>
    <w:rsid w:val="00B84766"/>
    <w:rsid w:val="00B8575F"/>
    <w:rsid w:val="00B86F8F"/>
    <w:rsid w:val="00B910C5"/>
    <w:rsid w:val="00B91688"/>
    <w:rsid w:val="00B91955"/>
    <w:rsid w:val="00B92A44"/>
    <w:rsid w:val="00B9405C"/>
    <w:rsid w:val="00B94A96"/>
    <w:rsid w:val="00B96B56"/>
    <w:rsid w:val="00B96B6C"/>
    <w:rsid w:val="00B96FE4"/>
    <w:rsid w:val="00B970E2"/>
    <w:rsid w:val="00B975C1"/>
    <w:rsid w:val="00B976B6"/>
    <w:rsid w:val="00BA0CB9"/>
    <w:rsid w:val="00BA10B2"/>
    <w:rsid w:val="00BA1310"/>
    <w:rsid w:val="00BA173B"/>
    <w:rsid w:val="00BA4F62"/>
    <w:rsid w:val="00BA6B9B"/>
    <w:rsid w:val="00BA6F05"/>
    <w:rsid w:val="00BA7479"/>
    <w:rsid w:val="00BB0010"/>
    <w:rsid w:val="00BB06AD"/>
    <w:rsid w:val="00BB184A"/>
    <w:rsid w:val="00BB1B27"/>
    <w:rsid w:val="00BB1D0F"/>
    <w:rsid w:val="00BB1EAF"/>
    <w:rsid w:val="00BB3058"/>
    <w:rsid w:val="00BB6815"/>
    <w:rsid w:val="00BB78E6"/>
    <w:rsid w:val="00BB7970"/>
    <w:rsid w:val="00BC05B0"/>
    <w:rsid w:val="00BC1349"/>
    <w:rsid w:val="00BC39F9"/>
    <w:rsid w:val="00BC3C75"/>
    <w:rsid w:val="00BC3CA3"/>
    <w:rsid w:val="00BC4AB9"/>
    <w:rsid w:val="00BC4FAB"/>
    <w:rsid w:val="00BD0A4F"/>
    <w:rsid w:val="00BD1073"/>
    <w:rsid w:val="00BD2E2C"/>
    <w:rsid w:val="00BD3507"/>
    <w:rsid w:val="00BD3AA3"/>
    <w:rsid w:val="00BD3AA8"/>
    <w:rsid w:val="00BD4DD4"/>
    <w:rsid w:val="00BD5792"/>
    <w:rsid w:val="00BD6851"/>
    <w:rsid w:val="00BD6A07"/>
    <w:rsid w:val="00BD7057"/>
    <w:rsid w:val="00BD72E0"/>
    <w:rsid w:val="00BE13A9"/>
    <w:rsid w:val="00BE1B44"/>
    <w:rsid w:val="00BE1FDB"/>
    <w:rsid w:val="00BE3DAC"/>
    <w:rsid w:val="00BE3E7F"/>
    <w:rsid w:val="00BE49F7"/>
    <w:rsid w:val="00BE4CFE"/>
    <w:rsid w:val="00BE5A0E"/>
    <w:rsid w:val="00BE76AF"/>
    <w:rsid w:val="00BE7E9E"/>
    <w:rsid w:val="00BF1620"/>
    <w:rsid w:val="00BF2818"/>
    <w:rsid w:val="00BF2B01"/>
    <w:rsid w:val="00BF2BBC"/>
    <w:rsid w:val="00BF2C6E"/>
    <w:rsid w:val="00BF354C"/>
    <w:rsid w:val="00BF44C0"/>
    <w:rsid w:val="00BF486D"/>
    <w:rsid w:val="00BF516F"/>
    <w:rsid w:val="00BF55A1"/>
    <w:rsid w:val="00BF573B"/>
    <w:rsid w:val="00BF5742"/>
    <w:rsid w:val="00BF7921"/>
    <w:rsid w:val="00C00543"/>
    <w:rsid w:val="00C014CF"/>
    <w:rsid w:val="00C021DA"/>
    <w:rsid w:val="00C02EFF"/>
    <w:rsid w:val="00C03A34"/>
    <w:rsid w:val="00C04999"/>
    <w:rsid w:val="00C054EF"/>
    <w:rsid w:val="00C0557A"/>
    <w:rsid w:val="00C0649D"/>
    <w:rsid w:val="00C07838"/>
    <w:rsid w:val="00C108E6"/>
    <w:rsid w:val="00C12043"/>
    <w:rsid w:val="00C14AC2"/>
    <w:rsid w:val="00C154CE"/>
    <w:rsid w:val="00C1596D"/>
    <w:rsid w:val="00C1712A"/>
    <w:rsid w:val="00C17156"/>
    <w:rsid w:val="00C17B4B"/>
    <w:rsid w:val="00C20BD7"/>
    <w:rsid w:val="00C20ED1"/>
    <w:rsid w:val="00C216FC"/>
    <w:rsid w:val="00C22131"/>
    <w:rsid w:val="00C24EDC"/>
    <w:rsid w:val="00C264AE"/>
    <w:rsid w:val="00C264C6"/>
    <w:rsid w:val="00C27040"/>
    <w:rsid w:val="00C277BC"/>
    <w:rsid w:val="00C30CC5"/>
    <w:rsid w:val="00C31E3C"/>
    <w:rsid w:val="00C3271C"/>
    <w:rsid w:val="00C34D88"/>
    <w:rsid w:val="00C35563"/>
    <w:rsid w:val="00C3651C"/>
    <w:rsid w:val="00C40A27"/>
    <w:rsid w:val="00C414D4"/>
    <w:rsid w:val="00C4150B"/>
    <w:rsid w:val="00C41F32"/>
    <w:rsid w:val="00C42616"/>
    <w:rsid w:val="00C43244"/>
    <w:rsid w:val="00C445C0"/>
    <w:rsid w:val="00C45B18"/>
    <w:rsid w:val="00C46476"/>
    <w:rsid w:val="00C46921"/>
    <w:rsid w:val="00C47440"/>
    <w:rsid w:val="00C478C4"/>
    <w:rsid w:val="00C52498"/>
    <w:rsid w:val="00C5329C"/>
    <w:rsid w:val="00C54CE0"/>
    <w:rsid w:val="00C55C5A"/>
    <w:rsid w:val="00C56102"/>
    <w:rsid w:val="00C57C50"/>
    <w:rsid w:val="00C61DA3"/>
    <w:rsid w:val="00C6214B"/>
    <w:rsid w:val="00C6282F"/>
    <w:rsid w:val="00C64408"/>
    <w:rsid w:val="00C645AA"/>
    <w:rsid w:val="00C658CE"/>
    <w:rsid w:val="00C66343"/>
    <w:rsid w:val="00C66502"/>
    <w:rsid w:val="00C669C6"/>
    <w:rsid w:val="00C66E3C"/>
    <w:rsid w:val="00C7020E"/>
    <w:rsid w:val="00C71065"/>
    <w:rsid w:val="00C7172A"/>
    <w:rsid w:val="00C71A19"/>
    <w:rsid w:val="00C71AEF"/>
    <w:rsid w:val="00C72B95"/>
    <w:rsid w:val="00C76DB9"/>
    <w:rsid w:val="00C77A5A"/>
    <w:rsid w:val="00C77C93"/>
    <w:rsid w:val="00C80036"/>
    <w:rsid w:val="00C804BE"/>
    <w:rsid w:val="00C809F6"/>
    <w:rsid w:val="00C81486"/>
    <w:rsid w:val="00C824C8"/>
    <w:rsid w:val="00C82E31"/>
    <w:rsid w:val="00C8313A"/>
    <w:rsid w:val="00C83E98"/>
    <w:rsid w:val="00C85355"/>
    <w:rsid w:val="00C877E7"/>
    <w:rsid w:val="00C87CF4"/>
    <w:rsid w:val="00C91BD4"/>
    <w:rsid w:val="00C9200D"/>
    <w:rsid w:val="00C931D2"/>
    <w:rsid w:val="00C94AB9"/>
    <w:rsid w:val="00C9567A"/>
    <w:rsid w:val="00C95B1D"/>
    <w:rsid w:val="00C9693B"/>
    <w:rsid w:val="00CA024B"/>
    <w:rsid w:val="00CA12EF"/>
    <w:rsid w:val="00CA14F0"/>
    <w:rsid w:val="00CA1767"/>
    <w:rsid w:val="00CA19B2"/>
    <w:rsid w:val="00CA1B6B"/>
    <w:rsid w:val="00CA3405"/>
    <w:rsid w:val="00CA703E"/>
    <w:rsid w:val="00CA7B78"/>
    <w:rsid w:val="00CA7D0E"/>
    <w:rsid w:val="00CB30A2"/>
    <w:rsid w:val="00CB3FC9"/>
    <w:rsid w:val="00CB40A2"/>
    <w:rsid w:val="00CB4B00"/>
    <w:rsid w:val="00CB79D0"/>
    <w:rsid w:val="00CC017D"/>
    <w:rsid w:val="00CC180B"/>
    <w:rsid w:val="00CC1B95"/>
    <w:rsid w:val="00CC1C5C"/>
    <w:rsid w:val="00CC29D2"/>
    <w:rsid w:val="00CC29F6"/>
    <w:rsid w:val="00CC3260"/>
    <w:rsid w:val="00CC3352"/>
    <w:rsid w:val="00CC3433"/>
    <w:rsid w:val="00CC35DE"/>
    <w:rsid w:val="00CC51D2"/>
    <w:rsid w:val="00CC53B9"/>
    <w:rsid w:val="00CC62B5"/>
    <w:rsid w:val="00CD06D4"/>
    <w:rsid w:val="00CD09C0"/>
    <w:rsid w:val="00CD108B"/>
    <w:rsid w:val="00CD109C"/>
    <w:rsid w:val="00CD2C07"/>
    <w:rsid w:val="00CD64D6"/>
    <w:rsid w:val="00CD6676"/>
    <w:rsid w:val="00CD7042"/>
    <w:rsid w:val="00CE1EEE"/>
    <w:rsid w:val="00CE2E1E"/>
    <w:rsid w:val="00CE3628"/>
    <w:rsid w:val="00CE4599"/>
    <w:rsid w:val="00CE4E84"/>
    <w:rsid w:val="00CE50AC"/>
    <w:rsid w:val="00CE55ED"/>
    <w:rsid w:val="00CE7129"/>
    <w:rsid w:val="00CE730E"/>
    <w:rsid w:val="00CE7ACF"/>
    <w:rsid w:val="00CF1FD3"/>
    <w:rsid w:val="00CF2012"/>
    <w:rsid w:val="00CF2EDC"/>
    <w:rsid w:val="00CF360C"/>
    <w:rsid w:val="00CF46E9"/>
    <w:rsid w:val="00D00D08"/>
    <w:rsid w:val="00D045A6"/>
    <w:rsid w:val="00D05E33"/>
    <w:rsid w:val="00D06487"/>
    <w:rsid w:val="00D1081E"/>
    <w:rsid w:val="00D11E84"/>
    <w:rsid w:val="00D13D5E"/>
    <w:rsid w:val="00D14772"/>
    <w:rsid w:val="00D203FB"/>
    <w:rsid w:val="00D20A30"/>
    <w:rsid w:val="00D21A62"/>
    <w:rsid w:val="00D2276B"/>
    <w:rsid w:val="00D22B6B"/>
    <w:rsid w:val="00D2530C"/>
    <w:rsid w:val="00D259F0"/>
    <w:rsid w:val="00D27D29"/>
    <w:rsid w:val="00D3118D"/>
    <w:rsid w:val="00D32A67"/>
    <w:rsid w:val="00D33606"/>
    <w:rsid w:val="00D33A80"/>
    <w:rsid w:val="00D33E0E"/>
    <w:rsid w:val="00D33F73"/>
    <w:rsid w:val="00D34389"/>
    <w:rsid w:val="00D34443"/>
    <w:rsid w:val="00D34BC0"/>
    <w:rsid w:val="00D34F96"/>
    <w:rsid w:val="00D35B6D"/>
    <w:rsid w:val="00D368ED"/>
    <w:rsid w:val="00D36B99"/>
    <w:rsid w:val="00D37117"/>
    <w:rsid w:val="00D401EF"/>
    <w:rsid w:val="00D40834"/>
    <w:rsid w:val="00D40AB4"/>
    <w:rsid w:val="00D43160"/>
    <w:rsid w:val="00D45473"/>
    <w:rsid w:val="00D46050"/>
    <w:rsid w:val="00D46617"/>
    <w:rsid w:val="00D47662"/>
    <w:rsid w:val="00D5008A"/>
    <w:rsid w:val="00D50530"/>
    <w:rsid w:val="00D5188C"/>
    <w:rsid w:val="00D5291F"/>
    <w:rsid w:val="00D52F05"/>
    <w:rsid w:val="00D53DA0"/>
    <w:rsid w:val="00D54FC4"/>
    <w:rsid w:val="00D5534E"/>
    <w:rsid w:val="00D55B59"/>
    <w:rsid w:val="00D56617"/>
    <w:rsid w:val="00D60605"/>
    <w:rsid w:val="00D612BC"/>
    <w:rsid w:val="00D61BD6"/>
    <w:rsid w:val="00D65D01"/>
    <w:rsid w:val="00D65FAE"/>
    <w:rsid w:val="00D66A7C"/>
    <w:rsid w:val="00D66A89"/>
    <w:rsid w:val="00D67541"/>
    <w:rsid w:val="00D6774D"/>
    <w:rsid w:val="00D7052E"/>
    <w:rsid w:val="00D70648"/>
    <w:rsid w:val="00D711EE"/>
    <w:rsid w:val="00D7158C"/>
    <w:rsid w:val="00D71961"/>
    <w:rsid w:val="00D7417D"/>
    <w:rsid w:val="00D74B6A"/>
    <w:rsid w:val="00D76213"/>
    <w:rsid w:val="00D76914"/>
    <w:rsid w:val="00D769B9"/>
    <w:rsid w:val="00D76A57"/>
    <w:rsid w:val="00D77CAE"/>
    <w:rsid w:val="00D77EE6"/>
    <w:rsid w:val="00D82783"/>
    <w:rsid w:val="00D82839"/>
    <w:rsid w:val="00D83DB2"/>
    <w:rsid w:val="00D84C1F"/>
    <w:rsid w:val="00D86321"/>
    <w:rsid w:val="00D86DC7"/>
    <w:rsid w:val="00D9335F"/>
    <w:rsid w:val="00D940FE"/>
    <w:rsid w:val="00D953D5"/>
    <w:rsid w:val="00D95554"/>
    <w:rsid w:val="00D975EC"/>
    <w:rsid w:val="00DA1658"/>
    <w:rsid w:val="00DA19C7"/>
    <w:rsid w:val="00DA201B"/>
    <w:rsid w:val="00DA2D01"/>
    <w:rsid w:val="00DA335D"/>
    <w:rsid w:val="00DA35DC"/>
    <w:rsid w:val="00DA437A"/>
    <w:rsid w:val="00DA5689"/>
    <w:rsid w:val="00DA65F4"/>
    <w:rsid w:val="00DA6F5B"/>
    <w:rsid w:val="00DA711B"/>
    <w:rsid w:val="00DB03BE"/>
    <w:rsid w:val="00DB0CEC"/>
    <w:rsid w:val="00DB1343"/>
    <w:rsid w:val="00DB192A"/>
    <w:rsid w:val="00DB3893"/>
    <w:rsid w:val="00DB4754"/>
    <w:rsid w:val="00DB536C"/>
    <w:rsid w:val="00DB6278"/>
    <w:rsid w:val="00DC0175"/>
    <w:rsid w:val="00DC0C84"/>
    <w:rsid w:val="00DC0E4E"/>
    <w:rsid w:val="00DC2BCA"/>
    <w:rsid w:val="00DC34B7"/>
    <w:rsid w:val="00DC38D7"/>
    <w:rsid w:val="00DC5DDE"/>
    <w:rsid w:val="00DC7527"/>
    <w:rsid w:val="00DC7B96"/>
    <w:rsid w:val="00DD041D"/>
    <w:rsid w:val="00DD07DF"/>
    <w:rsid w:val="00DD0A0B"/>
    <w:rsid w:val="00DD2BFD"/>
    <w:rsid w:val="00DD47ED"/>
    <w:rsid w:val="00DD5AFD"/>
    <w:rsid w:val="00DD78CB"/>
    <w:rsid w:val="00DD7F99"/>
    <w:rsid w:val="00DE029B"/>
    <w:rsid w:val="00DE0BB0"/>
    <w:rsid w:val="00DE1C0A"/>
    <w:rsid w:val="00DE1FCD"/>
    <w:rsid w:val="00DE3AF1"/>
    <w:rsid w:val="00DE425E"/>
    <w:rsid w:val="00DE4F28"/>
    <w:rsid w:val="00DE5690"/>
    <w:rsid w:val="00DE7892"/>
    <w:rsid w:val="00DF068C"/>
    <w:rsid w:val="00DF07E9"/>
    <w:rsid w:val="00DF0DAE"/>
    <w:rsid w:val="00DF10EB"/>
    <w:rsid w:val="00DF1FBE"/>
    <w:rsid w:val="00DF32F4"/>
    <w:rsid w:val="00DF5D4E"/>
    <w:rsid w:val="00DF6599"/>
    <w:rsid w:val="00E0008D"/>
    <w:rsid w:val="00E003AF"/>
    <w:rsid w:val="00E02AC9"/>
    <w:rsid w:val="00E02FD4"/>
    <w:rsid w:val="00E036A1"/>
    <w:rsid w:val="00E055D4"/>
    <w:rsid w:val="00E05800"/>
    <w:rsid w:val="00E058A7"/>
    <w:rsid w:val="00E068D4"/>
    <w:rsid w:val="00E07C0C"/>
    <w:rsid w:val="00E11826"/>
    <w:rsid w:val="00E119E5"/>
    <w:rsid w:val="00E11CAC"/>
    <w:rsid w:val="00E1284F"/>
    <w:rsid w:val="00E12F8F"/>
    <w:rsid w:val="00E140A7"/>
    <w:rsid w:val="00E14B4F"/>
    <w:rsid w:val="00E16669"/>
    <w:rsid w:val="00E20209"/>
    <w:rsid w:val="00E20790"/>
    <w:rsid w:val="00E20E1C"/>
    <w:rsid w:val="00E22681"/>
    <w:rsid w:val="00E23E0D"/>
    <w:rsid w:val="00E24BE7"/>
    <w:rsid w:val="00E252A3"/>
    <w:rsid w:val="00E25E31"/>
    <w:rsid w:val="00E25FBC"/>
    <w:rsid w:val="00E264F4"/>
    <w:rsid w:val="00E2702C"/>
    <w:rsid w:val="00E27B25"/>
    <w:rsid w:val="00E3117F"/>
    <w:rsid w:val="00E315EB"/>
    <w:rsid w:val="00E32DAA"/>
    <w:rsid w:val="00E34BBA"/>
    <w:rsid w:val="00E359D3"/>
    <w:rsid w:val="00E35C48"/>
    <w:rsid w:val="00E364A3"/>
    <w:rsid w:val="00E379FA"/>
    <w:rsid w:val="00E37DC8"/>
    <w:rsid w:val="00E407CC"/>
    <w:rsid w:val="00E40AE8"/>
    <w:rsid w:val="00E410DB"/>
    <w:rsid w:val="00E42B38"/>
    <w:rsid w:val="00E42E2A"/>
    <w:rsid w:val="00E430DE"/>
    <w:rsid w:val="00E44248"/>
    <w:rsid w:val="00E44A45"/>
    <w:rsid w:val="00E45C76"/>
    <w:rsid w:val="00E45E54"/>
    <w:rsid w:val="00E46FF9"/>
    <w:rsid w:val="00E51DC9"/>
    <w:rsid w:val="00E53658"/>
    <w:rsid w:val="00E536AD"/>
    <w:rsid w:val="00E548E6"/>
    <w:rsid w:val="00E56181"/>
    <w:rsid w:val="00E562FC"/>
    <w:rsid w:val="00E565B3"/>
    <w:rsid w:val="00E63A22"/>
    <w:rsid w:val="00E648E7"/>
    <w:rsid w:val="00E65596"/>
    <w:rsid w:val="00E66178"/>
    <w:rsid w:val="00E667F2"/>
    <w:rsid w:val="00E704FC"/>
    <w:rsid w:val="00E705E3"/>
    <w:rsid w:val="00E71943"/>
    <w:rsid w:val="00E71A03"/>
    <w:rsid w:val="00E72F3B"/>
    <w:rsid w:val="00E73153"/>
    <w:rsid w:val="00E73CFF"/>
    <w:rsid w:val="00E7469F"/>
    <w:rsid w:val="00E74FAF"/>
    <w:rsid w:val="00E74FB2"/>
    <w:rsid w:val="00E75137"/>
    <w:rsid w:val="00E755C9"/>
    <w:rsid w:val="00E75B1E"/>
    <w:rsid w:val="00E77943"/>
    <w:rsid w:val="00E77A6D"/>
    <w:rsid w:val="00E77C4D"/>
    <w:rsid w:val="00E804C0"/>
    <w:rsid w:val="00E80877"/>
    <w:rsid w:val="00E81962"/>
    <w:rsid w:val="00E81967"/>
    <w:rsid w:val="00E83EE0"/>
    <w:rsid w:val="00E8552A"/>
    <w:rsid w:val="00E8769A"/>
    <w:rsid w:val="00E91732"/>
    <w:rsid w:val="00E938AE"/>
    <w:rsid w:val="00E940D9"/>
    <w:rsid w:val="00E94A2D"/>
    <w:rsid w:val="00E962EA"/>
    <w:rsid w:val="00E9760B"/>
    <w:rsid w:val="00E97CF6"/>
    <w:rsid w:val="00EA1261"/>
    <w:rsid w:val="00EA16ED"/>
    <w:rsid w:val="00EA2E18"/>
    <w:rsid w:val="00EA30E4"/>
    <w:rsid w:val="00EA3814"/>
    <w:rsid w:val="00EA3918"/>
    <w:rsid w:val="00EA3BCA"/>
    <w:rsid w:val="00EA4F45"/>
    <w:rsid w:val="00EA551B"/>
    <w:rsid w:val="00EA55EB"/>
    <w:rsid w:val="00EA6FD3"/>
    <w:rsid w:val="00EA78CD"/>
    <w:rsid w:val="00EB04A6"/>
    <w:rsid w:val="00EB08B3"/>
    <w:rsid w:val="00EB15DF"/>
    <w:rsid w:val="00EB26D2"/>
    <w:rsid w:val="00EB4071"/>
    <w:rsid w:val="00EB5831"/>
    <w:rsid w:val="00EB6588"/>
    <w:rsid w:val="00EB7629"/>
    <w:rsid w:val="00EC0919"/>
    <w:rsid w:val="00EC09B7"/>
    <w:rsid w:val="00EC16EB"/>
    <w:rsid w:val="00EC3685"/>
    <w:rsid w:val="00EC3F72"/>
    <w:rsid w:val="00EC5412"/>
    <w:rsid w:val="00EC6BE2"/>
    <w:rsid w:val="00EC6F47"/>
    <w:rsid w:val="00EC7D1F"/>
    <w:rsid w:val="00ED02EC"/>
    <w:rsid w:val="00ED06D6"/>
    <w:rsid w:val="00ED0EBB"/>
    <w:rsid w:val="00ED2BAE"/>
    <w:rsid w:val="00ED4013"/>
    <w:rsid w:val="00ED422A"/>
    <w:rsid w:val="00ED5C50"/>
    <w:rsid w:val="00ED6CD0"/>
    <w:rsid w:val="00ED76F3"/>
    <w:rsid w:val="00ED78A9"/>
    <w:rsid w:val="00EE08FE"/>
    <w:rsid w:val="00EE1318"/>
    <w:rsid w:val="00EE17DE"/>
    <w:rsid w:val="00EE1B54"/>
    <w:rsid w:val="00EE1C17"/>
    <w:rsid w:val="00EE1CA6"/>
    <w:rsid w:val="00EE20CC"/>
    <w:rsid w:val="00EE25D3"/>
    <w:rsid w:val="00EE3F0C"/>
    <w:rsid w:val="00EE480F"/>
    <w:rsid w:val="00EE7B95"/>
    <w:rsid w:val="00EF02A4"/>
    <w:rsid w:val="00EF1030"/>
    <w:rsid w:val="00EF210B"/>
    <w:rsid w:val="00EF22CA"/>
    <w:rsid w:val="00EF3355"/>
    <w:rsid w:val="00EF3CE7"/>
    <w:rsid w:val="00EF44E7"/>
    <w:rsid w:val="00EF59AC"/>
    <w:rsid w:val="00EF5F31"/>
    <w:rsid w:val="00EF6C45"/>
    <w:rsid w:val="00EF7A27"/>
    <w:rsid w:val="00F0230E"/>
    <w:rsid w:val="00F0317B"/>
    <w:rsid w:val="00F0353B"/>
    <w:rsid w:val="00F04382"/>
    <w:rsid w:val="00F05471"/>
    <w:rsid w:val="00F057A5"/>
    <w:rsid w:val="00F05A30"/>
    <w:rsid w:val="00F05A52"/>
    <w:rsid w:val="00F06180"/>
    <w:rsid w:val="00F06714"/>
    <w:rsid w:val="00F071B7"/>
    <w:rsid w:val="00F075DC"/>
    <w:rsid w:val="00F07C02"/>
    <w:rsid w:val="00F102F5"/>
    <w:rsid w:val="00F13B40"/>
    <w:rsid w:val="00F158F7"/>
    <w:rsid w:val="00F20331"/>
    <w:rsid w:val="00F20A36"/>
    <w:rsid w:val="00F2127D"/>
    <w:rsid w:val="00F21943"/>
    <w:rsid w:val="00F21A1B"/>
    <w:rsid w:val="00F22F8C"/>
    <w:rsid w:val="00F2349C"/>
    <w:rsid w:val="00F23965"/>
    <w:rsid w:val="00F2647B"/>
    <w:rsid w:val="00F2766C"/>
    <w:rsid w:val="00F333AD"/>
    <w:rsid w:val="00F34CA1"/>
    <w:rsid w:val="00F36F51"/>
    <w:rsid w:val="00F37C80"/>
    <w:rsid w:val="00F37DF6"/>
    <w:rsid w:val="00F40721"/>
    <w:rsid w:val="00F4222D"/>
    <w:rsid w:val="00F42833"/>
    <w:rsid w:val="00F43F1B"/>
    <w:rsid w:val="00F46313"/>
    <w:rsid w:val="00F47310"/>
    <w:rsid w:val="00F47564"/>
    <w:rsid w:val="00F50F0D"/>
    <w:rsid w:val="00F51BB8"/>
    <w:rsid w:val="00F51D0D"/>
    <w:rsid w:val="00F53795"/>
    <w:rsid w:val="00F53824"/>
    <w:rsid w:val="00F539EB"/>
    <w:rsid w:val="00F5498A"/>
    <w:rsid w:val="00F60AB0"/>
    <w:rsid w:val="00F61656"/>
    <w:rsid w:val="00F6263A"/>
    <w:rsid w:val="00F639C6"/>
    <w:rsid w:val="00F641D4"/>
    <w:rsid w:val="00F66052"/>
    <w:rsid w:val="00F66EC7"/>
    <w:rsid w:val="00F70AC8"/>
    <w:rsid w:val="00F73C62"/>
    <w:rsid w:val="00F73CA4"/>
    <w:rsid w:val="00F7526C"/>
    <w:rsid w:val="00F752DF"/>
    <w:rsid w:val="00F76D3A"/>
    <w:rsid w:val="00F77423"/>
    <w:rsid w:val="00F80233"/>
    <w:rsid w:val="00F80B8E"/>
    <w:rsid w:val="00F81151"/>
    <w:rsid w:val="00F81F8D"/>
    <w:rsid w:val="00F8358C"/>
    <w:rsid w:val="00F83DAA"/>
    <w:rsid w:val="00F83DDE"/>
    <w:rsid w:val="00F84C88"/>
    <w:rsid w:val="00F85DAA"/>
    <w:rsid w:val="00F9012C"/>
    <w:rsid w:val="00F92556"/>
    <w:rsid w:val="00F92886"/>
    <w:rsid w:val="00F9378C"/>
    <w:rsid w:val="00F94437"/>
    <w:rsid w:val="00F95A5E"/>
    <w:rsid w:val="00F969E3"/>
    <w:rsid w:val="00F96EFF"/>
    <w:rsid w:val="00F9774E"/>
    <w:rsid w:val="00FA0F60"/>
    <w:rsid w:val="00FA1775"/>
    <w:rsid w:val="00FA1AEB"/>
    <w:rsid w:val="00FA1E9C"/>
    <w:rsid w:val="00FA25E9"/>
    <w:rsid w:val="00FA3668"/>
    <w:rsid w:val="00FA418D"/>
    <w:rsid w:val="00FA4826"/>
    <w:rsid w:val="00FA5403"/>
    <w:rsid w:val="00FA7077"/>
    <w:rsid w:val="00FB1BBD"/>
    <w:rsid w:val="00FB32B7"/>
    <w:rsid w:val="00FB3A40"/>
    <w:rsid w:val="00FB3B46"/>
    <w:rsid w:val="00FB610B"/>
    <w:rsid w:val="00FB63E6"/>
    <w:rsid w:val="00FB6475"/>
    <w:rsid w:val="00FB6C3A"/>
    <w:rsid w:val="00FB72FF"/>
    <w:rsid w:val="00FC0617"/>
    <w:rsid w:val="00FC0EDA"/>
    <w:rsid w:val="00FC1C48"/>
    <w:rsid w:val="00FC3317"/>
    <w:rsid w:val="00FC3E8B"/>
    <w:rsid w:val="00FC495E"/>
    <w:rsid w:val="00FC5AAF"/>
    <w:rsid w:val="00FC7636"/>
    <w:rsid w:val="00FC7CF9"/>
    <w:rsid w:val="00FD0412"/>
    <w:rsid w:val="00FD15C2"/>
    <w:rsid w:val="00FD1647"/>
    <w:rsid w:val="00FD1E1F"/>
    <w:rsid w:val="00FD21F9"/>
    <w:rsid w:val="00FD46C6"/>
    <w:rsid w:val="00FD4A08"/>
    <w:rsid w:val="00FD5E10"/>
    <w:rsid w:val="00FD70AA"/>
    <w:rsid w:val="00FD7EC8"/>
    <w:rsid w:val="00FD7F1F"/>
    <w:rsid w:val="00FE013E"/>
    <w:rsid w:val="00FE0DC3"/>
    <w:rsid w:val="00FE1A63"/>
    <w:rsid w:val="00FE1AB8"/>
    <w:rsid w:val="00FE241D"/>
    <w:rsid w:val="00FE2501"/>
    <w:rsid w:val="00FE2FD9"/>
    <w:rsid w:val="00FE41A4"/>
    <w:rsid w:val="00FE4CD9"/>
    <w:rsid w:val="00FE5698"/>
    <w:rsid w:val="00FE66DC"/>
    <w:rsid w:val="00FF0B97"/>
    <w:rsid w:val="00FF0BD2"/>
    <w:rsid w:val="00FF21EE"/>
    <w:rsid w:val="00FF325C"/>
    <w:rsid w:val="00FF3CAA"/>
    <w:rsid w:val="00FF42B5"/>
    <w:rsid w:val="00FF4CB2"/>
    <w:rsid w:val="00FF5DA3"/>
    <w:rsid w:val="00FF697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FDFCE0"/>
  <w15:chartTrackingRefBased/>
  <w15:docId w15:val="{06CE96BB-E470-42DD-91AF-A0EF22FBF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Theme="minorHAnsi" w:hAnsi="Arial Narrow"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827E6"/>
    <w:pPr>
      <w:spacing w:after="120" w:line="276" w:lineRule="auto"/>
      <w:jc w:val="both"/>
    </w:pPr>
    <w:rPr>
      <w:rFonts w:ascii="Segoe UI" w:hAnsi="Segoe UI"/>
      <w:sz w:val="20"/>
    </w:rPr>
  </w:style>
  <w:style w:type="paragraph" w:styleId="Nadpis1">
    <w:name w:val="heading 1"/>
    <w:basedOn w:val="Normlny"/>
    <w:next w:val="Normlny"/>
    <w:link w:val="Nadpis1Char"/>
    <w:uiPriority w:val="9"/>
    <w:qFormat/>
    <w:rsid w:val="000E5B51"/>
    <w:pPr>
      <w:keepNext/>
      <w:keepLines/>
      <w:numPr>
        <w:numId w:val="2"/>
      </w:numPr>
      <w:spacing w:before="120"/>
      <w:ind w:left="357" w:hanging="357"/>
      <w:outlineLvl w:val="0"/>
    </w:pPr>
    <w:rPr>
      <w:rFonts w:eastAsiaTheme="majorEastAsia" w:cstheme="majorBidi"/>
      <w:b/>
      <w:color w:val="314364"/>
      <w:position w:val="10"/>
      <w:sz w:val="32"/>
      <w:szCs w:val="32"/>
    </w:rPr>
  </w:style>
  <w:style w:type="paragraph" w:styleId="Nadpis2">
    <w:name w:val="heading 2"/>
    <w:basedOn w:val="Normlny"/>
    <w:next w:val="Normlny"/>
    <w:link w:val="Nadpis2Char"/>
    <w:uiPriority w:val="9"/>
    <w:unhideWhenUsed/>
    <w:qFormat/>
    <w:rsid w:val="000D631B"/>
    <w:pPr>
      <w:keepNext/>
      <w:keepLines/>
      <w:numPr>
        <w:ilvl w:val="1"/>
        <w:numId w:val="2"/>
      </w:numPr>
      <w:spacing w:before="120"/>
      <w:ind w:left="998" w:hanging="431"/>
      <w:outlineLvl w:val="1"/>
    </w:pPr>
    <w:rPr>
      <w:rFonts w:eastAsiaTheme="majorEastAsia" w:cstheme="majorBidi"/>
      <w:color w:val="314364"/>
      <w:sz w:val="28"/>
      <w:szCs w:val="26"/>
    </w:rPr>
  </w:style>
  <w:style w:type="paragraph" w:styleId="Nadpis3">
    <w:name w:val="heading 3"/>
    <w:basedOn w:val="Normlny"/>
    <w:next w:val="Normlny"/>
    <w:link w:val="Nadpis3Char"/>
    <w:uiPriority w:val="9"/>
    <w:unhideWhenUsed/>
    <w:qFormat/>
    <w:rsid w:val="00BA10B2"/>
    <w:pPr>
      <w:keepNext/>
      <w:keepLines/>
      <w:numPr>
        <w:ilvl w:val="2"/>
        <w:numId w:val="2"/>
      </w:numPr>
      <w:spacing w:before="40"/>
      <w:ind w:left="1225" w:hanging="505"/>
      <w:outlineLvl w:val="2"/>
    </w:pPr>
    <w:rPr>
      <w:rFonts w:eastAsiaTheme="majorEastAsia" w:cstheme="majorBidi"/>
      <w:color w:val="314364"/>
      <w:sz w:val="24"/>
      <w:szCs w:val="24"/>
    </w:rPr>
  </w:style>
  <w:style w:type="paragraph" w:styleId="Nadpis4">
    <w:name w:val="heading 4"/>
    <w:basedOn w:val="Normlny"/>
    <w:next w:val="Normlny"/>
    <w:link w:val="Nadpis4Char"/>
    <w:uiPriority w:val="9"/>
    <w:unhideWhenUsed/>
    <w:qFormat/>
    <w:rsid w:val="002A599C"/>
    <w:pPr>
      <w:keepNext/>
      <w:keepLines/>
      <w:spacing w:before="40" w:after="0"/>
      <w:outlineLvl w:val="3"/>
    </w:pPr>
    <w:rPr>
      <w:rFonts w:asciiTheme="majorHAnsi" w:eastAsiaTheme="majorEastAsia" w:hAnsiTheme="majorHAnsi" w:cstheme="majorBidi"/>
      <w:i/>
      <w:iCs/>
      <w:color w:val="24324A" w:themeColor="accent1" w:themeShade="BF"/>
    </w:rPr>
  </w:style>
  <w:style w:type="paragraph" w:styleId="Nadpis5">
    <w:name w:val="heading 5"/>
    <w:basedOn w:val="Normlny"/>
    <w:next w:val="Normlny"/>
    <w:link w:val="Nadpis5Char"/>
    <w:uiPriority w:val="9"/>
    <w:unhideWhenUsed/>
    <w:qFormat/>
    <w:rsid w:val="00AC6430"/>
    <w:pPr>
      <w:keepNext/>
      <w:keepLines/>
      <w:spacing w:before="40" w:after="0"/>
      <w:outlineLvl w:val="4"/>
    </w:pPr>
    <w:rPr>
      <w:rFonts w:asciiTheme="majorHAnsi" w:eastAsiaTheme="majorEastAsia" w:hAnsiTheme="majorHAnsi" w:cstheme="majorBidi"/>
      <w:color w:val="24324A"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0E5B51"/>
    <w:rPr>
      <w:rFonts w:ascii="Segoe UI" w:eastAsiaTheme="majorEastAsia" w:hAnsi="Segoe UI" w:cstheme="majorBidi"/>
      <w:b/>
      <w:color w:val="314364"/>
      <w:position w:val="10"/>
      <w:sz w:val="32"/>
      <w:szCs w:val="32"/>
    </w:rPr>
  </w:style>
  <w:style w:type="character" w:customStyle="1" w:styleId="Nadpis2Char">
    <w:name w:val="Nadpis 2 Char"/>
    <w:basedOn w:val="Predvolenpsmoodseku"/>
    <w:link w:val="Nadpis2"/>
    <w:uiPriority w:val="9"/>
    <w:rsid w:val="000D631B"/>
    <w:rPr>
      <w:rFonts w:ascii="Segoe UI" w:eastAsiaTheme="majorEastAsia" w:hAnsi="Segoe UI" w:cstheme="majorBidi"/>
      <w:color w:val="314364"/>
      <w:sz w:val="28"/>
      <w:szCs w:val="26"/>
    </w:rPr>
  </w:style>
  <w:style w:type="paragraph" w:styleId="Hlavika">
    <w:name w:val="header"/>
    <w:basedOn w:val="Normlny"/>
    <w:link w:val="HlavikaChar"/>
    <w:uiPriority w:val="99"/>
    <w:unhideWhenUsed/>
    <w:rsid w:val="004F10D0"/>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F10D0"/>
  </w:style>
  <w:style w:type="paragraph" w:styleId="Pta">
    <w:name w:val="footer"/>
    <w:basedOn w:val="Normlny"/>
    <w:link w:val="PtaChar"/>
    <w:uiPriority w:val="99"/>
    <w:unhideWhenUsed/>
    <w:rsid w:val="004F10D0"/>
    <w:pPr>
      <w:tabs>
        <w:tab w:val="center" w:pos="4536"/>
        <w:tab w:val="right" w:pos="9072"/>
      </w:tabs>
      <w:spacing w:after="0" w:line="240" w:lineRule="auto"/>
    </w:pPr>
  </w:style>
  <w:style w:type="character" w:customStyle="1" w:styleId="PtaChar">
    <w:name w:val="Päta Char"/>
    <w:basedOn w:val="Predvolenpsmoodseku"/>
    <w:link w:val="Pta"/>
    <w:uiPriority w:val="99"/>
    <w:rsid w:val="004F10D0"/>
  </w:style>
  <w:style w:type="character" w:styleId="Zstupntext">
    <w:name w:val="Placeholder Text"/>
    <w:basedOn w:val="Predvolenpsmoodseku"/>
    <w:uiPriority w:val="99"/>
    <w:semiHidden/>
    <w:rsid w:val="00F539EB"/>
    <w:rPr>
      <w:color w:val="808080"/>
    </w:rPr>
  </w:style>
  <w:style w:type="paragraph" w:styleId="Nzov">
    <w:name w:val="Title"/>
    <w:basedOn w:val="Normlny"/>
    <w:next w:val="Normlny"/>
    <w:link w:val="NzovChar"/>
    <w:uiPriority w:val="10"/>
    <w:qFormat/>
    <w:rsid w:val="00FF5DA3"/>
    <w:pPr>
      <w:spacing w:before="240" w:after="240" w:line="240" w:lineRule="auto"/>
      <w:contextualSpacing/>
      <w:jc w:val="center"/>
    </w:pPr>
    <w:rPr>
      <w:rFonts w:eastAsiaTheme="majorEastAsia" w:cstheme="majorBidi"/>
      <w:b/>
      <w:smallCaps/>
      <w:color w:val="314364"/>
      <w:spacing w:val="-10"/>
      <w:kern w:val="28"/>
      <w:sz w:val="44"/>
      <w:szCs w:val="56"/>
    </w:rPr>
  </w:style>
  <w:style w:type="character" w:customStyle="1" w:styleId="NzovChar">
    <w:name w:val="Názov Char"/>
    <w:basedOn w:val="Predvolenpsmoodseku"/>
    <w:link w:val="Nzov"/>
    <w:uiPriority w:val="10"/>
    <w:rsid w:val="00FF5DA3"/>
    <w:rPr>
      <w:rFonts w:ascii="Segoe UI" w:eastAsiaTheme="majorEastAsia" w:hAnsi="Segoe UI" w:cstheme="majorBidi"/>
      <w:b/>
      <w:smallCaps/>
      <w:color w:val="314364"/>
      <w:spacing w:val="-10"/>
      <w:kern w:val="28"/>
      <w:sz w:val="44"/>
      <w:szCs w:val="56"/>
    </w:rPr>
  </w:style>
  <w:style w:type="paragraph" w:styleId="Podtitul">
    <w:name w:val="Subtitle"/>
    <w:basedOn w:val="Normlny"/>
    <w:next w:val="Normlny"/>
    <w:link w:val="PodtitulChar"/>
    <w:uiPriority w:val="11"/>
    <w:qFormat/>
    <w:rsid w:val="001778A6"/>
    <w:pPr>
      <w:numPr>
        <w:ilvl w:val="1"/>
      </w:numPr>
      <w:spacing w:before="240" w:after="240"/>
      <w:jc w:val="center"/>
    </w:pPr>
    <w:rPr>
      <w:rFonts w:eastAsiaTheme="minorEastAsia"/>
      <w:color w:val="314364"/>
      <w:spacing w:val="15"/>
      <w:sz w:val="28"/>
    </w:rPr>
  </w:style>
  <w:style w:type="character" w:customStyle="1" w:styleId="PodtitulChar">
    <w:name w:val="Podtitul Char"/>
    <w:basedOn w:val="Predvolenpsmoodseku"/>
    <w:link w:val="Podtitul"/>
    <w:uiPriority w:val="11"/>
    <w:rsid w:val="001778A6"/>
    <w:rPr>
      <w:rFonts w:ascii="Segoe UI" w:eastAsiaTheme="minorEastAsia" w:hAnsi="Segoe UI"/>
      <w:color w:val="314364"/>
      <w:spacing w:val="15"/>
      <w:sz w:val="28"/>
    </w:rPr>
  </w:style>
  <w:style w:type="paragraph" w:customStyle="1" w:styleId="Zhrnutie">
    <w:name w:val="Zhrnutie"/>
    <w:basedOn w:val="Normlny"/>
    <w:qFormat/>
    <w:rsid w:val="001778A6"/>
    <w:pPr>
      <w:spacing w:before="120"/>
      <w:jc w:val="left"/>
    </w:pPr>
    <w:rPr>
      <w:b/>
      <w:color w:val="314364"/>
      <w:sz w:val="32"/>
    </w:rPr>
  </w:style>
  <w:style w:type="paragraph" w:styleId="Odsekzoznamu">
    <w:name w:val="List Paragraph"/>
    <w:aliases w:val="body,Odsek zoznamu2,Odsek,Odsek zoznamu1,Dot pt,No Spacing1,List Paragraph Char Char Char,Indicator Text,Numbered Para 1,List Paragraph à moi,Odsek zoznamu4,LISTA,Listaszerű bekezdés2,Listaszerű bekezdés3,Listaszerű bekezdés1,Bullet 1,3"/>
    <w:basedOn w:val="Normlny"/>
    <w:link w:val="OdsekzoznamuChar"/>
    <w:uiPriority w:val="34"/>
    <w:qFormat/>
    <w:rsid w:val="0015153D"/>
    <w:pPr>
      <w:ind w:left="720"/>
      <w:contextualSpacing/>
    </w:pPr>
  </w:style>
  <w:style w:type="paragraph" w:customStyle="1" w:styleId="Poakovanie">
    <w:name w:val="Poďakovanie"/>
    <w:basedOn w:val="Normlny"/>
    <w:qFormat/>
    <w:rsid w:val="00BD3507"/>
    <w:pPr>
      <w:spacing w:before="120"/>
      <w:jc w:val="left"/>
    </w:pPr>
    <w:rPr>
      <w:color w:val="314364"/>
      <w:sz w:val="28"/>
    </w:rPr>
  </w:style>
  <w:style w:type="character" w:styleId="Hypertextovprepojenie">
    <w:name w:val="Hyperlink"/>
    <w:basedOn w:val="Predvolenpsmoodseku"/>
    <w:uiPriority w:val="99"/>
    <w:unhideWhenUsed/>
    <w:rsid w:val="00C824C8"/>
    <w:rPr>
      <w:rFonts w:ascii="Segoe UI" w:hAnsi="Segoe UI"/>
      <w:color w:val="314364" w:themeColor="hyperlink"/>
      <w:sz w:val="20"/>
      <w:u w:val="single"/>
    </w:rPr>
  </w:style>
  <w:style w:type="paragraph" w:styleId="Textpoznmkypodiarou">
    <w:name w:val="footnote text"/>
    <w:aliases w:val="Footnote Text Char2,Footnote Text Char1 Char,Footnote Text Char2 Char Char,Footnote Text Char1 Char Char Char,Footnote Text Char2 Char Char Char Char,Footnote Text Char Char1 Char Char Char Char,Footnote Text Char1,f,Plonk"/>
    <w:basedOn w:val="Normlny"/>
    <w:link w:val="TextpoznmkypodiarouChar"/>
    <w:uiPriority w:val="99"/>
    <w:qFormat/>
    <w:rsid w:val="00110271"/>
    <w:pPr>
      <w:spacing w:after="0" w:line="240" w:lineRule="auto"/>
    </w:pPr>
    <w:rPr>
      <w:sz w:val="16"/>
      <w:szCs w:val="20"/>
    </w:rPr>
  </w:style>
  <w:style w:type="character" w:customStyle="1" w:styleId="TextpoznmkypodiarouChar">
    <w:name w:val="Text poznámky pod čiarou Char"/>
    <w:aliases w:val="Footnote Text Char2 Char,Footnote Text Char1 Char Char,Footnote Text Char2 Char Char Char,Footnote Text Char1 Char Char Char Char,Footnote Text Char2 Char Char Char Char Char,Footnote Text Char1 Char1,f Char,Plonk Char"/>
    <w:basedOn w:val="Predvolenpsmoodseku"/>
    <w:link w:val="Textpoznmkypodiarou"/>
    <w:uiPriority w:val="99"/>
    <w:qFormat/>
    <w:rsid w:val="008148FD"/>
    <w:rPr>
      <w:rFonts w:ascii="Segoe UI" w:hAnsi="Segoe UI"/>
      <w:sz w:val="16"/>
      <w:szCs w:val="20"/>
    </w:rPr>
  </w:style>
  <w:style w:type="character" w:styleId="Odkaznapoznmkupodiarou">
    <w:name w:val="footnote reference"/>
    <w:aliases w:val="16 Point,Superscript 6 Point,Footnote Reference Number,Footnote Reference_LVL6,Footnote Reference_LVL61,Footnote Reference_LVL62,Footnote Reference_LVL63,Footnote Reference_LVL64,Footnote call,BVI fnr,SUPERS,Footnote symbol"/>
    <w:basedOn w:val="Predvolenpsmoodseku"/>
    <w:link w:val="Char2"/>
    <w:uiPriority w:val="99"/>
    <w:unhideWhenUsed/>
    <w:qFormat/>
    <w:rsid w:val="002407D6"/>
    <w:rPr>
      <w:vertAlign w:val="superscript"/>
    </w:rPr>
  </w:style>
  <w:style w:type="paragraph" w:customStyle="1" w:styleId="vodZverZhrnutie">
    <w:name w:val="Úvod/Záver/Zhrnutie"/>
    <w:basedOn w:val="Nadpis1"/>
    <w:next w:val="Textpoznmkypodiarou"/>
    <w:rsid w:val="00277C8B"/>
    <w:pPr>
      <w:numPr>
        <w:numId w:val="0"/>
      </w:numPr>
    </w:pPr>
  </w:style>
  <w:style w:type="paragraph" w:customStyle="1" w:styleId="Zdroj">
    <w:name w:val="Zdroj"/>
    <w:basedOn w:val="Normlny"/>
    <w:qFormat/>
    <w:rsid w:val="00C71065"/>
    <w:pPr>
      <w:spacing w:line="240" w:lineRule="auto"/>
      <w:jc w:val="left"/>
    </w:pPr>
    <w:rPr>
      <w:i/>
      <w:color w:val="314364" w:themeColor="text2"/>
      <w:sz w:val="16"/>
    </w:rPr>
  </w:style>
  <w:style w:type="paragraph" w:styleId="Popis">
    <w:name w:val="caption"/>
    <w:basedOn w:val="Normlny"/>
    <w:next w:val="Normlny"/>
    <w:uiPriority w:val="35"/>
    <w:unhideWhenUsed/>
    <w:qFormat/>
    <w:rsid w:val="002407D6"/>
    <w:pPr>
      <w:spacing w:after="0" w:line="240" w:lineRule="auto"/>
    </w:pPr>
    <w:rPr>
      <w:b/>
      <w:iCs/>
      <w:color w:val="314364" w:themeColor="text2"/>
      <w:szCs w:val="18"/>
    </w:rPr>
  </w:style>
  <w:style w:type="table" w:styleId="Mriekatabuky">
    <w:name w:val="Table Grid"/>
    <w:basedOn w:val="Normlnatabuka"/>
    <w:uiPriority w:val="39"/>
    <w:rsid w:val="00664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link w:val="BezriadkovaniaChar"/>
    <w:uiPriority w:val="1"/>
    <w:qFormat/>
    <w:rsid w:val="00664B90"/>
    <w:pPr>
      <w:spacing w:after="0" w:line="240" w:lineRule="auto"/>
    </w:pPr>
    <w:rPr>
      <w:rFonts w:asciiTheme="minorHAnsi" w:eastAsiaTheme="minorEastAsia" w:hAnsiTheme="minorHAnsi"/>
      <w:lang w:eastAsia="sk-SK"/>
    </w:rPr>
  </w:style>
  <w:style w:type="character" w:customStyle="1" w:styleId="BezriadkovaniaChar">
    <w:name w:val="Bez riadkovania Char"/>
    <w:basedOn w:val="Predvolenpsmoodseku"/>
    <w:link w:val="Bezriadkovania"/>
    <w:uiPriority w:val="1"/>
    <w:locked/>
    <w:rsid w:val="00664B90"/>
    <w:rPr>
      <w:rFonts w:asciiTheme="minorHAnsi" w:eastAsiaTheme="minorEastAsia" w:hAnsiTheme="minorHAnsi"/>
      <w:lang w:eastAsia="sk-SK"/>
    </w:rPr>
  </w:style>
  <w:style w:type="paragraph" w:customStyle="1" w:styleId="Pouitliteratra">
    <w:name w:val="Použitá literatúra"/>
    <w:basedOn w:val="Odsekzoznamu"/>
    <w:qFormat/>
    <w:rsid w:val="0070595E"/>
    <w:pPr>
      <w:numPr>
        <w:numId w:val="1"/>
      </w:numPr>
      <w:ind w:left="357" w:hanging="357"/>
    </w:pPr>
  </w:style>
  <w:style w:type="paragraph" w:styleId="Hlavikaobsahu">
    <w:name w:val="TOC Heading"/>
    <w:basedOn w:val="Nadpis1"/>
    <w:next w:val="Normlny"/>
    <w:uiPriority w:val="39"/>
    <w:unhideWhenUsed/>
    <w:qFormat/>
    <w:rsid w:val="00277C8B"/>
    <w:pPr>
      <w:numPr>
        <w:numId w:val="0"/>
      </w:numPr>
      <w:spacing w:before="240" w:after="0" w:line="259" w:lineRule="auto"/>
      <w:jc w:val="left"/>
      <w:outlineLvl w:val="9"/>
    </w:pPr>
    <w:rPr>
      <w:b w:val="0"/>
      <w:position w:val="0"/>
      <w:lang w:eastAsia="sk-SK"/>
    </w:rPr>
  </w:style>
  <w:style w:type="paragraph" w:styleId="Obsah1">
    <w:name w:val="toc 1"/>
    <w:basedOn w:val="Normlny"/>
    <w:next w:val="Normlny"/>
    <w:autoRedefine/>
    <w:uiPriority w:val="39"/>
    <w:unhideWhenUsed/>
    <w:rsid w:val="006C125B"/>
    <w:pPr>
      <w:tabs>
        <w:tab w:val="left" w:pos="400"/>
        <w:tab w:val="right" w:leader="dot" w:pos="9060"/>
      </w:tabs>
      <w:spacing w:before="120"/>
      <w:jc w:val="left"/>
    </w:pPr>
    <w:rPr>
      <w:rFonts w:asciiTheme="minorHAnsi" w:hAnsiTheme="minorHAnsi" w:cstheme="minorHAnsi"/>
      <w:b/>
      <w:bCs/>
      <w:caps/>
      <w:noProof/>
      <w:color w:val="314364" w:themeColor="text2"/>
      <w:szCs w:val="20"/>
    </w:rPr>
  </w:style>
  <w:style w:type="paragraph" w:styleId="Obsah2">
    <w:name w:val="toc 2"/>
    <w:basedOn w:val="Normlny"/>
    <w:next w:val="Normlny"/>
    <w:autoRedefine/>
    <w:uiPriority w:val="39"/>
    <w:unhideWhenUsed/>
    <w:rsid w:val="00004033"/>
    <w:pPr>
      <w:spacing w:after="0"/>
      <w:ind w:left="200"/>
      <w:jc w:val="left"/>
    </w:pPr>
    <w:rPr>
      <w:rFonts w:asciiTheme="minorHAnsi" w:hAnsiTheme="minorHAnsi" w:cstheme="minorHAnsi"/>
      <w:smallCaps/>
      <w:szCs w:val="20"/>
    </w:rPr>
  </w:style>
  <w:style w:type="paragraph" w:styleId="Obsah3">
    <w:name w:val="toc 3"/>
    <w:basedOn w:val="Normlny"/>
    <w:next w:val="Normlny"/>
    <w:autoRedefine/>
    <w:uiPriority w:val="39"/>
    <w:unhideWhenUsed/>
    <w:rsid w:val="00004033"/>
    <w:pPr>
      <w:spacing w:after="0"/>
      <w:ind w:left="400"/>
      <w:jc w:val="left"/>
    </w:pPr>
    <w:rPr>
      <w:rFonts w:asciiTheme="minorHAnsi" w:hAnsiTheme="minorHAnsi" w:cstheme="minorHAnsi"/>
      <w:i/>
      <w:iCs/>
      <w:szCs w:val="20"/>
    </w:rPr>
  </w:style>
  <w:style w:type="character" w:customStyle="1" w:styleId="Nadpis3Char">
    <w:name w:val="Nadpis 3 Char"/>
    <w:basedOn w:val="Predvolenpsmoodseku"/>
    <w:link w:val="Nadpis3"/>
    <w:uiPriority w:val="9"/>
    <w:rsid w:val="00BA10B2"/>
    <w:rPr>
      <w:rFonts w:ascii="Segoe UI" w:eastAsiaTheme="majorEastAsia" w:hAnsi="Segoe UI" w:cstheme="majorBidi"/>
      <w:color w:val="314364"/>
      <w:sz w:val="24"/>
      <w:szCs w:val="24"/>
    </w:rPr>
  </w:style>
  <w:style w:type="paragraph" w:styleId="Textbubliny">
    <w:name w:val="Balloon Text"/>
    <w:basedOn w:val="Normlny"/>
    <w:link w:val="TextbublinyChar"/>
    <w:uiPriority w:val="99"/>
    <w:semiHidden/>
    <w:unhideWhenUsed/>
    <w:rsid w:val="00442CE6"/>
    <w:pPr>
      <w:spacing w:after="0" w:line="240" w:lineRule="auto"/>
    </w:pPr>
    <w:rPr>
      <w:rFonts w:cs="Segoe UI"/>
      <w:sz w:val="18"/>
      <w:szCs w:val="18"/>
    </w:rPr>
  </w:style>
  <w:style w:type="character" w:customStyle="1" w:styleId="TextbublinyChar">
    <w:name w:val="Text bubliny Char"/>
    <w:basedOn w:val="Predvolenpsmoodseku"/>
    <w:link w:val="Textbubliny"/>
    <w:uiPriority w:val="99"/>
    <w:semiHidden/>
    <w:rsid w:val="00442CE6"/>
    <w:rPr>
      <w:rFonts w:ascii="Segoe UI" w:hAnsi="Segoe UI" w:cs="Segoe UI"/>
      <w:sz w:val="18"/>
      <w:szCs w:val="18"/>
    </w:rPr>
  </w:style>
  <w:style w:type="character" w:styleId="Odkaznakomentr">
    <w:name w:val="annotation reference"/>
    <w:basedOn w:val="Predvolenpsmoodseku"/>
    <w:uiPriority w:val="99"/>
    <w:semiHidden/>
    <w:unhideWhenUsed/>
    <w:rsid w:val="003733BE"/>
    <w:rPr>
      <w:sz w:val="16"/>
      <w:szCs w:val="16"/>
    </w:rPr>
  </w:style>
  <w:style w:type="paragraph" w:styleId="Textkomentra">
    <w:name w:val="annotation text"/>
    <w:basedOn w:val="Normlny"/>
    <w:link w:val="TextkomentraChar"/>
    <w:uiPriority w:val="99"/>
    <w:semiHidden/>
    <w:unhideWhenUsed/>
    <w:rsid w:val="003733BE"/>
    <w:pPr>
      <w:spacing w:line="240" w:lineRule="auto"/>
    </w:pPr>
    <w:rPr>
      <w:szCs w:val="20"/>
    </w:rPr>
  </w:style>
  <w:style w:type="character" w:customStyle="1" w:styleId="TextkomentraChar">
    <w:name w:val="Text komentára Char"/>
    <w:basedOn w:val="Predvolenpsmoodseku"/>
    <w:link w:val="Textkomentra"/>
    <w:uiPriority w:val="99"/>
    <w:semiHidden/>
    <w:rsid w:val="003733BE"/>
    <w:rPr>
      <w:rFonts w:ascii="Segoe UI" w:hAnsi="Segoe UI"/>
      <w:sz w:val="20"/>
      <w:szCs w:val="20"/>
    </w:rPr>
  </w:style>
  <w:style w:type="paragraph" w:styleId="Predmetkomentra">
    <w:name w:val="annotation subject"/>
    <w:basedOn w:val="Textkomentra"/>
    <w:next w:val="Textkomentra"/>
    <w:link w:val="PredmetkomentraChar"/>
    <w:uiPriority w:val="99"/>
    <w:semiHidden/>
    <w:unhideWhenUsed/>
    <w:rsid w:val="002D4645"/>
    <w:rPr>
      <w:b/>
      <w:bCs/>
    </w:rPr>
  </w:style>
  <w:style w:type="character" w:customStyle="1" w:styleId="PredmetkomentraChar">
    <w:name w:val="Predmet komentára Char"/>
    <w:basedOn w:val="TextkomentraChar"/>
    <w:link w:val="Predmetkomentra"/>
    <w:uiPriority w:val="99"/>
    <w:semiHidden/>
    <w:rsid w:val="002D4645"/>
    <w:rPr>
      <w:rFonts w:ascii="Segoe UI" w:hAnsi="Segoe UI"/>
      <w:b/>
      <w:bCs/>
      <w:sz w:val="20"/>
      <w:szCs w:val="20"/>
    </w:rPr>
  </w:style>
  <w:style w:type="character" w:customStyle="1" w:styleId="In">
    <w:name w:val="Iné_"/>
    <w:basedOn w:val="Predvolenpsmoodseku"/>
    <w:link w:val="In0"/>
    <w:rsid w:val="0070456C"/>
    <w:rPr>
      <w:rFonts w:ascii="Times New Roman" w:eastAsia="Times New Roman" w:hAnsi="Times New Roman" w:cs="Times New Roman"/>
      <w:shd w:val="clear" w:color="auto" w:fill="FFFFFF"/>
    </w:rPr>
  </w:style>
  <w:style w:type="paragraph" w:customStyle="1" w:styleId="In0">
    <w:name w:val="Iné"/>
    <w:basedOn w:val="Normlny"/>
    <w:link w:val="In"/>
    <w:rsid w:val="0070456C"/>
    <w:pPr>
      <w:widowControl w:val="0"/>
      <w:shd w:val="clear" w:color="auto" w:fill="FFFFFF"/>
      <w:spacing w:after="260" w:line="240" w:lineRule="auto"/>
    </w:pPr>
    <w:rPr>
      <w:rFonts w:ascii="Times New Roman" w:eastAsia="Times New Roman" w:hAnsi="Times New Roman" w:cs="Times New Roman"/>
      <w:sz w:val="22"/>
    </w:rPr>
  </w:style>
  <w:style w:type="table" w:customStyle="1" w:styleId="Mriekatabuky1">
    <w:name w:val="Mriežka tabuľky1"/>
    <w:basedOn w:val="Normlnatabuka"/>
    <w:next w:val="Mriekatabuky"/>
    <w:uiPriority w:val="59"/>
    <w:rsid w:val="00422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Normlnatabuka"/>
    <w:next w:val="Mriekatabuky"/>
    <w:uiPriority w:val="59"/>
    <w:rsid w:val="00422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Normlnatabuka"/>
    <w:next w:val="Mriekatabuky"/>
    <w:uiPriority w:val="39"/>
    <w:rsid w:val="00422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Normlnatabuka"/>
    <w:next w:val="Mriekatabuky"/>
    <w:uiPriority w:val="59"/>
    <w:rsid w:val="00422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
    <w:name w:val="Základný text_"/>
    <w:basedOn w:val="Predvolenpsmoodseku"/>
    <w:link w:val="Zkladntext1"/>
    <w:rsid w:val="00422249"/>
    <w:rPr>
      <w:rFonts w:ascii="Times New Roman" w:eastAsia="Times New Roman" w:hAnsi="Times New Roman" w:cs="Times New Roman"/>
      <w:shd w:val="clear" w:color="auto" w:fill="FFFFFF"/>
    </w:rPr>
  </w:style>
  <w:style w:type="paragraph" w:customStyle="1" w:styleId="Zkladntext1">
    <w:name w:val="Základný text1"/>
    <w:basedOn w:val="Normlny"/>
    <w:link w:val="Zkladntext"/>
    <w:rsid w:val="00422249"/>
    <w:pPr>
      <w:widowControl w:val="0"/>
      <w:shd w:val="clear" w:color="auto" w:fill="FFFFFF"/>
      <w:spacing w:after="260" w:line="240" w:lineRule="auto"/>
    </w:pPr>
    <w:rPr>
      <w:rFonts w:ascii="Times New Roman" w:eastAsia="Times New Roman" w:hAnsi="Times New Roman" w:cs="Times New Roman"/>
      <w:sz w:val="22"/>
    </w:rPr>
  </w:style>
  <w:style w:type="character" w:customStyle="1" w:styleId="OdsekzoznamuChar">
    <w:name w:val="Odsek zoznamu Char"/>
    <w:aliases w:val="body Char,Odsek zoznamu2 Char,Odsek Char,Odsek zoznamu1 Char,Dot pt Char,No Spacing1 Char,List Paragraph Char Char Char Char,Indicator Text Char,Numbered Para 1 Char,List Paragraph à moi Char,Odsek zoznamu4 Char,LISTA Char,3 Char"/>
    <w:basedOn w:val="Predvolenpsmoodseku"/>
    <w:link w:val="Odsekzoznamu"/>
    <w:uiPriority w:val="34"/>
    <w:qFormat/>
    <w:locked/>
    <w:rsid w:val="00571A80"/>
    <w:rPr>
      <w:rFonts w:ascii="Segoe UI" w:hAnsi="Segoe UI"/>
      <w:sz w:val="20"/>
    </w:rPr>
  </w:style>
  <w:style w:type="paragraph" w:customStyle="1" w:styleId="2stlpce">
    <w:name w:val="2 stlpce"/>
    <w:basedOn w:val="Normlny"/>
    <w:link w:val="2stlpceChar"/>
    <w:qFormat/>
    <w:rsid w:val="00A33FD6"/>
    <w:pPr>
      <w:spacing w:line="240" w:lineRule="auto"/>
    </w:pPr>
    <w:rPr>
      <w:rFonts w:ascii="Calibri" w:hAnsi="Calibri"/>
      <w:sz w:val="22"/>
    </w:rPr>
  </w:style>
  <w:style w:type="character" w:customStyle="1" w:styleId="2stlpceChar">
    <w:name w:val="2 stlpce Char"/>
    <w:basedOn w:val="Predvolenpsmoodseku"/>
    <w:link w:val="2stlpce"/>
    <w:rsid w:val="00A33FD6"/>
    <w:rPr>
      <w:rFonts w:ascii="Calibri" w:hAnsi="Calibri"/>
    </w:rPr>
  </w:style>
  <w:style w:type="character" w:styleId="PouitHypertextovPrepojenie">
    <w:name w:val="FollowedHyperlink"/>
    <w:basedOn w:val="Predvolenpsmoodseku"/>
    <w:uiPriority w:val="99"/>
    <w:semiHidden/>
    <w:unhideWhenUsed/>
    <w:rsid w:val="00582A6C"/>
    <w:rPr>
      <w:color w:val="314364" w:themeColor="followedHyperlink"/>
      <w:u w:val="single"/>
    </w:rPr>
  </w:style>
  <w:style w:type="paragraph" w:customStyle="1" w:styleId="Default">
    <w:name w:val="Default"/>
    <w:rsid w:val="00DC0C8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adpis4Char">
    <w:name w:val="Nadpis 4 Char"/>
    <w:basedOn w:val="Predvolenpsmoodseku"/>
    <w:link w:val="Nadpis4"/>
    <w:uiPriority w:val="9"/>
    <w:rsid w:val="002A599C"/>
    <w:rPr>
      <w:rFonts w:asciiTheme="majorHAnsi" w:eastAsiaTheme="majorEastAsia" w:hAnsiTheme="majorHAnsi" w:cstheme="majorBidi"/>
      <w:i/>
      <w:iCs/>
      <w:color w:val="24324A" w:themeColor="accent1" w:themeShade="BF"/>
      <w:sz w:val="20"/>
    </w:rPr>
  </w:style>
  <w:style w:type="character" w:customStyle="1" w:styleId="Nadpis5Char">
    <w:name w:val="Nadpis 5 Char"/>
    <w:basedOn w:val="Predvolenpsmoodseku"/>
    <w:link w:val="Nadpis5"/>
    <w:uiPriority w:val="9"/>
    <w:rsid w:val="00AC6430"/>
    <w:rPr>
      <w:rFonts w:asciiTheme="majorHAnsi" w:eastAsiaTheme="majorEastAsia" w:hAnsiTheme="majorHAnsi" w:cstheme="majorBidi"/>
      <w:color w:val="24324A" w:themeColor="accent1" w:themeShade="BF"/>
      <w:sz w:val="20"/>
    </w:rPr>
  </w:style>
  <w:style w:type="character" w:styleId="Zvraznenie">
    <w:name w:val="Emphasis"/>
    <w:basedOn w:val="Predvolenpsmoodseku"/>
    <w:uiPriority w:val="20"/>
    <w:qFormat/>
    <w:rsid w:val="00AC6430"/>
    <w:rPr>
      <w:i/>
      <w:iCs/>
    </w:rPr>
  </w:style>
  <w:style w:type="character" w:styleId="Siln">
    <w:name w:val="Strong"/>
    <w:basedOn w:val="Predvolenpsmoodseku"/>
    <w:uiPriority w:val="22"/>
    <w:qFormat/>
    <w:rsid w:val="00AC6430"/>
    <w:rPr>
      <w:b/>
      <w:bCs/>
    </w:rPr>
  </w:style>
  <w:style w:type="character" w:styleId="Nzovknihy">
    <w:name w:val="Book Title"/>
    <w:basedOn w:val="Predvolenpsmoodseku"/>
    <w:uiPriority w:val="33"/>
    <w:qFormat/>
    <w:rsid w:val="00AC6430"/>
    <w:rPr>
      <w:b/>
      <w:bCs/>
      <w:i/>
      <w:iCs/>
      <w:spacing w:val="5"/>
    </w:rPr>
  </w:style>
  <w:style w:type="table" w:customStyle="1" w:styleId="Mriekatabuky5">
    <w:name w:val="Mriežka tabuľky5"/>
    <w:basedOn w:val="Normlnatabuka"/>
    <w:next w:val="Mriekatabuky"/>
    <w:uiPriority w:val="39"/>
    <w:rsid w:val="004275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Predvolenpsmoodseku"/>
    <w:rsid w:val="005F0F5B"/>
  </w:style>
  <w:style w:type="paragraph" w:styleId="Obsah4">
    <w:name w:val="toc 4"/>
    <w:basedOn w:val="Normlny"/>
    <w:next w:val="Normlny"/>
    <w:autoRedefine/>
    <w:uiPriority w:val="39"/>
    <w:unhideWhenUsed/>
    <w:rsid w:val="006C125B"/>
    <w:pPr>
      <w:spacing w:after="0"/>
      <w:ind w:left="600"/>
      <w:jc w:val="left"/>
    </w:pPr>
    <w:rPr>
      <w:rFonts w:asciiTheme="minorHAnsi" w:hAnsiTheme="minorHAnsi" w:cstheme="minorHAnsi"/>
      <w:sz w:val="18"/>
      <w:szCs w:val="18"/>
    </w:rPr>
  </w:style>
  <w:style w:type="paragraph" w:styleId="Obsah5">
    <w:name w:val="toc 5"/>
    <w:basedOn w:val="Normlny"/>
    <w:next w:val="Normlny"/>
    <w:autoRedefine/>
    <w:uiPriority w:val="39"/>
    <w:unhideWhenUsed/>
    <w:rsid w:val="006C125B"/>
    <w:pPr>
      <w:spacing w:after="0"/>
      <w:ind w:left="800"/>
      <w:jc w:val="left"/>
    </w:pPr>
    <w:rPr>
      <w:rFonts w:asciiTheme="minorHAnsi" w:hAnsiTheme="minorHAnsi" w:cstheme="minorHAnsi"/>
      <w:sz w:val="18"/>
      <w:szCs w:val="18"/>
    </w:rPr>
  </w:style>
  <w:style w:type="paragraph" w:styleId="Obsah6">
    <w:name w:val="toc 6"/>
    <w:basedOn w:val="Normlny"/>
    <w:next w:val="Normlny"/>
    <w:autoRedefine/>
    <w:uiPriority w:val="39"/>
    <w:unhideWhenUsed/>
    <w:rsid w:val="006C125B"/>
    <w:pPr>
      <w:spacing w:after="0"/>
      <w:ind w:left="1000"/>
      <w:jc w:val="left"/>
    </w:pPr>
    <w:rPr>
      <w:rFonts w:asciiTheme="minorHAnsi" w:hAnsiTheme="minorHAnsi" w:cstheme="minorHAnsi"/>
      <w:sz w:val="18"/>
      <w:szCs w:val="18"/>
    </w:rPr>
  </w:style>
  <w:style w:type="paragraph" w:styleId="Obsah7">
    <w:name w:val="toc 7"/>
    <w:basedOn w:val="Normlny"/>
    <w:next w:val="Normlny"/>
    <w:autoRedefine/>
    <w:uiPriority w:val="39"/>
    <w:unhideWhenUsed/>
    <w:rsid w:val="006C125B"/>
    <w:pPr>
      <w:spacing w:after="0"/>
      <w:ind w:left="1200"/>
      <w:jc w:val="left"/>
    </w:pPr>
    <w:rPr>
      <w:rFonts w:asciiTheme="minorHAnsi" w:hAnsiTheme="minorHAnsi" w:cstheme="minorHAnsi"/>
      <w:sz w:val="18"/>
      <w:szCs w:val="18"/>
    </w:rPr>
  </w:style>
  <w:style w:type="paragraph" w:styleId="Obsah8">
    <w:name w:val="toc 8"/>
    <w:basedOn w:val="Normlny"/>
    <w:next w:val="Normlny"/>
    <w:autoRedefine/>
    <w:uiPriority w:val="39"/>
    <w:unhideWhenUsed/>
    <w:rsid w:val="006C125B"/>
    <w:pPr>
      <w:spacing w:after="0"/>
      <w:ind w:left="1400"/>
      <w:jc w:val="left"/>
    </w:pPr>
    <w:rPr>
      <w:rFonts w:asciiTheme="minorHAnsi" w:hAnsiTheme="minorHAnsi" w:cstheme="minorHAnsi"/>
      <w:sz w:val="18"/>
      <w:szCs w:val="18"/>
    </w:rPr>
  </w:style>
  <w:style w:type="paragraph" w:styleId="Obsah9">
    <w:name w:val="toc 9"/>
    <w:basedOn w:val="Normlny"/>
    <w:next w:val="Normlny"/>
    <w:autoRedefine/>
    <w:uiPriority w:val="39"/>
    <w:unhideWhenUsed/>
    <w:rsid w:val="006C125B"/>
    <w:pPr>
      <w:spacing w:after="0"/>
      <w:ind w:left="1600"/>
      <w:jc w:val="left"/>
    </w:pPr>
    <w:rPr>
      <w:rFonts w:asciiTheme="minorHAnsi" w:hAnsiTheme="minorHAnsi" w:cstheme="minorHAnsi"/>
      <w:sz w:val="18"/>
      <w:szCs w:val="18"/>
    </w:rPr>
  </w:style>
  <w:style w:type="table" w:customStyle="1" w:styleId="Mriekatabuky6">
    <w:name w:val="Mriežka tabuľky6"/>
    <w:basedOn w:val="Normlnatabuka"/>
    <w:next w:val="Mriekatabuky"/>
    <w:uiPriority w:val="39"/>
    <w:rsid w:val="00CE7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2"/>
    <w:basedOn w:val="Normlny"/>
    <w:link w:val="Odkaznapoznmkupodiarou"/>
    <w:uiPriority w:val="99"/>
    <w:rsid w:val="00D36B99"/>
    <w:pPr>
      <w:spacing w:after="0" w:line="240" w:lineRule="exact"/>
      <w:jc w:val="left"/>
    </w:pPr>
    <w:rPr>
      <w:rFonts w:ascii="Arial Narrow" w:hAnsi="Arial Narrow"/>
      <w:sz w:val="22"/>
      <w:vertAlign w:val="superscript"/>
    </w:rPr>
  </w:style>
  <w:style w:type="paragraph" w:styleId="Zkladntext0">
    <w:name w:val="Body Text"/>
    <w:basedOn w:val="Normlny"/>
    <w:link w:val="ZkladntextChar"/>
    <w:uiPriority w:val="99"/>
    <w:rsid w:val="002858A0"/>
    <w:pPr>
      <w:spacing w:line="240" w:lineRule="auto"/>
      <w:jc w:val="left"/>
    </w:pPr>
    <w:rPr>
      <w:rFonts w:ascii="Times New Roman" w:eastAsia="Times New Roman" w:hAnsi="Times New Roman" w:cs="Times New Roman"/>
      <w:szCs w:val="20"/>
      <w:lang w:eastAsia="cs-CZ"/>
    </w:rPr>
  </w:style>
  <w:style w:type="character" w:customStyle="1" w:styleId="ZkladntextChar">
    <w:name w:val="Základný text Char"/>
    <w:basedOn w:val="Predvolenpsmoodseku"/>
    <w:link w:val="Zkladntext0"/>
    <w:uiPriority w:val="99"/>
    <w:rsid w:val="002858A0"/>
    <w:rPr>
      <w:rFonts w:ascii="Times New Roman" w:eastAsia="Times New Roman" w:hAnsi="Times New Roman" w:cs="Times New Roman"/>
      <w:sz w:val="20"/>
      <w:szCs w:val="20"/>
      <w:lang w:eastAsia="cs-CZ"/>
    </w:rPr>
  </w:style>
  <w:style w:type="paragraph" w:styleId="Normlnywebov">
    <w:name w:val="Normal (Web)"/>
    <w:basedOn w:val="Normlny"/>
    <w:uiPriority w:val="99"/>
    <w:unhideWhenUsed/>
    <w:rsid w:val="00D6774D"/>
    <w:pPr>
      <w:spacing w:before="100" w:beforeAutospacing="1" w:after="100" w:afterAutospacing="1" w:line="240" w:lineRule="auto"/>
      <w:jc w:val="left"/>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07033">
      <w:bodyDiv w:val="1"/>
      <w:marLeft w:val="0"/>
      <w:marRight w:val="0"/>
      <w:marTop w:val="0"/>
      <w:marBottom w:val="0"/>
      <w:divBdr>
        <w:top w:val="none" w:sz="0" w:space="0" w:color="auto"/>
        <w:left w:val="none" w:sz="0" w:space="0" w:color="auto"/>
        <w:bottom w:val="none" w:sz="0" w:space="0" w:color="auto"/>
        <w:right w:val="none" w:sz="0" w:space="0" w:color="auto"/>
      </w:divBdr>
    </w:div>
    <w:div w:id="901328519">
      <w:bodyDiv w:val="1"/>
      <w:marLeft w:val="0"/>
      <w:marRight w:val="0"/>
      <w:marTop w:val="0"/>
      <w:marBottom w:val="0"/>
      <w:divBdr>
        <w:top w:val="none" w:sz="0" w:space="0" w:color="auto"/>
        <w:left w:val="none" w:sz="0" w:space="0" w:color="auto"/>
        <w:bottom w:val="none" w:sz="0" w:space="0" w:color="auto"/>
        <w:right w:val="none" w:sz="0" w:space="0" w:color="auto"/>
      </w:divBdr>
    </w:div>
    <w:div w:id="1159155295">
      <w:bodyDiv w:val="1"/>
      <w:marLeft w:val="0"/>
      <w:marRight w:val="0"/>
      <w:marTop w:val="0"/>
      <w:marBottom w:val="0"/>
      <w:divBdr>
        <w:top w:val="none" w:sz="0" w:space="0" w:color="auto"/>
        <w:left w:val="none" w:sz="0" w:space="0" w:color="auto"/>
        <w:bottom w:val="none" w:sz="0" w:space="0" w:color="auto"/>
        <w:right w:val="none" w:sz="0" w:space="0" w:color="auto"/>
      </w:divBdr>
    </w:div>
    <w:div w:id="1626697887">
      <w:bodyDiv w:val="1"/>
      <w:marLeft w:val="0"/>
      <w:marRight w:val="0"/>
      <w:marTop w:val="0"/>
      <w:marBottom w:val="0"/>
      <w:divBdr>
        <w:top w:val="none" w:sz="0" w:space="0" w:color="auto"/>
        <w:left w:val="none" w:sz="0" w:space="0" w:color="auto"/>
        <w:bottom w:val="none" w:sz="0" w:space="0" w:color="auto"/>
        <w:right w:val="none" w:sz="0" w:space="0" w:color="auto"/>
      </w:divBdr>
    </w:div>
    <w:div w:id="165382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theme" Target="theme/theme1.xml"/><Relationship Id="rId21" Type="http://schemas.openxmlformats.org/officeDocument/2006/relationships/chart" Target="charts/chart10.xml"/><Relationship Id="rId34" Type="http://schemas.openxmlformats.org/officeDocument/2006/relationships/chart" Target="charts/chart2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nku.gov.sk/aktuality/-/asset_publisher/9A3u/content/nku-nepreukazalo-sa-ze-nakup-14-stihaciek-f-16-bol-opodstatneny" TargetMode="Externa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chart" Target="charts/chart8.xml"/><Relationship Id="rId31" Type="http://schemas.openxmlformats.org/officeDocument/2006/relationships/chart" Target="charts/chart2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header" Target="header2.xm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rrz.sk/vypocet-indikativneho-limitu-verejnych-vydavkov-na-roky-2024-az-2027/" TargetMode="External"/><Relationship Id="rId13" Type="http://schemas.openxmlformats.org/officeDocument/2006/relationships/hyperlink" Target="https://www.mosr.sk/data/files/4421_ip-mo-sr-v-obdobi-rokov-2022-az-2027-na-internet.pdf" TargetMode="External"/><Relationship Id="rId18" Type="http://schemas.openxmlformats.org/officeDocument/2006/relationships/hyperlink" Target="file:///C:\Users\skoluda\AppData\Local\Microsoft\Windows\INetCache\Content.Outlook\EMS3LHGX\M&#283;s&#237;&#269;n&#237;%20platba%20za%20st&#225;tn&#237;%20poji&#353;t&#283;nce%20p&#345;&#237;&#353;t&#237;%20rok%20stoupne%20z%201900%20na%202085%20korun%20|%20&#268;esk&#233;Noviny.cz%20(ceskenoviny.cz)" TargetMode="External"/><Relationship Id="rId26" Type="http://schemas.openxmlformats.org/officeDocument/2006/relationships/hyperlink" Target="https://www.nku.gov.sk/documents/d/nku/nku_sprava_sanet_edunet" TargetMode="External"/><Relationship Id="rId3" Type="http://schemas.openxmlformats.org/officeDocument/2006/relationships/hyperlink" Target="https://eur-lex.europa.eu/legal-content/sk/TXT/?uri=CELEX%3A62023CN0412" TargetMode="External"/><Relationship Id="rId21" Type="http://schemas.openxmlformats.org/officeDocument/2006/relationships/hyperlink" Target="https://www.nku.gov.sk/documents/10157/164819/Stanovisko+NK%C3%9A+k+n%C3%A1vrhu+%C5%A0Z%C3%9A+za+rok+2022" TargetMode="External"/><Relationship Id="rId7" Type="http://schemas.openxmlformats.org/officeDocument/2006/relationships/hyperlink" Target="https://www.slov-lex.sk/pravne-predpisy/SK/ZZ/2004/523/20230401" TargetMode="External"/><Relationship Id="rId12" Type="http://schemas.openxmlformats.org/officeDocument/2006/relationships/hyperlink" Target="https://www.nku.gov.sk/documents/10157/1460168/Rozpo%C4%8Dtov%C3%A9+hospod%C3%A1renie+SR+za+1.+polrok+2023" TargetMode="External"/><Relationship Id="rId17" Type="http://schemas.openxmlformats.org/officeDocument/2006/relationships/hyperlink" Target="https://www.mfsr.sk/files/archiv/44/Hlavna-kniha.pdf" TargetMode="External"/><Relationship Id="rId25" Type="http://schemas.openxmlformats.org/officeDocument/2006/relationships/hyperlink" Target="https://www.nku.gov.sk/aktuality/-/asset_publisher/9A3u/content/ucitelia-upozornuju-na-nekvalitne-ucebnice-a-zle-nastaveny-system-ich-vyberu-ci-distribucie" TargetMode="External"/><Relationship Id="rId2" Type="http://schemas.openxmlformats.org/officeDocument/2006/relationships/hyperlink" Target="https://rokovania.gov.sk/RVL/Material/29068/1" TargetMode="External"/><Relationship Id="rId16" Type="http://schemas.openxmlformats.org/officeDocument/2006/relationships/hyperlink" Target="file:///D:\SYST%25C3%2589MOV%25C3%2589%20PRIE%25C4%258CINKY\Downloads\Programove%20vyhlasenie%20vlady%20SR.pdf" TargetMode="External"/><Relationship Id="rId20" Type="http://schemas.openxmlformats.org/officeDocument/2006/relationships/hyperlink" Target="https://epale.ec.europa.eu/system/files/2022-06/Akcny-plan-schvaleny-vladou-SR.pdf" TargetMode="External"/><Relationship Id="rId29" Type="http://schemas.openxmlformats.org/officeDocument/2006/relationships/hyperlink" Target="https://www.minzp.sk/files/iep/analyzy/po_nas_potopa_iep.pdf" TargetMode="External"/><Relationship Id="rId1" Type="http://schemas.openxmlformats.org/officeDocument/2006/relationships/hyperlink" Target="https://www.nrsr.sk/web/Dynamic/DocumentPreview.aspx?DocID=535376" TargetMode="External"/><Relationship Id="rId6" Type="http://schemas.openxmlformats.org/officeDocument/2006/relationships/hyperlink" Target="https://www.mfsr.sk/files/sk/financie/institut-financnej-politiky/strategicke-materialy/navrh-rozpoctoveho-planu/dbp_2023_master_final.pdf" TargetMode="External"/><Relationship Id="rId11" Type="http://schemas.openxmlformats.org/officeDocument/2006/relationships/hyperlink" Target="https://www.nku.gov.sk/documents/33855/34216/Stanovisko%20NK%C3%9A%20SR%20k%20N%C3%A1vrhu%20%C5%A1t%C3%A1tneho%20rozpo%C4%8Dtu%20SR%20na%20rok%202023.pdf/3102f78e-c6b6-d2a1-9f12-3d56c8d0cbc3" TargetMode="External"/><Relationship Id="rId24" Type="http://schemas.openxmlformats.org/officeDocument/2006/relationships/hyperlink" Target="https://www.minedu.sk/d-butora-po-zamerani-sa-na-zvysovanie-kapacit-materskych-skol-v-najurgentnejsich-okresoch-moze-odteraz-ziadat-o-prostriedky-z-planu-obnovy-cele-slovensko/" TargetMode="External"/><Relationship Id="rId5" Type="http://schemas.openxmlformats.org/officeDocument/2006/relationships/hyperlink" Target="https://www.mfsr.sk/files/archiv/27/Komentar_reforma_SGP.pdf" TargetMode="External"/><Relationship Id="rId15" Type="http://schemas.openxmlformats.org/officeDocument/2006/relationships/hyperlink" Target="https://www.nrsr.sk/web/Dynamic/DocumentPreview.aspx?DocID=536333" TargetMode="External"/><Relationship Id="rId23" Type="http://schemas.openxmlformats.org/officeDocument/2006/relationships/hyperlink" Target="https://www.minedu.sk/d-butora-po-zamerani-sa-na-zvysovanie-kapacit-materskych-skol-v-najurgentnejsich-okresoch-moze-odteraz-ziadat-o-prostriedky-z-planu-obnovy-cele-slovensko/" TargetMode="External"/><Relationship Id="rId28" Type="http://schemas.openxmlformats.org/officeDocument/2006/relationships/hyperlink" Target="https://ec.europa.eu/commission/presscorner/detail/sk/inf_22_601" TargetMode="External"/><Relationship Id="rId10" Type="http://schemas.openxmlformats.org/officeDocument/2006/relationships/hyperlink" Target="https://www.slov-lex.sk/pravne-predpisy/SK/ZZ/2004/523/20230401" TargetMode="External"/><Relationship Id="rId19" Type="http://schemas.openxmlformats.org/officeDocument/2006/relationships/hyperlink" Target="https://www.slov-lex.sk/pravne-predpisy/prilohy/SK/ZZ/2023/100/20230330_5520400-2.pdf" TargetMode="External"/><Relationship Id="rId31" Type="http://schemas.openxmlformats.org/officeDocument/2006/relationships/hyperlink" Target="https://eur-lex.europa.eu/legal-content/SK/TXT/?uri=CELEX:32023L0959" TargetMode="External"/><Relationship Id="rId4" Type="http://schemas.openxmlformats.org/officeDocument/2006/relationships/hyperlink" Target="https://www.nku.gov.sk/sk/web/nku/-/danove-licencie-mohli-priniest-do-rozpoctu-viac-financii-3" TargetMode="External"/><Relationship Id="rId9" Type="http://schemas.openxmlformats.org/officeDocument/2006/relationships/hyperlink" Target="https://www.slov-lex.sk/pravne-predpisy/SK/ZZ/2004/523/20230401" TargetMode="External"/><Relationship Id="rId14" Type="http://schemas.openxmlformats.org/officeDocument/2006/relationships/hyperlink" Target="https://www.nku.gov.sk/documents/33855/34228/Nakup_F-16_analyza_NKU.pdf/ab5e4c05-7e1a-d1ca-68cf-0fbc1dfa3e09" TargetMode="External"/><Relationship Id="rId22" Type="http://schemas.openxmlformats.org/officeDocument/2006/relationships/hyperlink" Target="https://www.minedu.sk/data/att/27747.pdf" TargetMode="External"/><Relationship Id="rId27" Type="http://schemas.openxmlformats.org/officeDocument/2006/relationships/hyperlink" Target="https://www.nku.gov.sk/documents/d/nku/96959-0-146" TargetMode="External"/><Relationship Id="rId30" Type="http://schemas.openxmlformats.org/officeDocument/2006/relationships/hyperlink" Target="https://www.nku.gov.sk/documents/33855/189570/96864-0-145.pdf/6c587fee-d131-3a12-03de-543a684637d4?t=169802091849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Stanovisk&#225;\Stanovisko%20k%20n&#225;vrhu%20&#352;R%202021\Stanovisko%20OS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SYST&#201;MOV&#201;%20PRIE&#268;INKY\Downloads\STANOVISKO\Stanovisko%20k%20RVS%202024\STANOVISKO_k_n&#225;vrhu_&#352;R_na_rok_20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SYST&#201;MOV&#201;%20PRIE&#268;INKY\Desktop\Stanovisk&#225;\RVS%202024\poistenci%20&#353;t&#225;tu.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SYST&#201;MOV&#201;%20PRIE&#268;INKY\Do&#269;asn&#233;%20internetov&#233;%20s&#250;bory\Content.Outlook\GFV62XGL\grafy%20stanovisko%202024-26.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H_rok_programu_Microsoft_Excel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H_rok_programu_Microsoft_Excel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H_rok_programu_Microsoft_Excel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H_rok_programu_Microsoft_Excel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MOJE%20DOKUMENTY\STANOVISK&#193;\Stanovisko%20&#8211;%20rozpo&#269;et%202024\Mzdy%20PZ\V&#253;voj%20miezd%20PZ%20v%20R&#352;%202022%20&#8211;%202026.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MOJE%20DOKUMENTY\STANOVISK&#193;\Stanovisko%20&#8211;%20rozpo&#269;et%202024\M&#352;\Kapacita%20a%20demografia\kapacita%20a%20ziadosti_n.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MOJE%20DOKUMENTY\STANOVISK&#193;\Stanovisko%20&#8211;%20rozpo&#269;et%202024\M&#352;\Kapacita%20a%20demografia\kapacita%20a%20ziadosti_n.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MOJE%20DOKUMENTY\STANOVISK&#193;\Stanovisko%20&#8211;%20rozpo&#269;et%202024\M&#352;\Demografia\Demografia%20&#8211;%20graf.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SYST&#201;MOV&#201;%20PRIE&#268;INKY\Downloads\STANOVISKO\Stanovisko%20k%20RVS%202024\STANOVISKO_k_n&#225;vrhu_&#352;R_na_rok_202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MOJE%20DOKUMENTY\STANOVISK&#193;\Stanovisko%20&#8211;%20rozpo&#269;et%202024\M&#352;\PPPV\anal&#253;za.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1.xml"/></Relationships>
</file>

<file path=word/charts/_rels/chart21.xml.rels><?xml version="1.0" encoding="UTF-8" standalone="yes"?>
<Relationships xmlns="http://schemas.openxmlformats.org/package/2006/relationships"><Relationship Id="rId3" Type="http://schemas.openxmlformats.org/officeDocument/2006/relationships/oleObject" Target="file:///D:\MOJE%20DOKUMENTY\STANOVISK&#193;\Stanovisko%20&#8211;%20rozpo&#269;et%202024\U&#269;ebnice\U&#269;ebnice_&#352;R_POO.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D:\SYST&#201;MOV&#201;%20PRIE&#268;INKY\Desktop\2%20polrok%202023\Po%20nas%20potopa\graf.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D:\SYST&#201;MOV&#201;%20PRIE&#268;INKY\Desktop\2%20polrok%202023\Po%20nas%20potopa\graf.xlsx" TargetMode="External"/><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oleObject" Target="file:///D:\SYST&#201;MOV&#201;%20PRIE&#268;INKY\Downloads\STANOVISKO\Stanovisko%20k%20RVS%202024\STANOVISKO_k_n&#225;vrhu_&#352;R_na_rok_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_rok_programu_Microsoft_Excel.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_rok_programu_Microsoft_Excel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SYST&#201;MOV&#201;%20PRIE&#268;INKY\Desktop\K&#243;pia%20-%20zamestnanci%202024%20(00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SYST&#201;MOV&#201;%20PRIE&#268;INKY\Desktop\Zdravotn&#237;ctvo\zdravotn&#237;ctvo%20-%20ukazovatel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SYST&#201;MOV&#201;%20PRIE&#268;INKY\Desktop\Zdravotn&#237;ctvo\zdravotn&#237;ctvo%20-%20ukazovatel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SYST&#201;MOV&#201;%20PRIE&#268;INKY\Desktop\Zdravotn&#237;ctvo\zdravotn&#237;ctvo%20-%20ukazovatel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'Graf 1'!$C$2</c:f>
              <c:strCache>
                <c:ptCount val="1"/>
                <c:pt idx="0">
                  <c:v>Prognóza z júna 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1'!$B$3:$B$9</c:f>
              <c:strCache>
                <c:ptCount val="7"/>
                <c:pt idx="0">
                  <c:v>HDP, s. c. </c:v>
                </c:pt>
                <c:pt idx="1">
                  <c:v>Súkromná spotreba, s. c.</c:v>
                </c:pt>
                <c:pt idx="2">
                  <c:v>Vládna spotreba</c:v>
                </c:pt>
                <c:pt idx="3">
                  <c:v>Fixné investície</c:v>
                </c:pt>
                <c:pt idx="4">
                  <c:v>Zamestnanosť</c:v>
                </c:pt>
                <c:pt idx="5">
                  <c:v>Miera nezamestnanosti</c:v>
                </c:pt>
                <c:pt idx="6">
                  <c:v>Spotrebiteľská inflácia (CPI)</c:v>
                </c:pt>
              </c:strCache>
            </c:strRef>
          </c:cat>
          <c:val>
            <c:numRef>
              <c:f>'Graf 1'!$C$3:$C$9</c:f>
              <c:numCache>
                <c:formatCode>0.0</c:formatCode>
                <c:ptCount val="7"/>
                <c:pt idx="0">
                  <c:v>1.3</c:v>
                </c:pt>
                <c:pt idx="1">
                  <c:v>0.9</c:v>
                </c:pt>
                <c:pt idx="2">
                  <c:v>-3.8</c:v>
                </c:pt>
                <c:pt idx="3">
                  <c:v>3.1</c:v>
                </c:pt>
                <c:pt idx="4">
                  <c:v>0.2</c:v>
                </c:pt>
                <c:pt idx="5">
                  <c:v>5.7</c:v>
                </c:pt>
                <c:pt idx="6">
                  <c:v>4.8</c:v>
                </c:pt>
              </c:numCache>
            </c:numRef>
          </c:val>
          <c:extLst>
            <c:ext xmlns:c16="http://schemas.microsoft.com/office/drawing/2014/chart" uri="{C3380CC4-5D6E-409C-BE32-E72D297353CC}">
              <c16:uniqueId val="{00000000-AC4A-40B1-8DFB-F429A5205886}"/>
            </c:ext>
          </c:extLst>
        </c:ser>
        <c:ser>
          <c:idx val="1"/>
          <c:order val="1"/>
          <c:tx>
            <c:strRef>
              <c:f>'Graf 1'!$D$2</c:f>
              <c:strCache>
                <c:ptCount val="1"/>
                <c:pt idx="0">
                  <c:v>Prognóza z decembra 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2"/>
                    </a:solidFill>
                    <a:latin typeface="Segoe UI" panose="020B0502040204020203" pitchFamily="34" charset="0"/>
                    <a:ea typeface="+mn-ea"/>
                    <a:cs typeface="Segoe UI" panose="020B0502040204020203"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1'!$B$3:$B$9</c:f>
              <c:strCache>
                <c:ptCount val="7"/>
                <c:pt idx="0">
                  <c:v>HDP, s. c. </c:v>
                </c:pt>
                <c:pt idx="1">
                  <c:v>Súkromná spotreba, s. c.</c:v>
                </c:pt>
                <c:pt idx="2">
                  <c:v>Vládna spotreba</c:v>
                </c:pt>
                <c:pt idx="3">
                  <c:v>Fixné investície</c:v>
                </c:pt>
                <c:pt idx="4">
                  <c:v>Zamestnanosť</c:v>
                </c:pt>
                <c:pt idx="5">
                  <c:v>Miera nezamestnanosti</c:v>
                </c:pt>
                <c:pt idx="6">
                  <c:v>Spotrebiteľská inflácia (CPI)</c:v>
                </c:pt>
              </c:strCache>
            </c:strRef>
          </c:cat>
          <c:val>
            <c:numRef>
              <c:f>'Graf 1'!$D$3:$D$9</c:f>
              <c:numCache>
                <c:formatCode>0.0</c:formatCode>
                <c:ptCount val="7"/>
                <c:pt idx="0">
                  <c:v>2.7</c:v>
                </c:pt>
                <c:pt idx="1">
                  <c:v>3.3</c:v>
                </c:pt>
                <c:pt idx="2">
                  <c:v>1.3</c:v>
                </c:pt>
                <c:pt idx="3">
                  <c:v>5.0999999999999996</c:v>
                </c:pt>
                <c:pt idx="4">
                  <c:v>0.4</c:v>
                </c:pt>
                <c:pt idx="5">
                  <c:v>5.4</c:v>
                </c:pt>
                <c:pt idx="6">
                  <c:v>3.2</c:v>
                </c:pt>
              </c:numCache>
            </c:numRef>
          </c:val>
          <c:extLst>
            <c:ext xmlns:c16="http://schemas.microsoft.com/office/drawing/2014/chart" uri="{C3380CC4-5D6E-409C-BE32-E72D297353CC}">
              <c16:uniqueId val="{00000001-AC4A-40B1-8DFB-F429A5205886}"/>
            </c:ext>
          </c:extLst>
        </c:ser>
        <c:dLbls>
          <c:showLegendKey val="0"/>
          <c:showVal val="0"/>
          <c:showCatName val="0"/>
          <c:showSerName val="0"/>
          <c:showPercent val="0"/>
          <c:showBubbleSize val="0"/>
        </c:dLbls>
        <c:gapWidth val="100"/>
        <c:axId val="123189072"/>
        <c:axId val="123201968"/>
      </c:barChart>
      <c:catAx>
        <c:axId val="123189072"/>
        <c:scaling>
          <c:orientation val="maxMin"/>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tx2"/>
                  </a:gs>
                </a:gsLst>
                <a:lin ang="10800000" scaled="0"/>
              </a:gra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23201968"/>
        <c:crosses val="autoZero"/>
        <c:auto val="1"/>
        <c:lblAlgn val="ctr"/>
        <c:lblOffset val="100"/>
        <c:noMultiLvlLbl val="0"/>
      </c:catAx>
      <c:valAx>
        <c:axId val="123201968"/>
        <c:scaling>
          <c:orientation val="minMax"/>
          <c:max val="7"/>
        </c:scaling>
        <c:delete val="0"/>
        <c:axPos val="t"/>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2318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komplet!$B$37</c:f>
              <c:strCache>
                <c:ptCount val="1"/>
                <c:pt idx="0">
                  <c:v>platba za poistencov štátu (mil. eur)</c:v>
                </c:pt>
              </c:strCache>
            </c:strRef>
          </c:tx>
          <c:spPr>
            <a:solidFill>
              <a:schemeClr val="accent1"/>
            </a:solidFill>
            <a:ln>
              <a:noFill/>
            </a:ln>
            <a:effectLst/>
          </c:spPr>
          <c:invertIfNegative val="0"/>
          <c:cat>
            <c:strRef>
              <c:f>komplet!$C$36:$K$36</c:f>
              <c:strCache>
                <c:ptCount val="9"/>
                <c:pt idx="0">
                  <c:v>2016</c:v>
                </c:pt>
                <c:pt idx="1">
                  <c:v>2017</c:v>
                </c:pt>
                <c:pt idx="2">
                  <c:v>2018</c:v>
                </c:pt>
                <c:pt idx="3">
                  <c:v>2019</c:v>
                </c:pt>
                <c:pt idx="4">
                  <c:v>2020</c:v>
                </c:pt>
                <c:pt idx="5">
                  <c:v>2021</c:v>
                </c:pt>
                <c:pt idx="6">
                  <c:v>2022</c:v>
                </c:pt>
                <c:pt idx="7">
                  <c:v>2023 *</c:v>
                </c:pt>
                <c:pt idx="8">
                  <c:v>2024 **</c:v>
                </c:pt>
              </c:strCache>
            </c:strRef>
          </c:cat>
          <c:val>
            <c:numRef>
              <c:f>komplet!$C$37:$K$37</c:f>
              <c:numCache>
                <c:formatCode>General</c:formatCode>
                <c:ptCount val="9"/>
                <c:pt idx="0">
                  <c:v>1.3920999999999999</c:v>
                </c:pt>
                <c:pt idx="1">
                  <c:v>1.2992999999999999</c:v>
                </c:pt>
                <c:pt idx="2">
                  <c:v>1.1890000000000001</c:v>
                </c:pt>
                <c:pt idx="3">
                  <c:v>1.2027999999999999</c:v>
                </c:pt>
                <c:pt idx="4">
                  <c:v>1.16703</c:v>
                </c:pt>
                <c:pt idx="5">
                  <c:v>1.2920999999999998</c:v>
                </c:pt>
                <c:pt idx="6">
                  <c:v>1.2889999999999999</c:v>
                </c:pt>
                <c:pt idx="7">
                  <c:v>2.08140032799</c:v>
                </c:pt>
                <c:pt idx="8">
                  <c:v>2.1124800000000001</c:v>
                </c:pt>
              </c:numCache>
            </c:numRef>
          </c:val>
          <c:extLst>
            <c:ext xmlns:c16="http://schemas.microsoft.com/office/drawing/2014/chart" uri="{C3380CC4-5D6E-409C-BE32-E72D297353CC}">
              <c16:uniqueId val="{00000000-0B24-4968-8BF3-320E6679EBA8}"/>
            </c:ext>
          </c:extLst>
        </c:ser>
        <c:ser>
          <c:idx val="1"/>
          <c:order val="1"/>
          <c:tx>
            <c:strRef>
              <c:f>komplet!$B$38</c:f>
              <c:strCache>
                <c:ptCount val="1"/>
                <c:pt idx="0">
                  <c:v>odvody od EA (mil. eur)</c:v>
                </c:pt>
              </c:strCache>
            </c:strRef>
          </c:tx>
          <c:spPr>
            <a:solidFill>
              <a:schemeClr val="accent2"/>
            </a:solidFill>
            <a:ln>
              <a:noFill/>
            </a:ln>
            <a:effectLst/>
          </c:spPr>
          <c:invertIfNegative val="0"/>
          <c:cat>
            <c:strRef>
              <c:f>komplet!$C$36:$K$36</c:f>
              <c:strCache>
                <c:ptCount val="9"/>
                <c:pt idx="0">
                  <c:v>2016</c:v>
                </c:pt>
                <c:pt idx="1">
                  <c:v>2017</c:v>
                </c:pt>
                <c:pt idx="2">
                  <c:v>2018</c:v>
                </c:pt>
                <c:pt idx="3">
                  <c:v>2019</c:v>
                </c:pt>
                <c:pt idx="4">
                  <c:v>2020</c:v>
                </c:pt>
                <c:pt idx="5">
                  <c:v>2021</c:v>
                </c:pt>
                <c:pt idx="6">
                  <c:v>2022</c:v>
                </c:pt>
                <c:pt idx="7">
                  <c:v>2023 *</c:v>
                </c:pt>
                <c:pt idx="8">
                  <c:v>2024 **</c:v>
                </c:pt>
              </c:strCache>
            </c:strRef>
          </c:cat>
          <c:val>
            <c:numRef>
              <c:f>komplet!$C$38:$K$38</c:f>
              <c:numCache>
                <c:formatCode>General</c:formatCode>
                <c:ptCount val="9"/>
                <c:pt idx="0">
                  <c:v>2.9525999999999999</c:v>
                </c:pt>
                <c:pt idx="1">
                  <c:v>3.2920999999999996</c:v>
                </c:pt>
                <c:pt idx="2">
                  <c:v>3.6298999999999997</c:v>
                </c:pt>
                <c:pt idx="3">
                  <c:v>3.9819</c:v>
                </c:pt>
                <c:pt idx="4">
                  <c:v>4.0684890000000005</c:v>
                </c:pt>
                <c:pt idx="5">
                  <c:v>4.3346999999999998</c:v>
                </c:pt>
                <c:pt idx="6">
                  <c:v>4.6886999999999999</c:v>
                </c:pt>
                <c:pt idx="7">
                  <c:v>5.1379700000000001</c:v>
                </c:pt>
                <c:pt idx="8">
                  <c:v>5.9434750000000003</c:v>
                </c:pt>
              </c:numCache>
            </c:numRef>
          </c:val>
          <c:extLst>
            <c:ext xmlns:c16="http://schemas.microsoft.com/office/drawing/2014/chart" uri="{C3380CC4-5D6E-409C-BE32-E72D297353CC}">
              <c16:uniqueId val="{00000001-0B24-4968-8BF3-320E6679EBA8}"/>
            </c:ext>
          </c:extLst>
        </c:ser>
        <c:dLbls>
          <c:showLegendKey val="0"/>
          <c:showVal val="0"/>
          <c:showCatName val="0"/>
          <c:showSerName val="0"/>
          <c:showPercent val="0"/>
          <c:showBubbleSize val="0"/>
        </c:dLbls>
        <c:gapWidth val="219"/>
        <c:overlap val="100"/>
        <c:axId val="1220308976"/>
        <c:axId val="1220294416"/>
      </c:barChart>
      <c:lineChart>
        <c:grouping val="standard"/>
        <c:varyColors val="0"/>
        <c:ser>
          <c:idx val="2"/>
          <c:order val="2"/>
          <c:tx>
            <c:strRef>
              <c:f>komplet!$B$39</c:f>
              <c:strCache>
                <c:ptCount val="1"/>
                <c:pt idx="0">
                  <c:v>podiel EA na všetkých poistencoch (%; pravá os)</c:v>
                </c:pt>
              </c:strCache>
            </c:strRef>
          </c:tx>
          <c:spPr>
            <a:ln w="28575" cap="rnd">
              <a:solidFill>
                <a:schemeClr val="accent3"/>
              </a:solidFill>
              <a:round/>
            </a:ln>
            <a:effectLst/>
          </c:spPr>
          <c:marker>
            <c:symbol val="none"/>
          </c:marker>
          <c:cat>
            <c:strRef>
              <c:f>komplet!$C$36:$K$36</c:f>
              <c:strCache>
                <c:ptCount val="9"/>
                <c:pt idx="0">
                  <c:v>2016</c:v>
                </c:pt>
                <c:pt idx="1">
                  <c:v>2017</c:v>
                </c:pt>
                <c:pt idx="2">
                  <c:v>2018</c:v>
                </c:pt>
                <c:pt idx="3">
                  <c:v>2019</c:v>
                </c:pt>
                <c:pt idx="4">
                  <c:v>2020</c:v>
                </c:pt>
                <c:pt idx="5">
                  <c:v>2021</c:v>
                </c:pt>
                <c:pt idx="6">
                  <c:v>2022</c:v>
                </c:pt>
                <c:pt idx="7">
                  <c:v>2023 *</c:v>
                </c:pt>
                <c:pt idx="8">
                  <c:v>2024 **</c:v>
                </c:pt>
              </c:strCache>
            </c:strRef>
          </c:cat>
          <c:val>
            <c:numRef>
              <c:f>komplet!$C$39:$K$39</c:f>
              <c:numCache>
                <c:formatCode>0.0</c:formatCode>
                <c:ptCount val="9"/>
                <c:pt idx="0">
                  <c:v>41.440682378393163</c:v>
                </c:pt>
                <c:pt idx="1">
                  <c:v>43.056232606583364</c:v>
                </c:pt>
                <c:pt idx="2">
                  <c:v>43.693850641322904</c:v>
                </c:pt>
                <c:pt idx="3">
                  <c:v>43.77864487820132</c:v>
                </c:pt>
                <c:pt idx="4">
                  <c:v>42.716679777327606</c:v>
                </c:pt>
                <c:pt idx="5">
                  <c:v>43.290186378819904</c:v>
                </c:pt>
                <c:pt idx="6">
                  <c:v>44.041696911321324</c:v>
                </c:pt>
                <c:pt idx="7">
                  <c:v>44.624887096715057</c:v>
                </c:pt>
                <c:pt idx="8">
                  <c:v>41.884972538712354</c:v>
                </c:pt>
              </c:numCache>
            </c:numRef>
          </c:val>
          <c:smooth val="0"/>
          <c:extLst>
            <c:ext xmlns:c16="http://schemas.microsoft.com/office/drawing/2014/chart" uri="{C3380CC4-5D6E-409C-BE32-E72D297353CC}">
              <c16:uniqueId val="{00000002-0B24-4968-8BF3-320E6679EBA8}"/>
            </c:ext>
          </c:extLst>
        </c:ser>
        <c:ser>
          <c:idx val="3"/>
          <c:order val="3"/>
          <c:tx>
            <c:strRef>
              <c:f>komplet!$B$40</c:f>
              <c:strCache>
                <c:ptCount val="1"/>
                <c:pt idx="0">
                  <c:v>podiel EA na zdrojoch VZP z poistenia (%; pravá os)</c:v>
                </c:pt>
              </c:strCache>
            </c:strRef>
          </c:tx>
          <c:spPr>
            <a:ln w="28575" cap="rnd">
              <a:solidFill>
                <a:schemeClr val="accent4"/>
              </a:solidFill>
              <a:round/>
            </a:ln>
            <a:effectLst/>
          </c:spPr>
          <c:marker>
            <c:symbol val="none"/>
          </c:marker>
          <c:cat>
            <c:strRef>
              <c:f>komplet!$C$36:$K$36</c:f>
              <c:strCache>
                <c:ptCount val="9"/>
                <c:pt idx="0">
                  <c:v>2016</c:v>
                </c:pt>
                <c:pt idx="1">
                  <c:v>2017</c:v>
                </c:pt>
                <c:pt idx="2">
                  <c:v>2018</c:v>
                </c:pt>
                <c:pt idx="3">
                  <c:v>2019</c:v>
                </c:pt>
                <c:pt idx="4">
                  <c:v>2020</c:v>
                </c:pt>
                <c:pt idx="5">
                  <c:v>2021</c:v>
                </c:pt>
                <c:pt idx="6">
                  <c:v>2022</c:v>
                </c:pt>
                <c:pt idx="7">
                  <c:v>2023 *</c:v>
                </c:pt>
                <c:pt idx="8">
                  <c:v>2024 **</c:v>
                </c:pt>
              </c:strCache>
            </c:strRef>
          </c:cat>
          <c:val>
            <c:numRef>
              <c:f>komplet!$C$40:$K$40</c:f>
              <c:numCache>
                <c:formatCode>0.0</c:formatCode>
                <c:ptCount val="9"/>
                <c:pt idx="0">
                  <c:v>67.958662278178011</c:v>
                </c:pt>
                <c:pt idx="1">
                  <c:v>71.70144182602256</c:v>
                </c:pt>
                <c:pt idx="2">
                  <c:v>75.326319284484015</c:v>
                </c:pt>
                <c:pt idx="3">
                  <c:v>76.800972090959945</c:v>
                </c:pt>
                <c:pt idx="4">
                  <c:v>77.70938806819116</c:v>
                </c:pt>
                <c:pt idx="5">
                  <c:v>77.036681595222859</c:v>
                </c:pt>
                <c:pt idx="6">
                  <c:v>78.436522408284119</c:v>
                </c:pt>
                <c:pt idx="7">
                  <c:v>71.169226214642762</c:v>
                </c:pt>
                <c:pt idx="8">
                  <c:v>73.777410623569779</c:v>
                </c:pt>
              </c:numCache>
            </c:numRef>
          </c:val>
          <c:smooth val="0"/>
          <c:extLst>
            <c:ext xmlns:c16="http://schemas.microsoft.com/office/drawing/2014/chart" uri="{C3380CC4-5D6E-409C-BE32-E72D297353CC}">
              <c16:uniqueId val="{00000003-0B24-4968-8BF3-320E6679EBA8}"/>
            </c:ext>
          </c:extLst>
        </c:ser>
        <c:dLbls>
          <c:showLegendKey val="0"/>
          <c:showVal val="0"/>
          <c:showCatName val="0"/>
          <c:showSerName val="0"/>
          <c:showPercent val="0"/>
          <c:showBubbleSize val="0"/>
        </c:dLbls>
        <c:marker val="1"/>
        <c:smooth val="0"/>
        <c:axId val="1059830128"/>
        <c:axId val="1059828464"/>
      </c:lineChart>
      <c:catAx>
        <c:axId val="122030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220294416"/>
        <c:crosses val="autoZero"/>
        <c:auto val="1"/>
        <c:lblAlgn val="ctr"/>
        <c:lblOffset val="100"/>
        <c:noMultiLvlLbl val="0"/>
      </c:catAx>
      <c:valAx>
        <c:axId val="1220294416"/>
        <c:scaling>
          <c:orientation val="minMax"/>
        </c:scaling>
        <c:delete val="0"/>
        <c:axPos val="l"/>
        <c:majorGridlines>
          <c:spPr>
            <a:ln w="9525" cap="flat" cmpd="sng" algn="ctr">
              <a:solidFill>
                <a:schemeClr val="tx1">
                  <a:lumMod val="15000"/>
                  <a:lumOff val="85000"/>
                </a:schemeClr>
              </a:solidFill>
              <a:round/>
            </a:ln>
            <a:effectLst/>
          </c:spPr>
        </c:majorGridlines>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220308976"/>
        <c:crosses val="autoZero"/>
        <c:crossBetween val="between"/>
      </c:valAx>
      <c:valAx>
        <c:axId val="105982846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059830128"/>
        <c:crosses val="max"/>
        <c:crossBetween val="between"/>
      </c:valAx>
      <c:catAx>
        <c:axId val="1059830128"/>
        <c:scaling>
          <c:orientation val="minMax"/>
        </c:scaling>
        <c:delete val="1"/>
        <c:axPos val="b"/>
        <c:numFmt formatCode="General" sourceLinked="1"/>
        <c:majorTickMark val="out"/>
        <c:minorTickMark val="none"/>
        <c:tickLblPos val="nextTo"/>
        <c:crossAx val="10598284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'grafy ŠR 2024'!$B$25</c:f>
              <c:strCache>
                <c:ptCount val="1"/>
                <c:pt idx="0">
                  <c:v>Príjmy z bežného poistenia od EAO (ľavá os)</c:v>
                </c:pt>
              </c:strCache>
            </c:strRef>
          </c:tx>
          <c:spPr>
            <a:ln w="25400" cap="rnd">
              <a:solidFill>
                <a:schemeClr val="bg2"/>
              </a:solidFill>
              <a:round/>
            </a:ln>
            <a:effectLst/>
          </c:spPr>
          <c:marker>
            <c:symbol val="circle"/>
            <c:size val="5"/>
            <c:spPr>
              <a:solidFill>
                <a:schemeClr val="bg2"/>
              </a:solidFill>
              <a:ln w="9525">
                <a:solidFill>
                  <a:schemeClr val="bg1"/>
                </a:solidFill>
              </a:ln>
              <a:effectLst/>
            </c:spPr>
          </c:marker>
          <c:cat>
            <c:strRef>
              <c:f>'grafy ŠR 2024'!$C$24:$N$24</c:f>
              <c:strCache>
                <c:ptCount val="12"/>
                <c:pt idx="0">
                  <c:v>2013</c:v>
                </c:pt>
                <c:pt idx="1">
                  <c:v>2014</c:v>
                </c:pt>
                <c:pt idx="2">
                  <c:v>2015</c:v>
                </c:pt>
                <c:pt idx="3">
                  <c:v>2016</c:v>
                </c:pt>
                <c:pt idx="4">
                  <c:v>2017</c:v>
                </c:pt>
                <c:pt idx="5">
                  <c:v>2018</c:v>
                </c:pt>
                <c:pt idx="6">
                  <c:v>2019</c:v>
                </c:pt>
                <c:pt idx="7">
                  <c:v>2020</c:v>
                </c:pt>
                <c:pt idx="8">
                  <c:v>2021</c:v>
                </c:pt>
                <c:pt idx="9">
                  <c:v>2022</c:v>
                </c:pt>
                <c:pt idx="10">
                  <c:v>2023 OS</c:v>
                </c:pt>
                <c:pt idx="11">
                  <c:v>2024 R</c:v>
                </c:pt>
              </c:strCache>
            </c:strRef>
          </c:cat>
          <c:val>
            <c:numRef>
              <c:f>'grafy ŠR 2024'!$C$25:$N$25</c:f>
              <c:numCache>
                <c:formatCode>#\ ##0.0</c:formatCode>
                <c:ptCount val="12"/>
                <c:pt idx="0">
                  <c:v>5241.2039999999997</c:v>
                </c:pt>
                <c:pt idx="1">
                  <c:v>5532.3779999999997</c:v>
                </c:pt>
                <c:pt idx="2">
                  <c:v>5916.6540000000005</c:v>
                </c:pt>
                <c:pt idx="3">
                  <c:v>6328.018</c:v>
                </c:pt>
                <c:pt idx="4">
                  <c:v>6858.393</c:v>
                </c:pt>
                <c:pt idx="5">
                  <c:v>7407.7349999999997</c:v>
                </c:pt>
                <c:pt idx="6">
                  <c:v>7922.9080000000004</c:v>
                </c:pt>
                <c:pt idx="7">
                  <c:v>7933.402</c:v>
                </c:pt>
                <c:pt idx="8">
                  <c:v>8421.5429999999997</c:v>
                </c:pt>
                <c:pt idx="9">
                  <c:v>9102.2289999999994</c:v>
                </c:pt>
                <c:pt idx="10">
                  <c:v>9868.4269999999997</c:v>
                </c:pt>
                <c:pt idx="11">
                  <c:v>11036.177</c:v>
                </c:pt>
              </c:numCache>
            </c:numRef>
          </c:val>
          <c:smooth val="0"/>
          <c:extLst>
            <c:ext xmlns:c16="http://schemas.microsoft.com/office/drawing/2014/chart" uri="{C3380CC4-5D6E-409C-BE32-E72D297353CC}">
              <c16:uniqueId val="{00000000-7D9A-40D0-9C8E-09F8BE95BC72}"/>
            </c:ext>
          </c:extLst>
        </c:ser>
        <c:dLbls>
          <c:showLegendKey val="0"/>
          <c:showVal val="0"/>
          <c:showCatName val="0"/>
          <c:showSerName val="0"/>
          <c:showPercent val="0"/>
          <c:showBubbleSize val="0"/>
        </c:dLbls>
        <c:marker val="1"/>
        <c:smooth val="0"/>
        <c:axId val="397428223"/>
        <c:axId val="397424895"/>
      </c:lineChart>
      <c:lineChart>
        <c:grouping val="standard"/>
        <c:varyColors val="0"/>
        <c:ser>
          <c:idx val="1"/>
          <c:order val="1"/>
          <c:tx>
            <c:strRef>
              <c:f>'grafy ŠR 2024'!$B$26</c:f>
              <c:strCache>
                <c:ptCount val="1"/>
                <c:pt idx="0">
                  <c:v>Príjmy z poistného od štátu vrátane 0,25 % z príspevkov na SDS</c:v>
                </c:pt>
              </c:strCache>
            </c:strRef>
          </c:tx>
          <c:spPr>
            <a:ln w="25400" cap="rnd">
              <a:solidFill>
                <a:schemeClr val="tx2"/>
              </a:solidFill>
              <a:round/>
            </a:ln>
            <a:effectLst/>
          </c:spPr>
          <c:marker>
            <c:symbol val="circle"/>
            <c:size val="5"/>
            <c:spPr>
              <a:solidFill>
                <a:schemeClr val="tx2"/>
              </a:solidFill>
              <a:ln w="9525">
                <a:solidFill>
                  <a:schemeClr val="bg1"/>
                </a:solidFill>
              </a:ln>
              <a:effectLst/>
            </c:spPr>
          </c:marker>
          <c:cat>
            <c:strRef>
              <c:f>'grafy ŠR 2024'!$C$24:$N$24</c:f>
              <c:strCache>
                <c:ptCount val="12"/>
                <c:pt idx="0">
                  <c:v>2013</c:v>
                </c:pt>
                <c:pt idx="1">
                  <c:v>2014</c:v>
                </c:pt>
                <c:pt idx="2">
                  <c:v>2015</c:v>
                </c:pt>
                <c:pt idx="3">
                  <c:v>2016</c:v>
                </c:pt>
                <c:pt idx="4">
                  <c:v>2017</c:v>
                </c:pt>
                <c:pt idx="5">
                  <c:v>2018</c:v>
                </c:pt>
                <c:pt idx="6">
                  <c:v>2019</c:v>
                </c:pt>
                <c:pt idx="7">
                  <c:v>2020</c:v>
                </c:pt>
                <c:pt idx="8">
                  <c:v>2021</c:v>
                </c:pt>
                <c:pt idx="9">
                  <c:v>2022</c:v>
                </c:pt>
                <c:pt idx="10">
                  <c:v>2023 OS</c:v>
                </c:pt>
                <c:pt idx="11">
                  <c:v>2024 R</c:v>
                </c:pt>
              </c:strCache>
            </c:strRef>
          </c:cat>
          <c:val>
            <c:numRef>
              <c:f>'grafy ŠR 2024'!$C$26:$N$26</c:f>
              <c:numCache>
                <c:formatCode>#\ ##0.0</c:formatCode>
                <c:ptCount val="12"/>
                <c:pt idx="0">
                  <c:v>236.57400000000001</c:v>
                </c:pt>
                <c:pt idx="1">
                  <c:v>207.03100000000001</c:v>
                </c:pt>
                <c:pt idx="2">
                  <c:v>205.68899999999999</c:v>
                </c:pt>
                <c:pt idx="3">
                  <c:v>211.547</c:v>
                </c:pt>
                <c:pt idx="4">
                  <c:v>221.97499999999999</c:v>
                </c:pt>
                <c:pt idx="5">
                  <c:v>253.398</c:v>
                </c:pt>
                <c:pt idx="6">
                  <c:v>254.9</c:v>
                </c:pt>
                <c:pt idx="7">
                  <c:v>297.45699999999999</c:v>
                </c:pt>
                <c:pt idx="8">
                  <c:v>377.29199999999997</c:v>
                </c:pt>
                <c:pt idx="9">
                  <c:v>383.04</c:v>
                </c:pt>
                <c:pt idx="10">
                  <c:v>399.81299999999999</c:v>
                </c:pt>
                <c:pt idx="11">
                  <c:v>454.62200000000001</c:v>
                </c:pt>
              </c:numCache>
            </c:numRef>
          </c:val>
          <c:smooth val="0"/>
          <c:extLst>
            <c:ext xmlns:c16="http://schemas.microsoft.com/office/drawing/2014/chart" uri="{C3380CC4-5D6E-409C-BE32-E72D297353CC}">
              <c16:uniqueId val="{00000001-7D9A-40D0-9C8E-09F8BE95BC72}"/>
            </c:ext>
          </c:extLst>
        </c:ser>
        <c:dLbls>
          <c:showLegendKey val="0"/>
          <c:showVal val="0"/>
          <c:showCatName val="0"/>
          <c:showSerName val="0"/>
          <c:showPercent val="0"/>
          <c:showBubbleSize val="0"/>
        </c:dLbls>
        <c:marker val="1"/>
        <c:smooth val="0"/>
        <c:axId val="397438207"/>
        <c:axId val="397416991"/>
      </c:lineChart>
      <c:catAx>
        <c:axId val="397428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397424895"/>
        <c:crosses val="autoZero"/>
        <c:auto val="1"/>
        <c:lblAlgn val="ctr"/>
        <c:lblOffset val="100"/>
        <c:noMultiLvlLbl val="0"/>
      </c:catAx>
      <c:valAx>
        <c:axId val="397424895"/>
        <c:scaling>
          <c:orientation val="minMax"/>
          <c:min val="3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397428223"/>
        <c:crosses val="autoZero"/>
        <c:crossBetween val="between"/>
      </c:valAx>
      <c:valAx>
        <c:axId val="397416991"/>
        <c:scaling>
          <c:orientation val="minMax"/>
          <c:min val="20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397438207"/>
        <c:crosses val="max"/>
        <c:crossBetween val="between"/>
      </c:valAx>
      <c:catAx>
        <c:axId val="397438207"/>
        <c:scaling>
          <c:orientation val="minMax"/>
        </c:scaling>
        <c:delete val="1"/>
        <c:axPos val="b"/>
        <c:numFmt formatCode="General" sourceLinked="1"/>
        <c:majorTickMark val="out"/>
        <c:minorTickMark val="none"/>
        <c:tickLblPos val="nextTo"/>
        <c:crossAx val="397416991"/>
        <c:crosses val="autoZero"/>
        <c:auto val="1"/>
        <c:lblAlgn val="ctr"/>
        <c:lblOffset val="100"/>
        <c:noMultiLvlLbl val="0"/>
      </c:catAx>
      <c:spPr>
        <a:noFill/>
        <a:ln>
          <a:noFill/>
        </a:ln>
        <a:effectLst/>
      </c:spPr>
    </c:plotArea>
    <c:legend>
      <c:legendPos val="b"/>
      <c:layout>
        <c:manualLayout>
          <c:xMode val="edge"/>
          <c:yMode val="edge"/>
          <c:x val="9.6253847898642303E-2"/>
          <c:y val="0.71663420605993156"/>
          <c:w val="0.81572275687761253"/>
          <c:h val="0.2303622603711638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1"/>
          <c:order val="0"/>
          <c:tx>
            <c:strRef>
              <c:f>'grafy ŠR 2024'!$B$4</c:f>
              <c:strCache>
                <c:ptCount val="1"/>
                <c:pt idx="0">
                  <c:v>Transfer zo ŠR</c:v>
                </c:pt>
              </c:strCache>
            </c:strRef>
          </c:tx>
          <c:spPr>
            <a:solidFill>
              <a:schemeClr val="accent4"/>
            </a:solidFill>
            <a:ln>
              <a:noFill/>
            </a:ln>
            <a:effectLst/>
          </c:spPr>
          <c:invertIfNegative val="0"/>
          <c:cat>
            <c:strRef>
              <c:f>'grafy ŠR 2024'!$C$3:$N$3</c:f>
              <c:strCache>
                <c:ptCount val="12"/>
                <c:pt idx="0">
                  <c:v>2013</c:v>
                </c:pt>
                <c:pt idx="1">
                  <c:v>2014</c:v>
                </c:pt>
                <c:pt idx="2">
                  <c:v>2015</c:v>
                </c:pt>
                <c:pt idx="3">
                  <c:v>2016</c:v>
                </c:pt>
                <c:pt idx="4">
                  <c:v>2017</c:v>
                </c:pt>
                <c:pt idx="5">
                  <c:v>2018</c:v>
                </c:pt>
                <c:pt idx="6">
                  <c:v>2019</c:v>
                </c:pt>
                <c:pt idx="7">
                  <c:v>2020</c:v>
                </c:pt>
                <c:pt idx="8">
                  <c:v>2021</c:v>
                </c:pt>
                <c:pt idx="9">
                  <c:v>2022</c:v>
                </c:pt>
                <c:pt idx="10">
                  <c:v>2023 OS</c:v>
                </c:pt>
                <c:pt idx="11">
                  <c:v>2024 R</c:v>
                </c:pt>
              </c:strCache>
            </c:strRef>
          </c:cat>
          <c:val>
            <c:numRef>
              <c:f>'grafy ŠR 2024'!$C$4:$N$4</c:f>
              <c:numCache>
                <c:formatCode>#\ ##0.0</c:formatCode>
                <c:ptCount val="12"/>
                <c:pt idx="0">
                  <c:v>673.54399999999998</c:v>
                </c:pt>
                <c:pt idx="1">
                  <c:v>900.89499999999998</c:v>
                </c:pt>
                <c:pt idx="2">
                  <c:v>452.983</c:v>
                </c:pt>
                <c:pt idx="3">
                  <c:v>365.32400000000001</c:v>
                </c:pt>
                <c:pt idx="4">
                  <c:v>415.32499999999999</c:v>
                </c:pt>
                <c:pt idx="5">
                  <c:v>106.413</c:v>
                </c:pt>
                <c:pt idx="6">
                  <c:v>0</c:v>
                </c:pt>
                <c:pt idx="7">
                  <c:v>969.86500000000001</c:v>
                </c:pt>
                <c:pt idx="8">
                  <c:v>840</c:v>
                </c:pt>
                <c:pt idx="9">
                  <c:v>103.488</c:v>
                </c:pt>
                <c:pt idx="10">
                  <c:v>1160</c:v>
                </c:pt>
                <c:pt idx="11">
                  <c:v>1600</c:v>
                </c:pt>
              </c:numCache>
            </c:numRef>
          </c:val>
          <c:extLst>
            <c:ext xmlns:c16="http://schemas.microsoft.com/office/drawing/2014/chart" uri="{C3380CC4-5D6E-409C-BE32-E72D297353CC}">
              <c16:uniqueId val="{00000000-F878-4A91-8135-D9B2B18FACB7}"/>
            </c:ext>
          </c:extLst>
        </c:ser>
        <c:dLbls>
          <c:showLegendKey val="0"/>
          <c:showVal val="0"/>
          <c:showCatName val="0"/>
          <c:showSerName val="0"/>
          <c:showPercent val="0"/>
          <c:showBubbleSize val="0"/>
        </c:dLbls>
        <c:gapWidth val="100"/>
        <c:axId val="545954336"/>
        <c:axId val="545960160"/>
      </c:barChart>
      <c:catAx>
        <c:axId val="54595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545960160"/>
        <c:crosses val="autoZero"/>
        <c:auto val="1"/>
        <c:lblAlgn val="ctr"/>
        <c:lblOffset val="100"/>
        <c:noMultiLvlLbl val="0"/>
      </c:catAx>
      <c:valAx>
        <c:axId val="5459601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5459543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'grafy ŠR 2024'!$B$81</c:f>
              <c:strCache>
                <c:ptCount val="1"/>
                <c:pt idx="0">
                  <c:v>Počet osôb v riziku chudoby alebo sociálneho vylúčenia</c:v>
                </c:pt>
              </c:strCache>
            </c:strRef>
          </c:tx>
          <c:spPr>
            <a:ln w="25400" cap="rnd">
              <a:solidFill>
                <a:schemeClr val="bg2"/>
              </a:solidFill>
              <a:round/>
            </a:ln>
            <a:effectLst/>
          </c:spPr>
          <c:marker>
            <c:symbol val="circle"/>
            <c:size val="5"/>
            <c:spPr>
              <a:solidFill>
                <a:schemeClr val="bg2"/>
              </a:solidFill>
              <a:ln w="9525">
                <a:solidFill>
                  <a:schemeClr val="bg1"/>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'grafy ŠR 2024'!$C$80:$J$80</c:f>
              <c:numCache>
                <c:formatCode>General</c:formatCode>
                <c:ptCount val="8"/>
                <c:pt idx="0">
                  <c:v>2015</c:v>
                </c:pt>
                <c:pt idx="1">
                  <c:v>2016</c:v>
                </c:pt>
                <c:pt idx="2">
                  <c:v>2017</c:v>
                </c:pt>
                <c:pt idx="3">
                  <c:v>2018</c:v>
                </c:pt>
                <c:pt idx="4">
                  <c:v>2019</c:v>
                </c:pt>
                <c:pt idx="5">
                  <c:v>2020</c:v>
                </c:pt>
                <c:pt idx="6">
                  <c:v>2021</c:v>
                </c:pt>
                <c:pt idx="7">
                  <c:v>2022</c:v>
                </c:pt>
              </c:numCache>
            </c:numRef>
          </c:cat>
          <c:val>
            <c:numRef>
              <c:f>'grafy ŠR 2024'!$C$81:$J$81</c:f>
              <c:numCache>
                <c:formatCode>#,##0</c:formatCode>
                <c:ptCount val="8"/>
                <c:pt idx="0">
                  <c:v>907</c:v>
                </c:pt>
                <c:pt idx="1">
                  <c:v>898</c:v>
                </c:pt>
                <c:pt idx="2">
                  <c:v>830</c:v>
                </c:pt>
                <c:pt idx="3">
                  <c:v>813</c:v>
                </c:pt>
                <c:pt idx="4">
                  <c:v>795</c:v>
                </c:pt>
                <c:pt idx="5">
                  <c:v>744</c:v>
                </c:pt>
                <c:pt idx="6">
                  <c:v>841</c:v>
                </c:pt>
                <c:pt idx="7">
                  <c:v>888</c:v>
                </c:pt>
              </c:numCache>
            </c:numRef>
          </c:val>
          <c:smooth val="0"/>
          <c:extLst>
            <c:ext xmlns:c16="http://schemas.microsoft.com/office/drawing/2014/chart" uri="{C3380CC4-5D6E-409C-BE32-E72D297353CC}">
              <c16:uniqueId val="{00000000-FF37-4526-8362-0BB7FB40DBEC}"/>
            </c:ext>
          </c:extLst>
        </c:ser>
        <c:ser>
          <c:idx val="1"/>
          <c:order val="1"/>
          <c:tx>
            <c:strRef>
              <c:f>'grafy ŠR 2024'!$B$82</c:f>
              <c:strCache>
                <c:ptCount val="1"/>
                <c:pt idx="0">
                  <c:v>Počet detí do 18 rokov v riziku chudoby alebo sociálneho vylúčenia</c:v>
                </c:pt>
              </c:strCache>
            </c:strRef>
          </c:tx>
          <c:spPr>
            <a:ln w="25400" cap="rnd">
              <a:solidFill>
                <a:srgbClr val="002060"/>
              </a:solidFill>
              <a:round/>
            </a:ln>
            <a:effectLst/>
          </c:spPr>
          <c:marker>
            <c:symbol val="circle"/>
            <c:size val="5"/>
            <c:spPr>
              <a:solidFill>
                <a:schemeClr val="tx2"/>
              </a:solidFill>
              <a:ln w="9525">
                <a:solidFill>
                  <a:schemeClr val="bg1"/>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'grafy ŠR 2024'!$C$80:$J$80</c:f>
              <c:numCache>
                <c:formatCode>General</c:formatCode>
                <c:ptCount val="8"/>
                <c:pt idx="0">
                  <c:v>2015</c:v>
                </c:pt>
                <c:pt idx="1">
                  <c:v>2016</c:v>
                </c:pt>
                <c:pt idx="2">
                  <c:v>2017</c:v>
                </c:pt>
                <c:pt idx="3">
                  <c:v>2018</c:v>
                </c:pt>
                <c:pt idx="4">
                  <c:v>2019</c:v>
                </c:pt>
                <c:pt idx="5">
                  <c:v>2020</c:v>
                </c:pt>
                <c:pt idx="6">
                  <c:v>2021</c:v>
                </c:pt>
                <c:pt idx="7">
                  <c:v>2022</c:v>
                </c:pt>
              </c:numCache>
            </c:numRef>
          </c:cat>
          <c:val>
            <c:numRef>
              <c:f>'grafy ŠR 2024'!$C$82:$J$82</c:f>
              <c:numCache>
                <c:formatCode>General</c:formatCode>
                <c:ptCount val="8"/>
                <c:pt idx="0">
                  <c:v>236</c:v>
                </c:pt>
                <c:pt idx="1">
                  <c:v>239</c:v>
                </c:pt>
                <c:pt idx="2">
                  <c:v>219</c:v>
                </c:pt>
                <c:pt idx="3">
                  <c:v>235</c:v>
                </c:pt>
                <c:pt idx="4">
                  <c:v>207</c:v>
                </c:pt>
                <c:pt idx="5">
                  <c:v>183</c:v>
                </c:pt>
                <c:pt idx="6">
                  <c:v>202</c:v>
                </c:pt>
                <c:pt idx="7">
                  <c:v>252</c:v>
                </c:pt>
              </c:numCache>
            </c:numRef>
          </c:val>
          <c:smooth val="0"/>
          <c:extLst>
            <c:ext xmlns:c16="http://schemas.microsoft.com/office/drawing/2014/chart" uri="{C3380CC4-5D6E-409C-BE32-E72D297353CC}">
              <c16:uniqueId val="{00000001-FF37-4526-8362-0BB7FB40DBEC}"/>
            </c:ext>
          </c:extLst>
        </c:ser>
        <c:dLbls>
          <c:dLblPos val="t"/>
          <c:showLegendKey val="0"/>
          <c:showVal val="1"/>
          <c:showCatName val="0"/>
          <c:showSerName val="0"/>
          <c:showPercent val="0"/>
          <c:showBubbleSize val="0"/>
        </c:dLbls>
        <c:marker val="1"/>
        <c:smooth val="0"/>
        <c:axId val="445432575"/>
        <c:axId val="445423423"/>
      </c:lineChart>
      <c:catAx>
        <c:axId val="445432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445423423"/>
        <c:crosses val="autoZero"/>
        <c:auto val="1"/>
        <c:lblAlgn val="ctr"/>
        <c:lblOffset val="100"/>
        <c:noMultiLvlLbl val="0"/>
      </c:catAx>
      <c:valAx>
        <c:axId val="4454234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445432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03261294465851"/>
          <c:y val="5.0925925925925923E-2"/>
          <c:w val="0.78820852180711454"/>
          <c:h val="0.56421908692640188"/>
        </c:manualLayout>
      </c:layout>
      <c:barChart>
        <c:barDir val="col"/>
        <c:grouping val="clustered"/>
        <c:varyColors val="0"/>
        <c:ser>
          <c:idx val="0"/>
          <c:order val="0"/>
          <c:tx>
            <c:strRef>
              <c:f>'grafy ŠR 2024'!$C$100</c:f>
              <c:strCache>
                <c:ptCount val="1"/>
                <c:pt idx="0">
                  <c:v>Osoby ohrozené rizikom chudoby alebo sociálneho vylúčenia</c:v>
                </c:pt>
              </c:strCache>
            </c:strRef>
          </c:tx>
          <c:spPr>
            <a:solidFill>
              <a:schemeClr val="accent1">
                <a:lumMod val="60000"/>
                <a:lumOff val="40000"/>
              </a:schemeClr>
            </a:solidFill>
            <a:ln>
              <a:solidFill>
                <a:schemeClr val="accent1">
                  <a:lumMod val="60000"/>
                  <a:lumOff val="40000"/>
                </a:schemeClr>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ŠR 2024'!$B$101:$B$109</c:f>
              <c:strCache>
                <c:ptCount val="8"/>
                <c:pt idx="0">
                  <c:v>Bratislavský kraj</c:v>
                </c:pt>
                <c:pt idx="1">
                  <c:v>Trnavský kraj</c:v>
                </c:pt>
                <c:pt idx="2">
                  <c:v>Trenčiansky kraj</c:v>
                </c:pt>
                <c:pt idx="3">
                  <c:v>Nitriansky kraj</c:v>
                </c:pt>
                <c:pt idx="4">
                  <c:v>Žilinský kraj</c:v>
                </c:pt>
                <c:pt idx="5">
                  <c:v>Banskobystrický kraj</c:v>
                </c:pt>
                <c:pt idx="6">
                  <c:v>Prešovský kraj</c:v>
                </c:pt>
                <c:pt idx="7">
                  <c:v>Košický kraj</c:v>
                </c:pt>
              </c:strCache>
            </c:strRef>
          </c:cat>
          <c:val>
            <c:numRef>
              <c:f>'grafy ŠR 2024'!$C$101:$C$109</c:f>
              <c:numCache>
                <c:formatCode>0.0</c:formatCode>
                <c:ptCount val="8"/>
                <c:pt idx="0">
                  <c:v>10.9</c:v>
                </c:pt>
                <c:pt idx="1">
                  <c:v>11.9</c:v>
                </c:pt>
                <c:pt idx="2">
                  <c:v>12.4</c:v>
                </c:pt>
                <c:pt idx="3">
                  <c:v>13.5</c:v>
                </c:pt>
                <c:pt idx="4">
                  <c:v>12.6</c:v>
                </c:pt>
                <c:pt idx="5">
                  <c:v>22</c:v>
                </c:pt>
                <c:pt idx="6">
                  <c:v>25.2</c:v>
                </c:pt>
                <c:pt idx="7">
                  <c:v>21</c:v>
                </c:pt>
              </c:numCache>
            </c:numRef>
          </c:val>
          <c:extLst>
            <c:ext xmlns:c16="http://schemas.microsoft.com/office/drawing/2014/chart" uri="{C3380CC4-5D6E-409C-BE32-E72D297353CC}">
              <c16:uniqueId val="{00000000-44BF-4D35-B73B-3A627AA10442}"/>
            </c:ext>
          </c:extLst>
        </c:ser>
        <c:dLbls>
          <c:dLblPos val="outEnd"/>
          <c:showLegendKey val="0"/>
          <c:showVal val="1"/>
          <c:showCatName val="0"/>
          <c:showSerName val="0"/>
          <c:showPercent val="0"/>
          <c:showBubbleSize val="0"/>
        </c:dLbls>
        <c:gapWidth val="100"/>
        <c:axId val="181491264"/>
        <c:axId val="181515392"/>
      </c:barChart>
      <c:catAx>
        <c:axId val="18149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81515392"/>
        <c:crosses val="autoZero"/>
        <c:auto val="1"/>
        <c:lblAlgn val="ctr"/>
        <c:lblOffset val="100"/>
        <c:noMultiLvlLbl val="0"/>
      </c:catAx>
      <c:valAx>
        <c:axId val="181515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814912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'AROPE domácnosti vývoj'!$B$3</c:f>
              <c:strCache>
                <c:ptCount val="1"/>
                <c:pt idx="0">
                  <c:v>Domácnosť bez závislých detí </c:v>
                </c:pt>
              </c:strCache>
            </c:strRef>
          </c:tx>
          <c:spPr>
            <a:solidFill>
              <a:schemeClr val="accent1"/>
            </a:solidFill>
            <a:ln>
              <a:noFill/>
            </a:ln>
            <a:effectLst/>
          </c:spPr>
          <c:invertIfNegative val="0"/>
          <c:cat>
            <c:numRef>
              <c:f>'AROPE domácnosti vývoj'!$C$2:$J$2</c:f>
              <c:numCache>
                <c:formatCode>General</c:formatCode>
                <c:ptCount val="8"/>
                <c:pt idx="0">
                  <c:v>2015</c:v>
                </c:pt>
                <c:pt idx="1">
                  <c:v>2016</c:v>
                </c:pt>
                <c:pt idx="2">
                  <c:v>2017</c:v>
                </c:pt>
                <c:pt idx="3">
                  <c:v>2018</c:v>
                </c:pt>
                <c:pt idx="4">
                  <c:v>2019</c:v>
                </c:pt>
                <c:pt idx="5">
                  <c:v>2020</c:v>
                </c:pt>
                <c:pt idx="6">
                  <c:v>2021</c:v>
                </c:pt>
                <c:pt idx="7">
                  <c:v>2022</c:v>
                </c:pt>
              </c:numCache>
            </c:numRef>
          </c:cat>
          <c:val>
            <c:numRef>
              <c:f>'AROPE domácnosti vývoj'!$C$3:$J$3</c:f>
              <c:numCache>
                <c:formatCode>#\ ##0.##########</c:formatCode>
                <c:ptCount val="8"/>
                <c:pt idx="0" formatCode="#\ ##0.0">
                  <c:v>14</c:v>
                </c:pt>
                <c:pt idx="1">
                  <c:v>12.8</c:v>
                </c:pt>
                <c:pt idx="2" formatCode="#\ ##0.0">
                  <c:v>12</c:v>
                </c:pt>
                <c:pt idx="3">
                  <c:v>10.9</c:v>
                </c:pt>
                <c:pt idx="4">
                  <c:v>11.9</c:v>
                </c:pt>
                <c:pt idx="5">
                  <c:v>11.7</c:v>
                </c:pt>
                <c:pt idx="6">
                  <c:v>13.9</c:v>
                </c:pt>
                <c:pt idx="7">
                  <c:v>11.4</c:v>
                </c:pt>
              </c:numCache>
            </c:numRef>
          </c:val>
          <c:extLst>
            <c:ext xmlns:c16="http://schemas.microsoft.com/office/drawing/2014/chart" uri="{C3380CC4-5D6E-409C-BE32-E72D297353CC}">
              <c16:uniqueId val="{00000000-5F62-4E07-9E50-6BC4E5688C8F}"/>
            </c:ext>
          </c:extLst>
        </c:ser>
        <c:ser>
          <c:idx val="2"/>
          <c:order val="2"/>
          <c:tx>
            <c:strRef>
              <c:f>'AROPE domácnosti vývoj'!$B$5</c:f>
              <c:strCache>
                <c:ptCount val="1"/>
                <c:pt idx="0">
                  <c:v>Domácnosť 1 rodič+aspoň 1 závislé dieťa</c:v>
                </c:pt>
              </c:strCache>
            </c:strRef>
          </c:tx>
          <c:spPr>
            <a:solidFill>
              <a:schemeClr val="accent3"/>
            </a:solidFill>
            <a:ln>
              <a:noFill/>
            </a:ln>
            <a:effectLst/>
          </c:spPr>
          <c:invertIfNegative val="0"/>
          <c:cat>
            <c:numRef>
              <c:f>'AROPE domácnosti vývoj'!$C$2:$J$2</c:f>
              <c:numCache>
                <c:formatCode>General</c:formatCode>
                <c:ptCount val="8"/>
                <c:pt idx="0">
                  <c:v>2015</c:v>
                </c:pt>
                <c:pt idx="1">
                  <c:v>2016</c:v>
                </c:pt>
                <c:pt idx="2">
                  <c:v>2017</c:v>
                </c:pt>
                <c:pt idx="3">
                  <c:v>2018</c:v>
                </c:pt>
                <c:pt idx="4">
                  <c:v>2019</c:v>
                </c:pt>
                <c:pt idx="5">
                  <c:v>2020</c:v>
                </c:pt>
                <c:pt idx="6">
                  <c:v>2021</c:v>
                </c:pt>
                <c:pt idx="7">
                  <c:v>2022</c:v>
                </c:pt>
              </c:numCache>
            </c:numRef>
          </c:cat>
          <c:val>
            <c:numRef>
              <c:f>'AROPE domácnosti vývoj'!$C$5:$J$5</c:f>
              <c:numCache>
                <c:formatCode>#\ ##0.##########</c:formatCode>
                <c:ptCount val="8"/>
                <c:pt idx="0">
                  <c:v>39.799999999999997</c:v>
                </c:pt>
                <c:pt idx="1">
                  <c:v>40.1</c:v>
                </c:pt>
                <c:pt idx="2">
                  <c:v>46.3</c:v>
                </c:pt>
                <c:pt idx="3">
                  <c:v>42.3</c:v>
                </c:pt>
                <c:pt idx="4" formatCode="#\ ##0.0">
                  <c:v>38</c:v>
                </c:pt>
                <c:pt idx="5">
                  <c:v>37.4</c:v>
                </c:pt>
                <c:pt idx="6">
                  <c:v>35.200000000000003</c:v>
                </c:pt>
                <c:pt idx="7">
                  <c:v>46.5</c:v>
                </c:pt>
              </c:numCache>
            </c:numRef>
          </c:val>
          <c:extLst>
            <c:ext xmlns:c16="http://schemas.microsoft.com/office/drawing/2014/chart" uri="{C3380CC4-5D6E-409C-BE32-E72D297353CC}">
              <c16:uniqueId val="{00000001-5F62-4E07-9E50-6BC4E5688C8F}"/>
            </c:ext>
          </c:extLst>
        </c:ser>
        <c:ser>
          <c:idx val="3"/>
          <c:order val="3"/>
          <c:tx>
            <c:strRef>
              <c:f>'AROPE domácnosti vývoj'!$B$6</c:f>
              <c:strCache>
                <c:ptCount val="1"/>
                <c:pt idx="0">
                  <c:v>Domácnosť 2 dospelí+1 závislé dieťa</c:v>
                </c:pt>
              </c:strCache>
            </c:strRef>
          </c:tx>
          <c:spPr>
            <a:solidFill>
              <a:schemeClr val="accent4"/>
            </a:solidFill>
            <a:ln>
              <a:noFill/>
            </a:ln>
            <a:effectLst/>
          </c:spPr>
          <c:invertIfNegative val="0"/>
          <c:cat>
            <c:numRef>
              <c:f>'AROPE domácnosti vývoj'!$C$2:$J$2</c:f>
              <c:numCache>
                <c:formatCode>General</c:formatCode>
                <c:ptCount val="8"/>
                <c:pt idx="0">
                  <c:v>2015</c:v>
                </c:pt>
                <c:pt idx="1">
                  <c:v>2016</c:v>
                </c:pt>
                <c:pt idx="2">
                  <c:v>2017</c:v>
                </c:pt>
                <c:pt idx="3">
                  <c:v>2018</c:v>
                </c:pt>
                <c:pt idx="4">
                  <c:v>2019</c:v>
                </c:pt>
                <c:pt idx="5">
                  <c:v>2020</c:v>
                </c:pt>
                <c:pt idx="6">
                  <c:v>2021</c:v>
                </c:pt>
                <c:pt idx="7">
                  <c:v>2022</c:v>
                </c:pt>
              </c:numCache>
            </c:numRef>
          </c:cat>
          <c:val>
            <c:numRef>
              <c:f>'AROPE domácnosti vývoj'!$C$6:$J$6</c:f>
              <c:numCache>
                <c:formatCode>#\ ##0.##########</c:formatCode>
                <c:ptCount val="8"/>
                <c:pt idx="0">
                  <c:v>12.1</c:v>
                </c:pt>
                <c:pt idx="1">
                  <c:v>12.4</c:v>
                </c:pt>
                <c:pt idx="2">
                  <c:v>11.3</c:v>
                </c:pt>
                <c:pt idx="3">
                  <c:v>13.7</c:v>
                </c:pt>
                <c:pt idx="4" formatCode="#\ ##0.0">
                  <c:v>12</c:v>
                </c:pt>
                <c:pt idx="5">
                  <c:v>12.3</c:v>
                </c:pt>
                <c:pt idx="6" formatCode="#\ ##0.0">
                  <c:v>14</c:v>
                </c:pt>
                <c:pt idx="7">
                  <c:v>18.399999999999999</c:v>
                </c:pt>
              </c:numCache>
            </c:numRef>
          </c:val>
          <c:extLst>
            <c:ext xmlns:c16="http://schemas.microsoft.com/office/drawing/2014/chart" uri="{C3380CC4-5D6E-409C-BE32-E72D297353CC}">
              <c16:uniqueId val="{00000002-5F62-4E07-9E50-6BC4E5688C8F}"/>
            </c:ext>
          </c:extLst>
        </c:ser>
        <c:ser>
          <c:idx val="4"/>
          <c:order val="4"/>
          <c:tx>
            <c:strRef>
              <c:f>'AROPE domácnosti vývoj'!$B$7</c:f>
              <c:strCache>
                <c:ptCount val="1"/>
                <c:pt idx="0">
                  <c:v>Domácnosť 2 dospelí+ 2 závislé deti</c:v>
                </c:pt>
              </c:strCache>
            </c:strRef>
          </c:tx>
          <c:spPr>
            <a:solidFill>
              <a:schemeClr val="accent5"/>
            </a:solidFill>
            <a:ln>
              <a:noFill/>
            </a:ln>
            <a:effectLst/>
          </c:spPr>
          <c:invertIfNegative val="0"/>
          <c:cat>
            <c:numRef>
              <c:f>'AROPE domácnosti vývoj'!$C$2:$J$2</c:f>
              <c:numCache>
                <c:formatCode>General</c:formatCode>
                <c:ptCount val="8"/>
                <c:pt idx="0">
                  <c:v>2015</c:v>
                </c:pt>
                <c:pt idx="1">
                  <c:v>2016</c:v>
                </c:pt>
                <c:pt idx="2">
                  <c:v>2017</c:v>
                </c:pt>
                <c:pt idx="3">
                  <c:v>2018</c:v>
                </c:pt>
                <c:pt idx="4">
                  <c:v>2019</c:v>
                </c:pt>
                <c:pt idx="5">
                  <c:v>2020</c:v>
                </c:pt>
                <c:pt idx="6">
                  <c:v>2021</c:v>
                </c:pt>
                <c:pt idx="7">
                  <c:v>2022</c:v>
                </c:pt>
              </c:numCache>
            </c:numRef>
          </c:cat>
          <c:val>
            <c:numRef>
              <c:f>'AROPE domácnosti vývoj'!$C$7:$J$7</c:f>
              <c:numCache>
                <c:formatCode>#\ ##0.##########</c:formatCode>
                <c:ptCount val="8"/>
                <c:pt idx="0">
                  <c:v>17.899999999999999</c:v>
                </c:pt>
                <c:pt idx="1">
                  <c:v>17.100000000000001</c:v>
                </c:pt>
                <c:pt idx="2">
                  <c:v>15.5</c:v>
                </c:pt>
                <c:pt idx="3">
                  <c:v>16.2</c:v>
                </c:pt>
                <c:pt idx="4">
                  <c:v>11.3</c:v>
                </c:pt>
                <c:pt idx="5">
                  <c:v>11.3</c:v>
                </c:pt>
                <c:pt idx="6">
                  <c:v>11.5</c:v>
                </c:pt>
                <c:pt idx="7">
                  <c:v>11.6</c:v>
                </c:pt>
              </c:numCache>
            </c:numRef>
          </c:val>
          <c:extLst>
            <c:ext xmlns:c16="http://schemas.microsoft.com/office/drawing/2014/chart" uri="{C3380CC4-5D6E-409C-BE32-E72D297353CC}">
              <c16:uniqueId val="{00000003-5F62-4E07-9E50-6BC4E5688C8F}"/>
            </c:ext>
          </c:extLst>
        </c:ser>
        <c:ser>
          <c:idx val="5"/>
          <c:order val="5"/>
          <c:tx>
            <c:strRef>
              <c:f>'AROPE domácnosti vývoj'!$B$8</c:f>
              <c:strCache>
                <c:ptCount val="1"/>
                <c:pt idx="0">
                  <c:v>Domácnosť 2 dospelí+3 a viac závislých deti</c:v>
                </c:pt>
              </c:strCache>
            </c:strRef>
          </c:tx>
          <c:spPr>
            <a:solidFill>
              <a:schemeClr val="accent6"/>
            </a:solidFill>
            <a:ln>
              <a:noFill/>
            </a:ln>
            <a:effectLst/>
          </c:spPr>
          <c:invertIfNegative val="0"/>
          <c:cat>
            <c:numRef>
              <c:f>'AROPE domácnosti vývoj'!$C$2:$J$2</c:f>
              <c:numCache>
                <c:formatCode>General</c:formatCode>
                <c:ptCount val="8"/>
                <c:pt idx="0">
                  <c:v>2015</c:v>
                </c:pt>
                <c:pt idx="1">
                  <c:v>2016</c:v>
                </c:pt>
                <c:pt idx="2">
                  <c:v>2017</c:v>
                </c:pt>
                <c:pt idx="3">
                  <c:v>2018</c:v>
                </c:pt>
                <c:pt idx="4">
                  <c:v>2019</c:v>
                </c:pt>
                <c:pt idx="5">
                  <c:v>2020</c:v>
                </c:pt>
                <c:pt idx="6">
                  <c:v>2021</c:v>
                </c:pt>
                <c:pt idx="7">
                  <c:v>2022</c:v>
                </c:pt>
              </c:numCache>
            </c:numRef>
          </c:cat>
          <c:val>
            <c:numRef>
              <c:f>'AROPE domácnosti vývoj'!$C$8:$J$8</c:f>
              <c:numCache>
                <c:formatCode>#\ ##0.##########</c:formatCode>
                <c:ptCount val="8"/>
                <c:pt idx="0">
                  <c:v>35.9</c:v>
                </c:pt>
                <c:pt idx="1">
                  <c:v>37.700000000000003</c:v>
                </c:pt>
                <c:pt idx="2">
                  <c:v>37.1</c:v>
                </c:pt>
                <c:pt idx="3">
                  <c:v>36.9</c:v>
                </c:pt>
                <c:pt idx="4" formatCode="#\ ##0.0">
                  <c:v>38</c:v>
                </c:pt>
                <c:pt idx="5" formatCode="#\ ##0.0">
                  <c:v>38</c:v>
                </c:pt>
                <c:pt idx="6">
                  <c:v>37.799999999999997</c:v>
                </c:pt>
                <c:pt idx="7">
                  <c:v>43.8</c:v>
                </c:pt>
              </c:numCache>
            </c:numRef>
          </c:val>
          <c:extLst>
            <c:ext xmlns:c16="http://schemas.microsoft.com/office/drawing/2014/chart" uri="{C3380CC4-5D6E-409C-BE32-E72D297353CC}">
              <c16:uniqueId val="{00000004-5F62-4E07-9E50-6BC4E5688C8F}"/>
            </c:ext>
          </c:extLst>
        </c:ser>
        <c:dLbls>
          <c:showLegendKey val="0"/>
          <c:showVal val="0"/>
          <c:showCatName val="0"/>
          <c:showSerName val="0"/>
          <c:showPercent val="0"/>
          <c:showBubbleSize val="0"/>
        </c:dLbls>
        <c:gapWidth val="219"/>
        <c:axId val="1501230879"/>
        <c:axId val="1501232543"/>
        <c:extLst>
          <c:ext xmlns:c15="http://schemas.microsoft.com/office/drawing/2012/chart" uri="{02D57815-91ED-43cb-92C2-25804820EDAC}">
            <c15:filteredBarSeries>
              <c15:ser>
                <c:idx val="1"/>
                <c:order val="1"/>
                <c:tx>
                  <c:strRef>
                    <c:extLst>
                      <c:ext uri="{02D57815-91ED-43cb-92C2-25804820EDAC}">
                        <c15:formulaRef>
                          <c15:sqref>'AROPE domácnosti vývoj'!$B$4</c15:sqref>
                        </c15:formulaRef>
                      </c:ext>
                    </c:extLst>
                    <c:strCache>
                      <c:ptCount val="1"/>
                      <c:pt idx="0">
                        <c:v>Domácnosť so závislými deťmi</c:v>
                      </c:pt>
                    </c:strCache>
                  </c:strRef>
                </c:tx>
                <c:spPr>
                  <a:solidFill>
                    <a:schemeClr val="accent2"/>
                  </a:solidFill>
                  <a:ln>
                    <a:noFill/>
                  </a:ln>
                  <a:effectLst/>
                </c:spPr>
                <c:invertIfNegative val="0"/>
                <c:cat>
                  <c:numRef>
                    <c:extLst>
                      <c:ext uri="{02D57815-91ED-43cb-92C2-25804820EDAC}">
                        <c15:formulaRef>
                          <c15:sqref>'AROPE domácnosti vývoj'!$C$2:$J$2</c15:sqref>
                        </c15:formulaRef>
                      </c:ext>
                    </c:extLst>
                    <c:numCache>
                      <c:formatCode>General</c:formatCode>
                      <c:ptCount val="8"/>
                      <c:pt idx="0">
                        <c:v>2015</c:v>
                      </c:pt>
                      <c:pt idx="1">
                        <c:v>2016</c:v>
                      </c:pt>
                      <c:pt idx="2">
                        <c:v>2017</c:v>
                      </c:pt>
                      <c:pt idx="3">
                        <c:v>2018</c:v>
                      </c:pt>
                      <c:pt idx="4">
                        <c:v>2019</c:v>
                      </c:pt>
                      <c:pt idx="5">
                        <c:v>2020</c:v>
                      </c:pt>
                      <c:pt idx="6">
                        <c:v>2021</c:v>
                      </c:pt>
                      <c:pt idx="7">
                        <c:v>2022</c:v>
                      </c:pt>
                    </c:numCache>
                  </c:numRef>
                </c:cat>
                <c:val>
                  <c:numRef>
                    <c:extLst>
                      <c:ext uri="{02D57815-91ED-43cb-92C2-25804820EDAC}">
                        <c15:formulaRef>
                          <c15:sqref>'AROPE domácnosti vývoj'!$C$4:$J$4</c15:sqref>
                        </c15:formulaRef>
                      </c:ext>
                    </c:extLst>
                    <c:numCache>
                      <c:formatCode>#\ ##0.##########</c:formatCode>
                      <c:ptCount val="8"/>
                      <c:pt idx="0">
                        <c:v>19.899999999999999</c:v>
                      </c:pt>
                      <c:pt idx="1">
                        <c:v>20.6</c:v>
                      </c:pt>
                      <c:pt idx="2">
                        <c:v>18.899999999999999</c:v>
                      </c:pt>
                      <c:pt idx="3">
                        <c:v>18.600000000000001</c:v>
                      </c:pt>
                      <c:pt idx="4">
                        <c:v>17.2</c:v>
                      </c:pt>
                      <c:pt idx="5">
                        <c:v>15.6</c:v>
                      </c:pt>
                      <c:pt idx="6">
                        <c:v>16.899999999999999</c:v>
                      </c:pt>
                      <c:pt idx="7">
                        <c:v>20.6</c:v>
                      </c:pt>
                    </c:numCache>
                  </c:numRef>
                </c:val>
                <c:extLst>
                  <c:ext xmlns:c16="http://schemas.microsoft.com/office/drawing/2014/chart" uri="{C3380CC4-5D6E-409C-BE32-E72D297353CC}">
                    <c16:uniqueId val="{00000006-5F62-4E07-9E50-6BC4E5688C8F}"/>
                  </c:ext>
                </c:extLst>
              </c15:ser>
            </c15:filteredBarSeries>
          </c:ext>
        </c:extLst>
      </c:barChart>
      <c:lineChart>
        <c:grouping val="standard"/>
        <c:varyColors val="0"/>
        <c:ser>
          <c:idx val="6"/>
          <c:order val="6"/>
          <c:tx>
            <c:strRef>
              <c:f>'AROPE domácnosti vývoj'!$B$9</c:f>
              <c:strCache>
                <c:ptCount val="1"/>
                <c:pt idx="0">
                  <c:v>SR</c:v>
                </c:pt>
              </c:strCache>
            </c:strRef>
          </c:tx>
          <c:spPr>
            <a:ln w="28575" cap="rnd">
              <a:noFill/>
              <a:round/>
            </a:ln>
            <a:effectLst/>
          </c:spPr>
          <c:marker>
            <c:symbol val="triangle"/>
            <c:size val="5"/>
            <c:spPr>
              <a:solidFill>
                <a:srgbClr val="FF0000"/>
              </a:solidFill>
              <a:ln w="9525">
                <a:solidFill>
                  <a:srgbClr val="FF0000"/>
                </a:solidFill>
              </a:ln>
              <a:effectLst/>
            </c:spPr>
          </c:marker>
          <c:cat>
            <c:numRef>
              <c:f>'AROPE domácnosti vývoj'!$C$2:$J$2</c:f>
              <c:numCache>
                <c:formatCode>General</c:formatCode>
                <c:ptCount val="8"/>
                <c:pt idx="0">
                  <c:v>2015</c:v>
                </c:pt>
                <c:pt idx="1">
                  <c:v>2016</c:v>
                </c:pt>
                <c:pt idx="2">
                  <c:v>2017</c:v>
                </c:pt>
                <c:pt idx="3">
                  <c:v>2018</c:v>
                </c:pt>
                <c:pt idx="4">
                  <c:v>2019</c:v>
                </c:pt>
                <c:pt idx="5">
                  <c:v>2020</c:v>
                </c:pt>
                <c:pt idx="6">
                  <c:v>2021</c:v>
                </c:pt>
                <c:pt idx="7">
                  <c:v>2022</c:v>
                </c:pt>
              </c:numCache>
            </c:numRef>
          </c:cat>
          <c:val>
            <c:numRef>
              <c:f>'AROPE domácnosti vývoj'!$C$9:$J$9</c:f>
              <c:numCache>
                <c:formatCode>#\ ##0.##########</c:formatCode>
                <c:ptCount val="8"/>
                <c:pt idx="0">
                  <c:v>17.3</c:v>
                </c:pt>
                <c:pt idx="1">
                  <c:v>17.100000000000001</c:v>
                </c:pt>
                <c:pt idx="2">
                  <c:v>15.8</c:v>
                </c:pt>
                <c:pt idx="3">
                  <c:v>15.2</c:v>
                </c:pt>
                <c:pt idx="4" formatCode="#\ ##0.0">
                  <c:v>14.8</c:v>
                </c:pt>
                <c:pt idx="5">
                  <c:v>13.8</c:v>
                </c:pt>
                <c:pt idx="6">
                  <c:v>15.6</c:v>
                </c:pt>
                <c:pt idx="7">
                  <c:v>16.5</c:v>
                </c:pt>
              </c:numCache>
            </c:numRef>
          </c:val>
          <c:smooth val="0"/>
          <c:extLst>
            <c:ext xmlns:c16="http://schemas.microsoft.com/office/drawing/2014/chart" uri="{C3380CC4-5D6E-409C-BE32-E72D297353CC}">
              <c16:uniqueId val="{00000005-5F62-4E07-9E50-6BC4E5688C8F}"/>
            </c:ext>
          </c:extLst>
        </c:ser>
        <c:dLbls>
          <c:showLegendKey val="0"/>
          <c:showVal val="0"/>
          <c:showCatName val="0"/>
          <c:showSerName val="0"/>
          <c:showPercent val="0"/>
          <c:showBubbleSize val="0"/>
        </c:dLbls>
        <c:marker val="1"/>
        <c:smooth val="0"/>
        <c:axId val="1501230879"/>
        <c:axId val="1501232543"/>
      </c:lineChart>
      <c:catAx>
        <c:axId val="1501230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501232543"/>
        <c:crosses val="autoZero"/>
        <c:auto val="1"/>
        <c:lblAlgn val="ctr"/>
        <c:lblOffset val="100"/>
        <c:noMultiLvlLbl val="0"/>
      </c:catAx>
      <c:valAx>
        <c:axId val="15012325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5012308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'Hárok 1'!$A$24</c:f>
              <c:strCache>
                <c:ptCount val="1"/>
                <c:pt idx="0">
                  <c:v>Pedagogickí zamestnanci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493D-4E56-8329-0DC844234263}"/>
                </c:ext>
              </c:extLst>
            </c:dLbl>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 1'!$B$23:$G$23</c:f>
              <c:numCache>
                <c:formatCode>General</c:formatCode>
                <c:ptCount val="6"/>
                <c:pt idx="0">
                  <c:v>2021</c:v>
                </c:pt>
                <c:pt idx="1">
                  <c:v>2022</c:v>
                </c:pt>
                <c:pt idx="2">
                  <c:v>2023</c:v>
                </c:pt>
                <c:pt idx="3">
                  <c:v>2024</c:v>
                </c:pt>
                <c:pt idx="4">
                  <c:v>2025</c:v>
                </c:pt>
                <c:pt idx="5">
                  <c:v>2026</c:v>
                </c:pt>
              </c:numCache>
            </c:numRef>
          </c:cat>
          <c:val>
            <c:numRef>
              <c:f>'Hárok 1'!$B$24:$G$24</c:f>
              <c:numCache>
                <c:formatCode>0.0</c:formatCode>
                <c:ptCount val="6"/>
                <c:pt idx="0" formatCode="General">
                  <c:v>100</c:v>
                </c:pt>
                <c:pt idx="1">
                  <c:v>91.714095646389239</c:v>
                </c:pt>
                <c:pt idx="2">
                  <c:v>94.788771388741822</c:v>
                </c:pt>
                <c:pt idx="3">
                  <c:v>98.906573618423565</c:v>
                </c:pt>
                <c:pt idx="4">
                  <c:v>95.975620466102498</c:v>
                </c:pt>
                <c:pt idx="5">
                  <c:v>93.056323179372441</c:v>
                </c:pt>
              </c:numCache>
            </c:numRef>
          </c:val>
          <c:smooth val="0"/>
          <c:extLst>
            <c:ext xmlns:c16="http://schemas.microsoft.com/office/drawing/2014/chart" uri="{C3380CC4-5D6E-409C-BE32-E72D297353CC}">
              <c16:uniqueId val="{00000001-493D-4E56-8329-0DC844234263}"/>
            </c:ext>
          </c:extLst>
        </c:ser>
        <c:ser>
          <c:idx val="1"/>
          <c:order val="1"/>
          <c:tx>
            <c:strRef>
              <c:f>'Hárok 1'!$A$25</c:f>
              <c:strCache>
                <c:ptCount val="1"/>
                <c:pt idx="0">
                  <c:v>Hospodárstvo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493D-4E56-8329-0DC844234263}"/>
                </c:ext>
              </c:extLst>
            </c:dLbl>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 1'!$B$23:$G$23</c:f>
              <c:numCache>
                <c:formatCode>General</c:formatCode>
                <c:ptCount val="6"/>
                <c:pt idx="0">
                  <c:v>2021</c:v>
                </c:pt>
                <c:pt idx="1">
                  <c:v>2022</c:v>
                </c:pt>
                <c:pt idx="2">
                  <c:v>2023</c:v>
                </c:pt>
                <c:pt idx="3">
                  <c:v>2024</c:v>
                </c:pt>
                <c:pt idx="4">
                  <c:v>2025</c:v>
                </c:pt>
                <c:pt idx="5">
                  <c:v>2026</c:v>
                </c:pt>
              </c:numCache>
            </c:numRef>
          </c:cat>
          <c:val>
            <c:numRef>
              <c:f>'Hárok 1'!$B$25:$G$25</c:f>
              <c:numCache>
                <c:formatCode>0.0</c:formatCode>
                <c:ptCount val="6"/>
                <c:pt idx="0" formatCode="General">
                  <c:v>100</c:v>
                </c:pt>
                <c:pt idx="1">
                  <c:v>95.510033528001344</c:v>
                </c:pt>
                <c:pt idx="2">
                  <c:v>94.756542518230106</c:v>
                </c:pt>
                <c:pt idx="3">
                  <c:v>98.279039238312265</c:v>
                </c:pt>
                <c:pt idx="4">
                  <c:v>100.40562622616835</c:v>
                </c:pt>
                <c:pt idx="5">
                  <c:v>101.69440260199211</c:v>
                </c:pt>
              </c:numCache>
            </c:numRef>
          </c:val>
          <c:smooth val="0"/>
          <c:extLst>
            <c:ext xmlns:c16="http://schemas.microsoft.com/office/drawing/2014/chart" uri="{C3380CC4-5D6E-409C-BE32-E72D297353CC}">
              <c16:uniqueId val="{00000003-493D-4E56-8329-0DC844234263}"/>
            </c:ext>
          </c:extLst>
        </c:ser>
        <c:dLbls>
          <c:showLegendKey val="0"/>
          <c:showVal val="0"/>
          <c:showCatName val="0"/>
          <c:showSerName val="0"/>
          <c:showPercent val="0"/>
          <c:showBubbleSize val="0"/>
        </c:dLbls>
        <c:marker val="1"/>
        <c:smooth val="0"/>
        <c:axId val="265056432"/>
        <c:axId val="265058512"/>
      </c:lineChart>
      <c:catAx>
        <c:axId val="26505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65058512"/>
        <c:crosses val="autoZero"/>
        <c:auto val="1"/>
        <c:lblAlgn val="ctr"/>
        <c:lblOffset val="100"/>
        <c:noMultiLvlLbl val="0"/>
      </c:catAx>
      <c:valAx>
        <c:axId val="265058512"/>
        <c:scaling>
          <c:orientation val="minMax"/>
          <c:max val="105"/>
          <c:min val="8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65056432"/>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Hárok1!$R$4</c:f>
              <c:strCache>
                <c:ptCount val="1"/>
                <c:pt idx="0">
                  <c:v>Nevybavené žiadosti</c:v>
                </c:pt>
              </c:strCache>
            </c:strRef>
          </c:tx>
          <c:spPr>
            <a:ln w="25400" cap="rnd">
              <a:solidFill>
                <a:schemeClr val="accent1"/>
              </a:solidFill>
              <a:round/>
            </a:ln>
            <a:effectLst/>
          </c:spPr>
          <c:marker>
            <c:symbol val="none"/>
          </c:marker>
          <c:cat>
            <c:numRef>
              <c:f>Hárok1!$S$2:$X$2</c:f>
              <c:numCache>
                <c:formatCode>General</c:formatCode>
                <c:ptCount val="6"/>
                <c:pt idx="0">
                  <c:v>2018</c:v>
                </c:pt>
                <c:pt idx="1">
                  <c:v>2019</c:v>
                </c:pt>
                <c:pt idx="2">
                  <c:v>2020</c:v>
                </c:pt>
                <c:pt idx="3">
                  <c:v>2021</c:v>
                </c:pt>
                <c:pt idx="4">
                  <c:v>2022</c:v>
                </c:pt>
                <c:pt idx="5">
                  <c:v>2023</c:v>
                </c:pt>
              </c:numCache>
            </c:numRef>
          </c:cat>
          <c:val>
            <c:numRef>
              <c:f>Hárok1!$S$4:$X$4</c:f>
              <c:numCache>
                <c:formatCode>General</c:formatCode>
                <c:ptCount val="6"/>
                <c:pt idx="0">
                  <c:v>12502</c:v>
                </c:pt>
                <c:pt idx="1">
                  <c:v>14941</c:v>
                </c:pt>
                <c:pt idx="2">
                  <c:v>18031</c:v>
                </c:pt>
                <c:pt idx="3">
                  <c:v>19226</c:v>
                </c:pt>
                <c:pt idx="4">
                  <c:v>21091</c:v>
                </c:pt>
                <c:pt idx="5">
                  <c:v>21149</c:v>
                </c:pt>
              </c:numCache>
            </c:numRef>
          </c:val>
          <c:smooth val="0"/>
          <c:extLst>
            <c:ext xmlns:c16="http://schemas.microsoft.com/office/drawing/2014/chart" uri="{C3380CC4-5D6E-409C-BE32-E72D297353CC}">
              <c16:uniqueId val="{00000000-C88E-4892-8B27-FD89CB1CC075}"/>
            </c:ext>
          </c:extLst>
        </c:ser>
        <c:dLbls>
          <c:showLegendKey val="0"/>
          <c:showVal val="0"/>
          <c:showCatName val="0"/>
          <c:showSerName val="0"/>
          <c:showPercent val="0"/>
          <c:showBubbleSize val="0"/>
        </c:dLbls>
        <c:smooth val="0"/>
        <c:axId val="471513408"/>
        <c:axId val="471514240"/>
      </c:lineChart>
      <c:catAx>
        <c:axId val="47151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471514240"/>
        <c:crosses val="autoZero"/>
        <c:auto val="1"/>
        <c:lblAlgn val="ctr"/>
        <c:lblOffset val="100"/>
        <c:noMultiLvlLbl val="0"/>
      </c:catAx>
      <c:valAx>
        <c:axId val="471514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4715134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Hárok1!$Z$3</c:f>
              <c:strCache>
                <c:ptCount val="1"/>
                <c:pt idx="0">
                  <c:v>Štátne</c:v>
                </c:pt>
              </c:strCache>
            </c:strRef>
          </c:tx>
          <c:spPr>
            <a:ln w="25400" cap="rnd">
              <a:solidFill>
                <a:schemeClr val="accent1"/>
              </a:solidFill>
              <a:round/>
            </a:ln>
            <a:effectLst/>
          </c:spPr>
          <c:marker>
            <c:symbol val="none"/>
          </c:marker>
          <c:cat>
            <c:numRef>
              <c:f>Hárok1!$AA$2:$AF$2</c:f>
              <c:numCache>
                <c:formatCode>General</c:formatCode>
                <c:ptCount val="6"/>
                <c:pt idx="0">
                  <c:v>2018</c:v>
                </c:pt>
                <c:pt idx="1">
                  <c:v>2019</c:v>
                </c:pt>
                <c:pt idx="2">
                  <c:v>2020</c:v>
                </c:pt>
                <c:pt idx="3">
                  <c:v>2021</c:v>
                </c:pt>
                <c:pt idx="4">
                  <c:v>2022</c:v>
                </c:pt>
                <c:pt idx="5">
                  <c:v>2023</c:v>
                </c:pt>
              </c:numCache>
            </c:numRef>
          </c:cat>
          <c:val>
            <c:numRef>
              <c:f>Hárok1!$AA$3:$AF$3</c:f>
              <c:numCache>
                <c:formatCode>0.0%</c:formatCode>
                <c:ptCount val="6"/>
                <c:pt idx="0">
                  <c:v>7.1397746048186231E-2</c:v>
                </c:pt>
                <c:pt idx="1">
                  <c:v>8.3317306536529079E-2</c:v>
                </c:pt>
                <c:pt idx="2">
                  <c:v>0.10056190893117366</c:v>
                </c:pt>
                <c:pt idx="3">
                  <c:v>0.1029592439456586</c:v>
                </c:pt>
                <c:pt idx="4">
                  <c:v>0.10970758079095394</c:v>
                </c:pt>
                <c:pt idx="5">
                  <c:v>0.10955041866942949</c:v>
                </c:pt>
              </c:numCache>
            </c:numRef>
          </c:val>
          <c:smooth val="0"/>
          <c:extLst>
            <c:ext xmlns:c16="http://schemas.microsoft.com/office/drawing/2014/chart" uri="{C3380CC4-5D6E-409C-BE32-E72D297353CC}">
              <c16:uniqueId val="{00000000-A910-4991-BB03-7563F8D3491C}"/>
            </c:ext>
          </c:extLst>
        </c:ser>
        <c:ser>
          <c:idx val="1"/>
          <c:order val="1"/>
          <c:tx>
            <c:strRef>
              <c:f>Hárok1!$Z$4</c:f>
              <c:strCache>
                <c:ptCount val="1"/>
                <c:pt idx="0">
                  <c:v>Súkromné</c:v>
                </c:pt>
              </c:strCache>
            </c:strRef>
          </c:tx>
          <c:spPr>
            <a:ln w="25400" cap="rnd">
              <a:solidFill>
                <a:schemeClr val="accent2"/>
              </a:solidFill>
              <a:round/>
            </a:ln>
            <a:effectLst/>
          </c:spPr>
          <c:marker>
            <c:symbol val="none"/>
          </c:marker>
          <c:cat>
            <c:numRef>
              <c:f>Hárok1!$AA$2:$AF$2</c:f>
              <c:numCache>
                <c:formatCode>General</c:formatCode>
                <c:ptCount val="6"/>
                <c:pt idx="0">
                  <c:v>2018</c:v>
                </c:pt>
                <c:pt idx="1">
                  <c:v>2019</c:v>
                </c:pt>
                <c:pt idx="2">
                  <c:v>2020</c:v>
                </c:pt>
                <c:pt idx="3">
                  <c:v>2021</c:v>
                </c:pt>
                <c:pt idx="4">
                  <c:v>2022</c:v>
                </c:pt>
                <c:pt idx="5">
                  <c:v>2023</c:v>
                </c:pt>
              </c:numCache>
            </c:numRef>
          </c:cat>
          <c:val>
            <c:numRef>
              <c:f>Hárok1!$AA$4:$AF$4</c:f>
              <c:numCache>
                <c:formatCode>0.0%</c:formatCode>
                <c:ptCount val="6"/>
                <c:pt idx="0">
                  <c:v>3.2631859350026639E-2</c:v>
                </c:pt>
                <c:pt idx="1">
                  <c:v>2.8353057199211044E-2</c:v>
                </c:pt>
                <c:pt idx="2">
                  <c:v>2.5614636935391653E-2</c:v>
                </c:pt>
                <c:pt idx="3">
                  <c:v>8.0983803239352128E-2</c:v>
                </c:pt>
                <c:pt idx="4">
                  <c:v>7.1362629246676509E-2</c:v>
                </c:pt>
                <c:pt idx="5">
                  <c:v>6.6144912900782629E-2</c:v>
                </c:pt>
              </c:numCache>
            </c:numRef>
          </c:val>
          <c:smooth val="0"/>
          <c:extLst>
            <c:ext xmlns:c16="http://schemas.microsoft.com/office/drawing/2014/chart" uri="{C3380CC4-5D6E-409C-BE32-E72D297353CC}">
              <c16:uniqueId val="{00000001-A910-4991-BB03-7563F8D3491C}"/>
            </c:ext>
          </c:extLst>
        </c:ser>
        <c:ser>
          <c:idx val="2"/>
          <c:order val="2"/>
          <c:tx>
            <c:strRef>
              <c:f>Hárok1!$Z$5</c:f>
              <c:strCache>
                <c:ptCount val="1"/>
                <c:pt idx="0">
                  <c:v>Cirkevné</c:v>
                </c:pt>
              </c:strCache>
            </c:strRef>
          </c:tx>
          <c:spPr>
            <a:ln w="25400" cap="rnd">
              <a:solidFill>
                <a:schemeClr val="accent3"/>
              </a:solidFill>
              <a:round/>
            </a:ln>
            <a:effectLst/>
          </c:spPr>
          <c:marker>
            <c:symbol val="none"/>
          </c:marker>
          <c:cat>
            <c:numRef>
              <c:f>Hárok1!$AA$2:$AF$2</c:f>
              <c:numCache>
                <c:formatCode>General</c:formatCode>
                <c:ptCount val="6"/>
                <c:pt idx="0">
                  <c:v>2018</c:v>
                </c:pt>
                <c:pt idx="1">
                  <c:v>2019</c:v>
                </c:pt>
                <c:pt idx="2">
                  <c:v>2020</c:v>
                </c:pt>
                <c:pt idx="3">
                  <c:v>2021</c:v>
                </c:pt>
                <c:pt idx="4">
                  <c:v>2022</c:v>
                </c:pt>
                <c:pt idx="5">
                  <c:v>2023</c:v>
                </c:pt>
              </c:numCache>
            </c:numRef>
          </c:cat>
          <c:val>
            <c:numRef>
              <c:f>Hárok1!$AA$5:$AF$5</c:f>
              <c:numCache>
                <c:formatCode>0.0%</c:formatCode>
                <c:ptCount val="6"/>
                <c:pt idx="0">
                  <c:v>0.12733094744773027</c:v>
                </c:pt>
                <c:pt idx="1">
                  <c:v>0.14963825657314275</c:v>
                </c:pt>
                <c:pt idx="2">
                  <c:v>0.17930557954741752</c:v>
                </c:pt>
                <c:pt idx="3">
                  <c:v>0.1533551300015569</c:v>
                </c:pt>
                <c:pt idx="4">
                  <c:v>0.18955425484016208</c:v>
                </c:pt>
                <c:pt idx="5">
                  <c:v>0.14490058646831641</c:v>
                </c:pt>
              </c:numCache>
            </c:numRef>
          </c:val>
          <c:smooth val="0"/>
          <c:extLst>
            <c:ext xmlns:c16="http://schemas.microsoft.com/office/drawing/2014/chart" uri="{C3380CC4-5D6E-409C-BE32-E72D297353CC}">
              <c16:uniqueId val="{00000002-A910-4991-BB03-7563F8D3491C}"/>
            </c:ext>
          </c:extLst>
        </c:ser>
        <c:dLbls>
          <c:showLegendKey val="0"/>
          <c:showVal val="0"/>
          <c:showCatName val="0"/>
          <c:showSerName val="0"/>
          <c:showPercent val="0"/>
          <c:showBubbleSize val="0"/>
        </c:dLbls>
        <c:smooth val="0"/>
        <c:axId val="861071872"/>
        <c:axId val="861073120"/>
      </c:lineChart>
      <c:catAx>
        <c:axId val="86107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861073120"/>
        <c:crosses val="autoZero"/>
        <c:auto val="1"/>
        <c:lblAlgn val="ctr"/>
        <c:lblOffset val="100"/>
        <c:noMultiLvlLbl val="0"/>
      </c:catAx>
      <c:valAx>
        <c:axId val="861073120"/>
        <c:scaling>
          <c:orientation val="minMax"/>
        </c:scaling>
        <c:delete val="0"/>
        <c:axPos val="l"/>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861071872"/>
        <c:crosses val="autoZero"/>
        <c:crossBetween val="between"/>
        <c:maj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Hárok1!$B$7</c:f>
              <c:strCache>
                <c:ptCount val="1"/>
                <c:pt idx="0">
                  <c:v>Slovenská republika</c:v>
                </c:pt>
              </c:strCache>
            </c:strRef>
          </c:tx>
          <c:spPr>
            <a:ln w="25400" cap="rnd">
              <a:solidFill>
                <a:schemeClr val="accent1"/>
              </a:solidFill>
              <a:round/>
            </a:ln>
            <a:effectLst/>
          </c:spPr>
          <c:marker>
            <c:symbol val="none"/>
          </c:marker>
          <c:cat>
            <c:strRef>
              <c:f>Hárok1!$C$6:$K$6</c:f>
              <c:strCache>
                <c:ptCount val="9"/>
                <c:pt idx="0">
                  <c:v>2015Q2</c:v>
                </c:pt>
                <c:pt idx="1">
                  <c:v>2016Q2</c:v>
                </c:pt>
                <c:pt idx="2">
                  <c:v>2017Q2</c:v>
                </c:pt>
                <c:pt idx="3">
                  <c:v>2018Q2</c:v>
                </c:pt>
                <c:pt idx="4">
                  <c:v>2019Q2</c:v>
                </c:pt>
                <c:pt idx="5">
                  <c:v>2020Q2</c:v>
                </c:pt>
                <c:pt idx="6">
                  <c:v>2021Q2</c:v>
                </c:pt>
                <c:pt idx="7">
                  <c:v>2022Q2</c:v>
                </c:pt>
                <c:pt idx="8">
                  <c:v>2023Q2</c:v>
                </c:pt>
              </c:strCache>
            </c:strRef>
          </c:cat>
          <c:val>
            <c:numRef>
              <c:f>Hárok1!$C$7:$K$7</c:f>
              <c:numCache>
                <c:formatCode>0.00</c:formatCode>
                <c:ptCount val="9"/>
                <c:pt idx="0">
                  <c:v>100</c:v>
                </c:pt>
                <c:pt idx="1">
                  <c:v>100.42274052478135</c:v>
                </c:pt>
                <c:pt idx="2">
                  <c:v>104.36588921282799</c:v>
                </c:pt>
                <c:pt idx="3">
                  <c:v>102.56559766763849</c:v>
                </c:pt>
                <c:pt idx="4">
                  <c:v>102.17201166180759</c:v>
                </c:pt>
                <c:pt idx="5">
                  <c:v>100.80903790087463</c:v>
                </c:pt>
                <c:pt idx="6">
                  <c:v>103.72448979591837</c:v>
                </c:pt>
                <c:pt idx="7">
                  <c:v>98.090379008746353</c:v>
                </c:pt>
                <c:pt idx="8">
                  <c:v>88.491253644314867</c:v>
                </c:pt>
              </c:numCache>
            </c:numRef>
          </c:val>
          <c:smooth val="0"/>
          <c:extLst>
            <c:ext xmlns:c16="http://schemas.microsoft.com/office/drawing/2014/chart" uri="{C3380CC4-5D6E-409C-BE32-E72D297353CC}">
              <c16:uniqueId val="{00000000-35CF-4FAA-8D6C-71CB125634EA}"/>
            </c:ext>
          </c:extLst>
        </c:ser>
        <c:ser>
          <c:idx val="1"/>
          <c:order val="1"/>
          <c:tx>
            <c:strRef>
              <c:f>Hárok1!$B$8</c:f>
              <c:strCache>
                <c:ptCount val="1"/>
                <c:pt idx="0">
                  <c:v>Bratislava</c:v>
                </c:pt>
              </c:strCache>
            </c:strRef>
          </c:tx>
          <c:spPr>
            <a:ln w="25400" cap="rnd">
              <a:solidFill>
                <a:schemeClr val="accent2"/>
              </a:solidFill>
              <a:round/>
            </a:ln>
            <a:effectLst/>
          </c:spPr>
          <c:marker>
            <c:symbol val="none"/>
          </c:marker>
          <c:cat>
            <c:strRef>
              <c:f>Hárok1!$C$6:$K$6</c:f>
              <c:strCache>
                <c:ptCount val="9"/>
                <c:pt idx="0">
                  <c:v>2015Q2</c:v>
                </c:pt>
                <c:pt idx="1">
                  <c:v>2016Q2</c:v>
                </c:pt>
                <c:pt idx="2">
                  <c:v>2017Q2</c:v>
                </c:pt>
                <c:pt idx="3">
                  <c:v>2018Q2</c:v>
                </c:pt>
                <c:pt idx="4">
                  <c:v>2019Q2</c:v>
                </c:pt>
                <c:pt idx="5">
                  <c:v>2020Q2</c:v>
                </c:pt>
                <c:pt idx="6">
                  <c:v>2021Q2</c:v>
                </c:pt>
                <c:pt idx="7">
                  <c:v>2022Q2</c:v>
                </c:pt>
                <c:pt idx="8">
                  <c:v>2023Q2</c:v>
                </c:pt>
              </c:strCache>
            </c:strRef>
          </c:cat>
          <c:val>
            <c:numRef>
              <c:f>Hárok1!$C$8:$K$8</c:f>
              <c:numCache>
                <c:formatCode>0.00</c:formatCode>
                <c:ptCount val="9"/>
                <c:pt idx="0">
                  <c:v>100</c:v>
                </c:pt>
                <c:pt idx="1">
                  <c:v>96.611445783132538</c:v>
                </c:pt>
                <c:pt idx="2">
                  <c:v>109.18674698795181</c:v>
                </c:pt>
                <c:pt idx="3">
                  <c:v>105.34638554216869</c:v>
                </c:pt>
                <c:pt idx="4">
                  <c:v>96.611445783132538</c:v>
                </c:pt>
                <c:pt idx="5">
                  <c:v>102.93674698795181</c:v>
                </c:pt>
                <c:pt idx="6">
                  <c:v>101.05421686746988</c:v>
                </c:pt>
                <c:pt idx="7">
                  <c:v>92.996987951807228</c:v>
                </c:pt>
                <c:pt idx="8">
                  <c:v>80.195783132530124</c:v>
                </c:pt>
              </c:numCache>
            </c:numRef>
          </c:val>
          <c:smooth val="0"/>
          <c:extLst>
            <c:ext xmlns:c16="http://schemas.microsoft.com/office/drawing/2014/chart" uri="{C3380CC4-5D6E-409C-BE32-E72D297353CC}">
              <c16:uniqueId val="{00000001-35CF-4FAA-8D6C-71CB125634EA}"/>
            </c:ext>
          </c:extLst>
        </c:ser>
        <c:dLbls>
          <c:showLegendKey val="0"/>
          <c:showVal val="0"/>
          <c:showCatName val="0"/>
          <c:showSerName val="0"/>
          <c:showPercent val="0"/>
          <c:showBubbleSize val="0"/>
        </c:dLbls>
        <c:smooth val="0"/>
        <c:axId val="863835040"/>
        <c:axId val="863834624"/>
      </c:lineChart>
      <c:catAx>
        <c:axId val="86383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863834624"/>
        <c:crosses val="autoZero"/>
        <c:auto val="1"/>
        <c:lblAlgn val="ctr"/>
        <c:lblOffset val="100"/>
        <c:noMultiLvlLbl val="0"/>
      </c:catAx>
      <c:valAx>
        <c:axId val="863834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86383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'Graf 2'!$B$13</c:f>
              <c:strCache>
                <c:ptCount val="1"/>
                <c:pt idx="0">
                  <c:v>Skutočnosť</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2'!$C$12:$J$12</c:f>
              <c:strCache>
                <c:ptCount val="8"/>
                <c:pt idx="0">
                  <c:v>2019</c:v>
                </c:pt>
                <c:pt idx="1">
                  <c:v>2020</c:v>
                </c:pt>
                <c:pt idx="2">
                  <c:v>2021</c:v>
                </c:pt>
                <c:pt idx="3">
                  <c:v>2022</c:v>
                </c:pt>
                <c:pt idx="4">
                  <c:v>2023*</c:v>
                </c:pt>
                <c:pt idx="5">
                  <c:v>2024**</c:v>
                </c:pt>
                <c:pt idx="6">
                  <c:v>2025**</c:v>
                </c:pt>
                <c:pt idx="7">
                  <c:v>2026**</c:v>
                </c:pt>
              </c:strCache>
            </c:strRef>
          </c:cat>
          <c:val>
            <c:numRef>
              <c:f>'Graf 2'!$C$13:$J$13</c:f>
              <c:numCache>
                <c:formatCode>General</c:formatCode>
                <c:ptCount val="8"/>
                <c:pt idx="0">
                  <c:v>-1.21</c:v>
                </c:pt>
                <c:pt idx="1">
                  <c:v>-5.35</c:v>
                </c:pt>
                <c:pt idx="2" formatCode="0.00">
                  <c:v>-5.18</c:v>
                </c:pt>
                <c:pt idx="3" formatCode="0.00">
                  <c:v>-2.02</c:v>
                </c:pt>
                <c:pt idx="4" formatCode="0.00">
                  <c:v>-6.52</c:v>
                </c:pt>
                <c:pt idx="5" formatCode="0.00">
                  <c:v>-5.97</c:v>
                </c:pt>
                <c:pt idx="6" formatCode="0.00">
                  <c:v>-4.97</c:v>
                </c:pt>
                <c:pt idx="7" formatCode="0.00">
                  <c:v>-3.97</c:v>
                </c:pt>
              </c:numCache>
            </c:numRef>
          </c:val>
          <c:extLst>
            <c:ext xmlns:c16="http://schemas.microsoft.com/office/drawing/2014/chart" uri="{C3380CC4-5D6E-409C-BE32-E72D297353CC}">
              <c16:uniqueId val="{00000000-FA8C-4AB3-A521-A40E100B2A91}"/>
            </c:ext>
          </c:extLst>
        </c:ser>
        <c:ser>
          <c:idx val="1"/>
          <c:order val="1"/>
          <c:tx>
            <c:strRef>
              <c:f>'Graf 2'!$B$14</c:f>
              <c:strCache>
                <c:ptCount val="1"/>
                <c:pt idx="0">
                  <c:v>Konsolidačné úsilie</c:v>
                </c:pt>
              </c:strCache>
            </c:strRef>
          </c:tx>
          <c:spPr>
            <a:solidFill>
              <a:schemeClr val="accent2"/>
            </a:solidFill>
            <a:ln>
              <a:noFill/>
            </a:ln>
            <a:effectLst/>
          </c:spPr>
          <c:invertIfNegative val="0"/>
          <c:dLbls>
            <c:dLbl>
              <c:idx val="6"/>
              <c:tx>
                <c:rich>
                  <a:bodyPr/>
                  <a:lstStyle/>
                  <a:p>
                    <a:r>
                      <a:rPr lang="en-US"/>
                      <a:t>+1,1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8C-4AB3-A521-A40E100B2A91}"/>
                </c:ext>
              </c:extLst>
            </c:dLbl>
            <c:dLbl>
              <c:idx val="7"/>
              <c:tx>
                <c:rich>
                  <a:bodyPr/>
                  <a:lstStyle/>
                  <a:p>
                    <a:r>
                      <a:rPr lang="en-US"/>
                      <a:t>+1,6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8C-4AB3-A521-A40E100B2A91}"/>
                </c:ext>
              </c:extLst>
            </c:dLbl>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2'!$C$12:$J$12</c:f>
              <c:strCache>
                <c:ptCount val="8"/>
                <c:pt idx="0">
                  <c:v>2019</c:v>
                </c:pt>
                <c:pt idx="1">
                  <c:v>2020</c:v>
                </c:pt>
                <c:pt idx="2">
                  <c:v>2021</c:v>
                </c:pt>
                <c:pt idx="3">
                  <c:v>2022</c:v>
                </c:pt>
                <c:pt idx="4">
                  <c:v>2023*</c:v>
                </c:pt>
                <c:pt idx="5">
                  <c:v>2024**</c:v>
                </c:pt>
                <c:pt idx="6">
                  <c:v>2025**</c:v>
                </c:pt>
                <c:pt idx="7">
                  <c:v>2026**</c:v>
                </c:pt>
              </c:strCache>
            </c:strRef>
          </c:cat>
          <c:val>
            <c:numRef>
              <c:f>'Graf 2'!$C$14:$J$14</c:f>
              <c:numCache>
                <c:formatCode>General</c:formatCode>
                <c:ptCount val="8"/>
                <c:pt idx="6" formatCode="0.00">
                  <c:v>-1.1000000000000001</c:v>
                </c:pt>
                <c:pt idx="7" formatCode="0.00">
                  <c:v>-1.58</c:v>
                </c:pt>
              </c:numCache>
            </c:numRef>
          </c:val>
          <c:extLst>
            <c:ext xmlns:c16="http://schemas.microsoft.com/office/drawing/2014/chart" uri="{C3380CC4-5D6E-409C-BE32-E72D297353CC}">
              <c16:uniqueId val="{00000003-FA8C-4AB3-A521-A40E100B2A91}"/>
            </c:ext>
          </c:extLst>
        </c:ser>
        <c:dLbls>
          <c:dLblPos val="ctr"/>
          <c:showLegendKey val="0"/>
          <c:showVal val="1"/>
          <c:showCatName val="0"/>
          <c:showSerName val="0"/>
          <c:showPercent val="0"/>
          <c:showBubbleSize val="0"/>
        </c:dLbls>
        <c:gapWidth val="100"/>
        <c:overlap val="100"/>
        <c:axId val="876676591"/>
        <c:axId val="876682831"/>
      </c:barChart>
      <c:catAx>
        <c:axId val="876676591"/>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876682831"/>
        <c:crosses val="autoZero"/>
        <c:auto val="1"/>
        <c:lblAlgn val="ctr"/>
        <c:lblOffset val="100"/>
        <c:noMultiLvlLbl val="0"/>
      </c:catAx>
      <c:valAx>
        <c:axId val="876682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8766765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'2020 vs 2022'!$C$1</c:f>
              <c:strCache>
                <c:ptCount val="1"/>
                <c:pt idx="0">
                  <c:v>ip_zmena22</c:v>
                </c:pt>
              </c:strCache>
            </c:strRef>
          </c:tx>
          <c:spPr>
            <a:ln w="19050" cap="rnd">
              <a:noFill/>
              <a:round/>
            </a:ln>
            <a:effectLst/>
          </c:spPr>
          <c:marker>
            <c:symbol val="circle"/>
            <c:size val="5"/>
            <c:spPr>
              <a:solidFill>
                <a:schemeClr val="accent1"/>
              </a:solidFill>
              <a:ln w="9525">
                <a:solidFill>
                  <a:schemeClr val="accent1"/>
                </a:solidFill>
              </a:ln>
              <a:effectLst/>
            </c:spPr>
          </c:marker>
          <c:xVal>
            <c:numRef>
              <c:f>'2020 vs 2022'!$B$2:$B$2987</c:f>
              <c:numCache>
                <c:formatCode>General</c:formatCode>
                <c:ptCount val="286"/>
                <c:pt idx="0">
                  <c:v>2</c:v>
                </c:pt>
                <c:pt idx="1">
                  <c:v>1</c:v>
                </c:pt>
                <c:pt idx="2">
                  <c:v>1</c:v>
                </c:pt>
                <c:pt idx="3">
                  <c:v>1</c:v>
                </c:pt>
                <c:pt idx="4">
                  <c:v>1</c:v>
                </c:pt>
                <c:pt idx="5">
                  <c:v>1</c:v>
                </c:pt>
                <c:pt idx="6">
                  <c:v>1</c:v>
                </c:pt>
                <c:pt idx="7">
                  <c:v>1</c:v>
                </c:pt>
                <c:pt idx="8">
                  <c:v>2</c:v>
                </c:pt>
                <c:pt idx="9">
                  <c:v>1</c:v>
                </c:pt>
                <c:pt idx="10">
                  <c:v>1</c:v>
                </c:pt>
                <c:pt idx="11">
                  <c:v>1</c:v>
                </c:pt>
                <c:pt idx="12">
                  <c:v>1</c:v>
                </c:pt>
                <c:pt idx="13">
                  <c:v>1</c:v>
                </c:pt>
                <c:pt idx="14">
                  <c:v>1</c:v>
                </c:pt>
                <c:pt idx="15">
                  <c:v>4</c:v>
                </c:pt>
                <c:pt idx="16">
                  <c:v>1</c:v>
                </c:pt>
                <c:pt idx="17">
                  <c:v>1</c:v>
                </c:pt>
                <c:pt idx="18">
                  <c:v>1</c:v>
                </c:pt>
                <c:pt idx="19">
                  <c:v>1</c:v>
                </c:pt>
                <c:pt idx="20">
                  <c:v>1</c:v>
                </c:pt>
                <c:pt idx="21">
                  <c:v>1</c:v>
                </c:pt>
                <c:pt idx="22">
                  <c:v>1</c:v>
                </c:pt>
                <c:pt idx="23">
                  <c:v>1</c:v>
                </c:pt>
                <c:pt idx="24">
                  <c:v>3</c:v>
                </c:pt>
                <c:pt idx="25">
                  <c:v>1</c:v>
                </c:pt>
                <c:pt idx="26">
                  <c:v>1</c:v>
                </c:pt>
                <c:pt idx="27">
                  <c:v>1</c:v>
                </c:pt>
                <c:pt idx="28">
                  <c:v>1</c:v>
                </c:pt>
                <c:pt idx="29">
                  <c:v>7</c:v>
                </c:pt>
                <c:pt idx="30">
                  <c:v>1</c:v>
                </c:pt>
                <c:pt idx="31">
                  <c:v>1</c:v>
                </c:pt>
                <c:pt idx="32">
                  <c:v>1</c:v>
                </c:pt>
                <c:pt idx="33">
                  <c:v>1</c:v>
                </c:pt>
                <c:pt idx="34">
                  <c:v>1</c:v>
                </c:pt>
                <c:pt idx="35">
                  <c:v>1</c:v>
                </c:pt>
                <c:pt idx="36">
                  <c:v>2</c:v>
                </c:pt>
                <c:pt idx="37">
                  <c:v>1</c:v>
                </c:pt>
                <c:pt idx="38">
                  <c:v>1</c:v>
                </c:pt>
                <c:pt idx="39">
                  <c:v>1</c:v>
                </c:pt>
                <c:pt idx="40">
                  <c:v>1</c:v>
                </c:pt>
                <c:pt idx="41">
                  <c:v>1</c:v>
                </c:pt>
                <c:pt idx="42">
                  <c:v>1</c:v>
                </c:pt>
                <c:pt idx="43">
                  <c:v>1</c:v>
                </c:pt>
                <c:pt idx="44">
                  <c:v>1</c:v>
                </c:pt>
                <c:pt idx="45">
                  <c:v>4</c:v>
                </c:pt>
                <c:pt idx="46">
                  <c:v>1</c:v>
                </c:pt>
                <c:pt idx="47">
                  <c:v>1</c:v>
                </c:pt>
                <c:pt idx="48">
                  <c:v>1</c:v>
                </c:pt>
                <c:pt idx="49">
                  <c:v>1</c:v>
                </c:pt>
                <c:pt idx="50">
                  <c:v>1</c:v>
                </c:pt>
                <c:pt idx="51">
                  <c:v>1</c:v>
                </c:pt>
                <c:pt idx="52">
                  <c:v>2</c:v>
                </c:pt>
                <c:pt idx="53">
                  <c:v>3</c:v>
                </c:pt>
                <c:pt idx="54">
                  <c:v>3</c:v>
                </c:pt>
                <c:pt idx="55">
                  <c:v>1</c:v>
                </c:pt>
                <c:pt idx="56">
                  <c:v>2</c:v>
                </c:pt>
                <c:pt idx="57">
                  <c:v>1</c:v>
                </c:pt>
                <c:pt idx="58">
                  <c:v>1</c:v>
                </c:pt>
                <c:pt idx="59">
                  <c:v>3</c:v>
                </c:pt>
                <c:pt idx="60">
                  <c:v>1</c:v>
                </c:pt>
                <c:pt idx="61">
                  <c:v>1</c:v>
                </c:pt>
                <c:pt idx="62">
                  <c:v>2</c:v>
                </c:pt>
                <c:pt idx="63">
                  <c:v>1</c:v>
                </c:pt>
                <c:pt idx="64">
                  <c:v>2</c:v>
                </c:pt>
                <c:pt idx="65">
                  <c:v>2</c:v>
                </c:pt>
                <c:pt idx="66">
                  <c:v>2</c:v>
                </c:pt>
                <c:pt idx="67">
                  <c:v>1</c:v>
                </c:pt>
                <c:pt idx="68">
                  <c:v>1</c:v>
                </c:pt>
                <c:pt idx="69">
                  <c:v>2</c:v>
                </c:pt>
                <c:pt idx="70">
                  <c:v>4</c:v>
                </c:pt>
                <c:pt idx="71">
                  <c:v>2</c:v>
                </c:pt>
                <c:pt idx="72">
                  <c:v>1</c:v>
                </c:pt>
                <c:pt idx="73">
                  <c:v>1</c:v>
                </c:pt>
                <c:pt idx="74">
                  <c:v>1</c:v>
                </c:pt>
                <c:pt idx="75">
                  <c:v>1</c:v>
                </c:pt>
                <c:pt idx="76">
                  <c:v>1</c:v>
                </c:pt>
                <c:pt idx="77">
                  <c:v>1</c:v>
                </c:pt>
                <c:pt idx="78">
                  <c:v>1</c:v>
                </c:pt>
                <c:pt idx="79">
                  <c:v>1</c:v>
                </c:pt>
                <c:pt idx="80">
                  <c:v>2</c:v>
                </c:pt>
                <c:pt idx="81">
                  <c:v>1</c:v>
                </c:pt>
                <c:pt idx="82">
                  <c:v>1</c:v>
                </c:pt>
                <c:pt idx="83">
                  <c:v>1</c:v>
                </c:pt>
                <c:pt idx="84">
                  <c:v>2</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2</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7</c:v>
                </c:pt>
                <c:pt idx="117">
                  <c:v>1</c:v>
                </c:pt>
                <c:pt idx="118">
                  <c:v>1</c:v>
                </c:pt>
                <c:pt idx="119">
                  <c:v>1</c:v>
                </c:pt>
                <c:pt idx="120">
                  <c:v>2</c:v>
                </c:pt>
                <c:pt idx="121">
                  <c:v>1</c:v>
                </c:pt>
                <c:pt idx="122">
                  <c:v>1</c:v>
                </c:pt>
                <c:pt idx="123">
                  <c:v>1</c:v>
                </c:pt>
                <c:pt idx="124">
                  <c:v>1</c:v>
                </c:pt>
                <c:pt idx="125">
                  <c:v>1</c:v>
                </c:pt>
                <c:pt idx="126">
                  <c:v>1</c:v>
                </c:pt>
                <c:pt idx="127">
                  <c:v>1</c:v>
                </c:pt>
                <c:pt idx="128">
                  <c:v>1</c:v>
                </c:pt>
                <c:pt idx="129">
                  <c:v>1</c:v>
                </c:pt>
                <c:pt idx="130">
                  <c:v>2</c:v>
                </c:pt>
                <c:pt idx="131">
                  <c:v>1</c:v>
                </c:pt>
                <c:pt idx="132">
                  <c:v>1</c:v>
                </c:pt>
                <c:pt idx="133">
                  <c:v>1</c:v>
                </c:pt>
                <c:pt idx="134">
                  <c:v>1</c:v>
                </c:pt>
                <c:pt idx="135">
                  <c:v>1</c:v>
                </c:pt>
                <c:pt idx="136">
                  <c:v>1</c:v>
                </c:pt>
                <c:pt idx="137">
                  <c:v>1</c:v>
                </c:pt>
                <c:pt idx="138">
                  <c:v>2</c:v>
                </c:pt>
                <c:pt idx="139">
                  <c:v>1</c:v>
                </c:pt>
                <c:pt idx="140">
                  <c:v>1</c:v>
                </c:pt>
                <c:pt idx="141">
                  <c:v>1</c:v>
                </c:pt>
                <c:pt idx="142">
                  <c:v>1</c:v>
                </c:pt>
                <c:pt idx="143">
                  <c:v>4</c:v>
                </c:pt>
                <c:pt idx="144">
                  <c:v>1</c:v>
                </c:pt>
                <c:pt idx="145">
                  <c:v>1</c:v>
                </c:pt>
                <c:pt idx="146">
                  <c:v>12</c:v>
                </c:pt>
                <c:pt idx="147">
                  <c:v>12</c:v>
                </c:pt>
                <c:pt idx="148">
                  <c:v>1</c:v>
                </c:pt>
                <c:pt idx="149">
                  <c:v>1</c:v>
                </c:pt>
                <c:pt idx="150">
                  <c:v>1</c:v>
                </c:pt>
                <c:pt idx="151">
                  <c:v>1</c:v>
                </c:pt>
                <c:pt idx="152">
                  <c:v>2</c:v>
                </c:pt>
                <c:pt idx="153">
                  <c:v>1</c:v>
                </c:pt>
                <c:pt idx="154">
                  <c:v>6</c:v>
                </c:pt>
                <c:pt idx="155">
                  <c:v>1</c:v>
                </c:pt>
                <c:pt idx="156">
                  <c:v>1</c:v>
                </c:pt>
                <c:pt idx="157">
                  <c:v>3</c:v>
                </c:pt>
                <c:pt idx="158">
                  <c:v>6</c:v>
                </c:pt>
                <c:pt idx="159">
                  <c:v>13</c:v>
                </c:pt>
                <c:pt idx="160">
                  <c:v>3</c:v>
                </c:pt>
                <c:pt idx="161">
                  <c:v>1</c:v>
                </c:pt>
                <c:pt idx="162">
                  <c:v>1</c:v>
                </c:pt>
                <c:pt idx="163">
                  <c:v>2</c:v>
                </c:pt>
                <c:pt idx="164">
                  <c:v>1</c:v>
                </c:pt>
                <c:pt idx="165">
                  <c:v>1</c:v>
                </c:pt>
                <c:pt idx="166">
                  <c:v>3</c:v>
                </c:pt>
                <c:pt idx="167">
                  <c:v>2</c:v>
                </c:pt>
                <c:pt idx="168">
                  <c:v>1</c:v>
                </c:pt>
                <c:pt idx="169">
                  <c:v>2</c:v>
                </c:pt>
                <c:pt idx="170">
                  <c:v>2</c:v>
                </c:pt>
                <c:pt idx="171">
                  <c:v>1</c:v>
                </c:pt>
                <c:pt idx="172">
                  <c:v>1</c:v>
                </c:pt>
                <c:pt idx="173">
                  <c:v>40</c:v>
                </c:pt>
                <c:pt idx="174">
                  <c:v>1</c:v>
                </c:pt>
                <c:pt idx="175">
                  <c:v>4</c:v>
                </c:pt>
                <c:pt idx="176">
                  <c:v>1</c:v>
                </c:pt>
                <c:pt idx="177">
                  <c:v>1</c:v>
                </c:pt>
                <c:pt idx="178">
                  <c:v>2</c:v>
                </c:pt>
                <c:pt idx="179">
                  <c:v>1</c:v>
                </c:pt>
                <c:pt idx="180">
                  <c:v>9</c:v>
                </c:pt>
                <c:pt idx="181">
                  <c:v>1</c:v>
                </c:pt>
                <c:pt idx="182">
                  <c:v>15</c:v>
                </c:pt>
                <c:pt idx="183">
                  <c:v>1</c:v>
                </c:pt>
                <c:pt idx="184">
                  <c:v>12</c:v>
                </c:pt>
                <c:pt idx="185">
                  <c:v>1</c:v>
                </c:pt>
                <c:pt idx="186">
                  <c:v>56</c:v>
                </c:pt>
                <c:pt idx="187">
                  <c:v>1</c:v>
                </c:pt>
                <c:pt idx="188">
                  <c:v>1</c:v>
                </c:pt>
                <c:pt idx="189">
                  <c:v>16</c:v>
                </c:pt>
                <c:pt idx="190">
                  <c:v>6</c:v>
                </c:pt>
                <c:pt idx="191">
                  <c:v>1</c:v>
                </c:pt>
                <c:pt idx="192">
                  <c:v>4</c:v>
                </c:pt>
                <c:pt idx="193">
                  <c:v>2</c:v>
                </c:pt>
                <c:pt idx="194">
                  <c:v>1</c:v>
                </c:pt>
                <c:pt idx="195">
                  <c:v>1</c:v>
                </c:pt>
                <c:pt idx="196">
                  <c:v>12</c:v>
                </c:pt>
                <c:pt idx="197">
                  <c:v>17</c:v>
                </c:pt>
                <c:pt idx="198">
                  <c:v>24</c:v>
                </c:pt>
                <c:pt idx="199">
                  <c:v>10</c:v>
                </c:pt>
                <c:pt idx="200">
                  <c:v>10</c:v>
                </c:pt>
                <c:pt idx="201">
                  <c:v>5</c:v>
                </c:pt>
                <c:pt idx="202">
                  <c:v>19</c:v>
                </c:pt>
                <c:pt idx="203">
                  <c:v>1</c:v>
                </c:pt>
                <c:pt idx="204">
                  <c:v>6</c:v>
                </c:pt>
                <c:pt idx="205">
                  <c:v>1</c:v>
                </c:pt>
                <c:pt idx="206">
                  <c:v>20</c:v>
                </c:pt>
                <c:pt idx="207">
                  <c:v>1</c:v>
                </c:pt>
                <c:pt idx="208">
                  <c:v>1</c:v>
                </c:pt>
                <c:pt idx="209">
                  <c:v>2</c:v>
                </c:pt>
                <c:pt idx="210">
                  <c:v>11</c:v>
                </c:pt>
                <c:pt idx="211">
                  <c:v>21</c:v>
                </c:pt>
                <c:pt idx="212">
                  <c:v>2</c:v>
                </c:pt>
                <c:pt idx="213">
                  <c:v>2</c:v>
                </c:pt>
                <c:pt idx="214">
                  <c:v>1</c:v>
                </c:pt>
                <c:pt idx="215">
                  <c:v>39</c:v>
                </c:pt>
                <c:pt idx="216">
                  <c:v>7</c:v>
                </c:pt>
                <c:pt idx="217">
                  <c:v>1</c:v>
                </c:pt>
                <c:pt idx="218">
                  <c:v>1</c:v>
                </c:pt>
                <c:pt idx="219">
                  <c:v>7</c:v>
                </c:pt>
                <c:pt idx="220">
                  <c:v>1</c:v>
                </c:pt>
                <c:pt idx="221">
                  <c:v>3</c:v>
                </c:pt>
                <c:pt idx="222">
                  <c:v>44</c:v>
                </c:pt>
                <c:pt idx="223">
                  <c:v>3</c:v>
                </c:pt>
                <c:pt idx="224">
                  <c:v>12</c:v>
                </c:pt>
                <c:pt idx="225">
                  <c:v>7</c:v>
                </c:pt>
                <c:pt idx="226">
                  <c:v>1</c:v>
                </c:pt>
                <c:pt idx="227">
                  <c:v>1</c:v>
                </c:pt>
                <c:pt idx="228">
                  <c:v>12</c:v>
                </c:pt>
                <c:pt idx="229">
                  <c:v>7</c:v>
                </c:pt>
                <c:pt idx="230">
                  <c:v>2</c:v>
                </c:pt>
                <c:pt idx="231">
                  <c:v>1</c:v>
                </c:pt>
                <c:pt idx="232">
                  <c:v>2</c:v>
                </c:pt>
                <c:pt idx="233">
                  <c:v>5</c:v>
                </c:pt>
                <c:pt idx="234">
                  <c:v>4</c:v>
                </c:pt>
                <c:pt idx="235">
                  <c:v>3</c:v>
                </c:pt>
                <c:pt idx="236">
                  <c:v>3</c:v>
                </c:pt>
                <c:pt idx="237">
                  <c:v>1</c:v>
                </c:pt>
                <c:pt idx="238">
                  <c:v>1</c:v>
                </c:pt>
                <c:pt idx="239">
                  <c:v>1</c:v>
                </c:pt>
                <c:pt idx="240">
                  <c:v>2</c:v>
                </c:pt>
                <c:pt idx="241">
                  <c:v>45</c:v>
                </c:pt>
                <c:pt idx="242">
                  <c:v>1</c:v>
                </c:pt>
                <c:pt idx="243">
                  <c:v>1</c:v>
                </c:pt>
                <c:pt idx="244">
                  <c:v>1</c:v>
                </c:pt>
                <c:pt idx="245">
                  <c:v>2</c:v>
                </c:pt>
                <c:pt idx="246">
                  <c:v>1</c:v>
                </c:pt>
                <c:pt idx="247">
                  <c:v>2</c:v>
                </c:pt>
                <c:pt idx="248">
                  <c:v>42</c:v>
                </c:pt>
                <c:pt idx="249">
                  <c:v>30</c:v>
                </c:pt>
                <c:pt idx="250">
                  <c:v>1</c:v>
                </c:pt>
                <c:pt idx="251">
                  <c:v>3</c:v>
                </c:pt>
                <c:pt idx="252">
                  <c:v>1</c:v>
                </c:pt>
                <c:pt idx="253">
                  <c:v>1</c:v>
                </c:pt>
                <c:pt idx="254">
                  <c:v>1</c:v>
                </c:pt>
                <c:pt idx="255">
                  <c:v>1</c:v>
                </c:pt>
                <c:pt idx="256">
                  <c:v>4</c:v>
                </c:pt>
                <c:pt idx="257">
                  <c:v>1</c:v>
                </c:pt>
                <c:pt idx="258">
                  <c:v>1</c:v>
                </c:pt>
                <c:pt idx="259">
                  <c:v>1</c:v>
                </c:pt>
                <c:pt idx="260">
                  <c:v>1</c:v>
                </c:pt>
                <c:pt idx="261">
                  <c:v>1</c:v>
                </c:pt>
                <c:pt idx="262">
                  <c:v>1</c:v>
                </c:pt>
                <c:pt idx="263">
                  <c:v>1</c:v>
                </c:pt>
                <c:pt idx="264">
                  <c:v>4</c:v>
                </c:pt>
                <c:pt idx="265">
                  <c:v>1</c:v>
                </c:pt>
                <c:pt idx="266">
                  <c:v>2</c:v>
                </c:pt>
                <c:pt idx="267">
                  <c:v>6</c:v>
                </c:pt>
                <c:pt idx="268">
                  <c:v>6</c:v>
                </c:pt>
                <c:pt idx="269">
                  <c:v>10</c:v>
                </c:pt>
                <c:pt idx="270">
                  <c:v>38</c:v>
                </c:pt>
                <c:pt idx="271">
                  <c:v>32</c:v>
                </c:pt>
                <c:pt idx="272">
                  <c:v>1</c:v>
                </c:pt>
                <c:pt idx="273">
                  <c:v>17</c:v>
                </c:pt>
                <c:pt idx="274">
                  <c:v>2</c:v>
                </c:pt>
                <c:pt idx="275">
                  <c:v>1</c:v>
                </c:pt>
                <c:pt idx="276">
                  <c:v>12</c:v>
                </c:pt>
                <c:pt idx="277">
                  <c:v>6</c:v>
                </c:pt>
                <c:pt idx="278">
                  <c:v>8</c:v>
                </c:pt>
                <c:pt idx="279">
                  <c:v>1</c:v>
                </c:pt>
                <c:pt idx="280">
                  <c:v>1</c:v>
                </c:pt>
                <c:pt idx="281">
                  <c:v>7</c:v>
                </c:pt>
                <c:pt idx="282">
                  <c:v>3</c:v>
                </c:pt>
                <c:pt idx="283">
                  <c:v>74</c:v>
                </c:pt>
                <c:pt idx="284">
                  <c:v>2</c:v>
                </c:pt>
                <c:pt idx="285">
                  <c:v>1</c:v>
                </c:pt>
              </c:numCache>
            </c:numRef>
          </c:xVal>
          <c:yVal>
            <c:numRef>
              <c:f>'2020 vs 2022'!$C$2:$C$2987</c:f>
              <c:numCache>
                <c:formatCode>General</c:formatCode>
                <c:ptCount val="286"/>
                <c:pt idx="0">
                  <c:v>-1</c:v>
                </c:pt>
                <c:pt idx="1">
                  <c:v>0</c:v>
                </c:pt>
                <c:pt idx="2">
                  <c:v>0</c:v>
                </c:pt>
                <c:pt idx="3">
                  <c:v>0</c:v>
                </c:pt>
                <c:pt idx="4">
                  <c:v>2</c:v>
                </c:pt>
                <c:pt idx="5">
                  <c:v>5</c:v>
                </c:pt>
                <c:pt idx="6">
                  <c:v>-3</c:v>
                </c:pt>
                <c:pt idx="7">
                  <c:v>0</c:v>
                </c:pt>
                <c:pt idx="8">
                  <c:v>2</c:v>
                </c:pt>
                <c:pt idx="9">
                  <c:v>0</c:v>
                </c:pt>
                <c:pt idx="10">
                  <c:v>0</c:v>
                </c:pt>
                <c:pt idx="11">
                  <c:v>0</c:v>
                </c:pt>
                <c:pt idx="12">
                  <c:v>0</c:v>
                </c:pt>
                <c:pt idx="13">
                  <c:v>0</c:v>
                </c:pt>
                <c:pt idx="14">
                  <c:v>1</c:v>
                </c:pt>
                <c:pt idx="15">
                  <c:v>-1</c:v>
                </c:pt>
                <c:pt idx="16">
                  <c:v>0</c:v>
                </c:pt>
                <c:pt idx="17">
                  <c:v>0</c:v>
                </c:pt>
                <c:pt idx="18">
                  <c:v>0</c:v>
                </c:pt>
                <c:pt idx="19">
                  <c:v>0</c:v>
                </c:pt>
                <c:pt idx="20">
                  <c:v>2</c:v>
                </c:pt>
                <c:pt idx="21">
                  <c:v>0</c:v>
                </c:pt>
                <c:pt idx="22">
                  <c:v>0</c:v>
                </c:pt>
                <c:pt idx="23">
                  <c:v>0</c:v>
                </c:pt>
                <c:pt idx="24">
                  <c:v>0</c:v>
                </c:pt>
                <c:pt idx="25">
                  <c:v>1</c:v>
                </c:pt>
                <c:pt idx="26">
                  <c:v>0</c:v>
                </c:pt>
                <c:pt idx="27">
                  <c:v>0</c:v>
                </c:pt>
                <c:pt idx="28">
                  <c:v>0</c:v>
                </c:pt>
                <c:pt idx="29">
                  <c:v>-1</c:v>
                </c:pt>
                <c:pt idx="30">
                  <c:v>0</c:v>
                </c:pt>
                <c:pt idx="31">
                  <c:v>3</c:v>
                </c:pt>
                <c:pt idx="32">
                  <c:v>1</c:v>
                </c:pt>
                <c:pt idx="33">
                  <c:v>0</c:v>
                </c:pt>
                <c:pt idx="34">
                  <c:v>0</c:v>
                </c:pt>
                <c:pt idx="35">
                  <c:v>0</c:v>
                </c:pt>
                <c:pt idx="36">
                  <c:v>0</c:v>
                </c:pt>
                <c:pt idx="37">
                  <c:v>0</c:v>
                </c:pt>
                <c:pt idx="38">
                  <c:v>0</c:v>
                </c:pt>
                <c:pt idx="39">
                  <c:v>0</c:v>
                </c:pt>
                <c:pt idx="40">
                  <c:v>0</c:v>
                </c:pt>
                <c:pt idx="41">
                  <c:v>0</c:v>
                </c:pt>
                <c:pt idx="42">
                  <c:v>0</c:v>
                </c:pt>
                <c:pt idx="43">
                  <c:v>0</c:v>
                </c:pt>
                <c:pt idx="44">
                  <c:v>-3</c:v>
                </c:pt>
                <c:pt idx="45">
                  <c:v>1</c:v>
                </c:pt>
                <c:pt idx="46">
                  <c:v>0</c:v>
                </c:pt>
                <c:pt idx="47">
                  <c:v>2</c:v>
                </c:pt>
                <c:pt idx="48">
                  <c:v>1</c:v>
                </c:pt>
                <c:pt idx="49">
                  <c:v>0</c:v>
                </c:pt>
                <c:pt idx="50">
                  <c:v>0</c:v>
                </c:pt>
                <c:pt idx="51">
                  <c:v>0</c:v>
                </c:pt>
                <c:pt idx="52">
                  <c:v>0</c:v>
                </c:pt>
                <c:pt idx="53">
                  <c:v>2</c:v>
                </c:pt>
                <c:pt idx="54">
                  <c:v>1</c:v>
                </c:pt>
                <c:pt idx="55">
                  <c:v>1</c:v>
                </c:pt>
                <c:pt idx="56">
                  <c:v>0</c:v>
                </c:pt>
                <c:pt idx="57">
                  <c:v>0</c:v>
                </c:pt>
                <c:pt idx="58">
                  <c:v>0</c:v>
                </c:pt>
                <c:pt idx="59">
                  <c:v>0</c:v>
                </c:pt>
                <c:pt idx="60">
                  <c:v>2</c:v>
                </c:pt>
                <c:pt idx="61">
                  <c:v>1</c:v>
                </c:pt>
                <c:pt idx="62">
                  <c:v>0</c:v>
                </c:pt>
                <c:pt idx="63">
                  <c:v>0</c:v>
                </c:pt>
                <c:pt idx="64">
                  <c:v>1</c:v>
                </c:pt>
                <c:pt idx="65">
                  <c:v>0</c:v>
                </c:pt>
                <c:pt idx="66">
                  <c:v>3</c:v>
                </c:pt>
                <c:pt idx="67">
                  <c:v>2</c:v>
                </c:pt>
                <c:pt idx="68">
                  <c:v>0</c:v>
                </c:pt>
                <c:pt idx="69">
                  <c:v>0</c:v>
                </c:pt>
                <c:pt idx="70">
                  <c:v>5</c:v>
                </c:pt>
                <c:pt idx="71">
                  <c:v>0</c:v>
                </c:pt>
                <c:pt idx="72">
                  <c:v>0</c:v>
                </c:pt>
                <c:pt idx="73">
                  <c:v>0</c:v>
                </c:pt>
                <c:pt idx="74">
                  <c:v>0</c:v>
                </c:pt>
                <c:pt idx="75">
                  <c:v>0</c:v>
                </c:pt>
                <c:pt idx="76">
                  <c:v>0</c:v>
                </c:pt>
                <c:pt idx="77">
                  <c:v>0</c:v>
                </c:pt>
                <c:pt idx="78">
                  <c:v>-1</c:v>
                </c:pt>
                <c:pt idx="79">
                  <c:v>0</c:v>
                </c:pt>
                <c:pt idx="80">
                  <c:v>0</c:v>
                </c:pt>
                <c:pt idx="81">
                  <c:v>-1</c:v>
                </c:pt>
                <c:pt idx="82">
                  <c:v>0</c:v>
                </c:pt>
                <c:pt idx="83">
                  <c:v>0</c:v>
                </c:pt>
                <c:pt idx="84">
                  <c:v>1</c:v>
                </c:pt>
                <c:pt idx="85">
                  <c:v>2</c:v>
                </c:pt>
                <c:pt idx="86">
                  <c:v>0</c:v>
                </c:pt>
                <c:pt idx="87">
                  <c:v>1</c:v>
                </c:pt>
                <c:pt idx="88">
                  <c:v>0</c:v>
                </c:pt>
                <c:pt idx="89">
                  <c:v>0</c:v>
                </c:pt>
                <c:pt idx="90">
                  <c:v>0</c:v>
                </c:pt>
                <c:pt idx="91">
                  <c:v>0</c:v>
                </c:pt>
                <c:pt idx="92">
                  <c:v>1</c:v>
                </c:pt>
                <c:pt idx="93">
                  <c:v>0</c:v>
                </c:pt>
                <c:pt idx="94">
                  <c:v>1</c:v>
                </c:pt>
                <c:pt idx="95">
                  <c:v>0</c:v>
                </c:pt>
                <c:pt idx="96">
                  <c:v>0</c:v>
                </c:pt>
                <c:pt idx="97">
                  <c:v>0</c:v>
                </c:pt>
                <c:pt idx="98">
                  <c:v>2</c:v>
                </c:pt>
                <c:pt idx="99">
                  <c:v>0</c:v>
                </c:pt>
                <c:pt idx="100">
                  <c:v>0</c:v>
                </c:pt>
                <c:pt idx="101">
                  <c:v>1</c:v>
                </c:pt>
                <c:pt idx="102">
                  <c:v>0</c:v>
                </c:pt>
                <c:pt idx="103">
                  <c:v>-2</c:v>
                </c:pt>
                <c:pt idx="104">
                  <c:v>0</c:v>
                </c:pt>
                <c:pt idx="105">
                  <c:v>2</c:v>
                </c:pt>
                <c:pt idx="106">
                  <c:v>-3</c:v>
                </c:pt>
                <c:pt idx="107">
                  <c:v>1</c:v>
                </c:pt>
                <c:pt idx="108">
                  <c:v>0</c:v>
                </c:pt>
                <c:pt idx="109">
                  <c:v>1</c:v>
                </c:pt>
                <c:pt idx="110">
                  <c:v>1</c:v>
                </c:pt>
                <c:pt idx="111">
                  <c:v>1</c:v>
                </c:pt>
                <c:pt idx="112">
                  <c:v>1</c:v>
                </c:pt>
                <c:pt idx="113">
                  <c:v>-1</c:v>
                </c:pt>
                <c:pt idx="114">
                  <c:v>0</c:v>
                </c:pt>
                <c:pt idx="115">
                  <c:v>0</c:v>
                </c:pt>
                <c:pt idx="116">
                  <c:v>0</c:v>
                </c:pt>
                <c:pt idx="117">
                  <c:v>0</c:v>
                </c:pt>
                <c:pt idx="118">
                  <c:v>3</c:v>
                </c:pt>
                <c:pt idx="119">
                  <c:v>-1</c:v>
                </c:pt>
                <c:pt idx="120">
                  <c:v>2</c:v>
                </c:pt>
                <c:pt idx="121">
                  <c:v>0</c:v>
                </c:pt>
                <c:pt idx="122">
                  <c:v>0</c:v>
                </c:pt>
                <c:pt idx="123">
                  <c:v>0</c:v>
                </c:pt>
                <c:pt idx="124">
                  <c:v>2</c:v>
                </c:pt>
                <c:pt idx="125">
                  <c:v>0</c:v>
                </c:pt>
                <c:pt idx="126">
                  <c:v>1</c:v>
                </c:pt>
                <c:pt idx="127">
                  <c:v>0</c:v>
                </c:pt>
                <c:pt idx="128">
                  <c:v>0</c:v>
                </c:pt>
                <c:pt idx="129">
                  <c:v>0</c:v>
                </c:pt>
                <c:pt idx="130">
                  <c:v>0</c:v>
                </c:pt>
                <c:pt idx="131">
                  <c:v>0</c:v>
                </c:pt>
                <c:pt idx="132">
                  <c:v>1</c:v>
                </c:pt>
                <c:pt idx="133">
                  <c:v>0</c:v>
                </c:pt>
                <c:pt idx="134">
                  <c:v>-3</c:v>
                </c:pt>
                <c:pt idx="135">
                  <c:v>0</c:v>
                </c:pt>
                <c:pt idx="136">
                  <c:v>0</c:v>
                </c:pt>
                <c:pt idx="137">
                  <c:v>0</c:v>
                </c:pt>
                <c:pt idx="138">
                  <c:v>2</c:v>
                </c:pt>
                <c:pt idx="139">
                  <c:v>0</c:v>
                </c:pt>
                <c:pt idx="140">
                  <c:v>0</c:v>
                </c:pt>
                <c:pt idx="141">
                  <c:v>2</c:v>
                </c:pt>
                <c:pt idx="142">
                  <c:v>-1</c:v>
                </c:pt>
                <c:pt idx="143">
                  <c:v>1</c:v>
                </c:pt>
                <c:pt idx="144">
                  <c:v>4</c:v>
                </c:pt>
                <c:pt idx="145">
                  <c:v>2</c:v>
                </c:pt>
                <c:pt idx="146">
                  <c:v>4</c:v>
                </c:pt>
                <c:pt idx="147">
                  <c:v>0</c:v>
                </c:pt>
                <c:pt idx="148">
                  <c:v>-2</c:v>
                </c:pt>
                <c:pt idx="149">
                  <c:v>0</c:v>
                </c:pt>
                <c:pt idx="150">
                  <c:v>1</c:v>
                </c:pt>
                <c:pt idx="151">
                  <c:v>0</c:v>
                </c:pt>
                <c:pt idx="152">
                  <c:v>0</c:v>
                </c:pt>
                <c:pt idx="153">
                  <c:v>1</c:v>
                </c:pt>
                <c:pt idx="154">
                  <c:v>0</c:v>
                </c:pt>
                <c:pt idx="155">
                  <c:v>0</c:v>
                </c:pt>
                <c:pt idx="156">
                  <c:v>0</c:v>
                </c:pt>
                <c:pt idx="157">
                  <c:v>0</c:v>
                </c:pt>
                <c:pt idx="158">
                  <c:v>0</c:v>
                </c:pt>
                <c:pt idx="159">
                  <c:v>-1</c:v>
                </c:pt>
                <c:pt idx="160">
                  <c:v>1</c:v>
                </c:pt>
                <c:pt idx="161">
                  <c:v>0</c:v>
                </c:pt>
                <c:pt idx="162">
                  <c:v>-2</c:v>
                </c:pt>
                <c:pt idx="163">
                  <c:v>0</c:v>
                </c:pt>
                <c:pt idx="164">
                  <c:v>0</c:v>
                </c:pt>
                <c:pt idx="165">
                  <c:v>0</c:v>
                </c:pt>
                <c:pt idx="166">
                  <c:v>2</c:v>
                </c:pt>
                <c:pt idx="167">
                  <c:v>0</c:v>
                </c:pt>
                <c:pt idx="168">
                  <c:v>0</c:v>
                </c:pt>
                <c:pt idx="169">
                  <c:v>0</c:v>
                </c:pt>
                <c:pt idx="170">
                  <c:v>1</c:v>
                </c:pt>
                <c:pt idx="171">
                  <c:v>1</c:v>
                </c:pt>
                <c:pt idx="172">
                  <c:v>0</c:v>
                </c:pt>
                <c:pt idx="173">
                  <c:v>-3</c:v>
                </c:pt>
                <c:pt idx="174">
                  <c:v>0</c:v>
                </c:pt>
                <c:pt idx="175">
                  <c:v>0</c:v>
                </c:pt>
                <c:pt idx="176">
                  <c:v>-3</c:v>
                </c:pt>
                <c:pt idx="177">
                  <c:v>0</c:v>
                </c:pt>
                <c:pt idx="178">
                  <c:v>0</c:v>
                </c:pt>
                <c:pt idx="179">
                  <c:v>0</c:v>
                </c:pt>
                <c:pt idx="180">
                  <c:v>-1</c:v>
                </c:pt>
                <c:pt idx="181">
                  <c:v>0</c:v>
                </c:pt>
                <c:pt idx="182">
                  <c:v>-2</c:v>
                </c:pt>
                <c:pt idx="183">
                  <c:v>-1</c:v>
                </c:pt>
                <c:pt idx="184">
                  <c:v>0</c:v>
                </c:pt>
                <c:pt idx="185">
                  <c:v>-4</c:v>
                </c:pt>
                <c:pt idx="186">
                  <c:v>-3</c:v>
                </c:pt>
                <c:pt idx="187">
                  <c:v>0</c:v>
                </c:pt>
                <c:pt idx="188">
                  <c:v>0</c:v>
                </c:pt>
                <c:pt idx="189">
                  <c:v>1</c:v>
                </c:pt>
                <c:pt idx="190">
                  <c:v>3</c:v>
                </c:pt>
                <c:pt idx="191">
                  <c:v>0</c:v>
                </c:pt>
                <c:pt idx="192">
                  <c:v>0</c:v>
                </c:pt>
                <c:pt idx="193">
                  <c:v>0</c:v>
                </c:pt>
                <c:pt idx="194">
                  <c:v>0</c:v>
                </c:pt>
                <c:pt idx="195">
                  <c:v>0</c:v>
                </c:pt>
                <c:pt idx="196">
                  <c:v>0</c:v>
                </c:pt>
                <c:pt idx="197">
                  <c:v>2</c:v>
                </c:pt>
                <c:pt idx="198">
                  <c:v>0</c:v>
                </c:pt>
                <c:pt idx="199">
                  <c:v>-2</c:v>
                </c:pt>
                <c:pt idx="200">
                  <c:v>0</c:v>
                </c:pt>
                <c:pt idx="201">
                  <c:v>-2</c:v>
                </c:pt>
                <c:pt idx="202">
                  <c:v>1</c:v>
                </c:pt>
                <c:pt idx="203">
                  <c:v>1</c:v>
                </c:pt>
                <c:pt idx="204">
                  <c:v>-2</c:v>
                </c:pt>
                <c:pt idx="205">
                  <c:v>0</c:v>
                </c:pt>
                <c:pt idx="206">
                  <c:v>0</c:v>
                </c:pt>
                <c:pt idx="207">
                  <c:v>0</c:v>
                </c:pt>
                <c:pt idx="208">
                  <c:v>3</c:v>
                </c:pt>
                <c:pt idx="209">
                  <c:v>0</c:v>
                </c:pt>
                <c:pt idx="210">
                  <c:v>0</c:v>
                </c:pt>
                <c:pt idx="211">
                  <c:v>2</c:v>
                </c:pt>
                <c:pt idx="212">
                  <c:v>0</c:v>
                </c:pt>
                <c:pt idx="213">
                  <c:v>0</c:v>
                </c:pt>
                <c:pt idx="214">
                  <c:v>0</c:v>
                </c:pt>
                <c:pt idx="215">
                  <c:v>1</c:v>
                </c:pt>
                <c:pt idx="216">
                  <c:v>0</c:v>
                </c:pt>
                <c:pt idx="217">
                  <c:v>0</c:v>
                </c:pt>
                <c:pt idx="218">
                  <c:v>0</c:v>
                </c:pt>
                <c:pt idx="219">
                  <c:v>0</c:v>
                </c:pt>
                <c:pt idx="220">
                  <c:v>-1</c:v>
                </c:pt>
                <c:pt idx="221">
                  <c:v>-3</c:v>
                </c:pt>
                <c:pt idx="222">
                  <c:v>5</c:v>
                </c:pt>
                <c:pt idx="223">
                  <c:v>-1</c:v>
                </c:pt>
                <c:pt idx="224">
                  <c:v>0</c:v>
                </c:pt>
                <c:pt idx="225">
                  <c:v>1</c:v>
                </c:pt>
                <c:pt idx="226">
                  <c:v>0</c:v>
                </c:pt>
                <c:pt idx="227">
                  <c:v>0</c:v>
                </c:pt>
                <c:pt idx="228">
                  <c:v>2</c:v>
                </c:pt>
                <c:pt idx="229">
                  <c:v>0</c:v>
                </c:pt>
                <c:pt idx="230">
                  <c:v>1</c:v>
                </c:pt>
                <c:pt idx="231">
                  <c:v>-1</c:v>
                </c:pt>
                <c:pt idx="232">
                  <c:v>1</c:v>
                </c:pt>
                <c:pt idx="233">
                  <c:v>0</c:v>
                </c:pt>
                <c:pt idx="234">
                  <c:v>1</c:v>
                </c:pt>
                <c:pt idx="235">
                  <c:v>1</c:v>
                </c:pt>
                <c:pt idx="236">
                  <c:v>0</c:v>
                </c:pt>
                <c:pt idx="237">
                  <c:v>1</c:v>
                </c:pt>
                <c:pt idx="238">
                  <c:v>0</c:v>
                </c:pt>
                <c:pt idx="239">
                  <c:v>3</c:v>
                </c:pt>
                <c:pt idx="240">
                  <c:v>0</c:v>
                </c:pt>
                <c:pt idx="241">
                  <c:v>0</c:v>
                </c:pt>
                <c:pt idx="242">
                  <c:v>1</c:v>
                </c:pt>
                <c:pt idx="243">
                  <c:v>1</c:v>
                </c:pt>
                <c:pt idx="244">
                  <c:v>2</c:v>
                </c:pt>
                <c:pt idx="245">
                  <c:v>0</c:v>
                </c:pt>
                <c:pt idx="246">
                  <c:v>1</c:v>
                </c:pt>
                <c:pt idx="247">
                  <c:v>0</c:v>
                </c:pt>
                <c:pt idx="248">
                  <c:v>1</c:v>
                </c:pt>
                <c:pt idx="249">
                  <c:v>0</c:v>
                </c:pt>
                <c:pt idx="250">
                  <c:v>0</c:v>
                </c:pt>
                <c:pt idx="251">
                  <c:v>0</c:v>
                </c:pt>
                <c:pt idx="252">
                  <c:v>0</c:v>
                </c:pt>
                <c:pt idx="253">
                  <c:v>-2</c:v>
                </c:pt>
                <c:pt idx="254">
                  <c:v>0</c:v>
                </c:pt>
                <c:pt idx="255">
                  <c:v>4</c:v>
                </c:pt>
                <c:pt idx="256">
                  <c:v>0</c:v>
                </c:pt>
                <c:pt idx="257">
                  <c:v>0</c:v>
                </c:pt>
                <c:pt idx="258">
                  <c:v>0</c:v>
                </c:pt>
                <c:pt idx="259">
                  <c:v>0</c:v>
                </c:pt>
                <c:pt idx="260">
                  <c:v>0</c:v>
                </c:pt>
                <c:pt idx="261">
                  <c:v>0</c:v>
                </c:pt>
                <c:pt idx="262">
                  <c:v>2</c:v>
                </c:pt>
                <c:pt idx="263">
                  <c:v>1</c:v>
                </c:pt>
                <c:pt idx="264">
                  <c:v>0</c:v>
                </c:pt>
                <c:pt idx="265">
                  <c:v>-2</c:v>
                </c:pt>
                <c:pt idx="266">
                  <c:v>0</c:v>
                </c:pt>
                <c:pt idx="267">
                  <c:v>0</c:v>
                </c:pt>
                <c:pt idx="268">
                  <c:v>2</c:v>
                </c:pt>
                <c:pt idx="269">
                  <c:v>0</c:v>
                </c:pt>
                <c:pt idx="270">
                  <c:v>-2</c:v>
                </c:pt>
                <c:pt idx="271">
                  <c:v>0</c:v>
                </c:pt>
                <c:pt idx="272">
                  <c:v>0</c:v>
                </c:pt>
                <c:pt idx="273">
                  <c:v>0</c:v>
                </c:pt>
                <c:pt idx="274">
                  <c:v>1</c:v>
                </c:pt>
                <c:pt idx="275">
                  <c:v>0</c:v>
                </c:pt>
                <c:pt idx="276">
                  <c:v>1</c:v>
                </c:pt>
                <c:pt idx="277">
                  <c:v>0</c:v>
                </c:pt>
                <c:pt idx="278">
                  <c:v>1</c:v>
                </c:pt>
                <c:pt idx="279">
                  <c:v>0</c:v>
                </c:pt>
                <c:pt idx="280">
                  <c:v>0</c:v>
                </c:pt>
                <c:pt idx="281">
                  <c:v>0</c:v>
                </c:pt>
                <c:pt idx="282">
                  <c:v>0</c:v>
                </c:pt>
                <c:pt idx="283">
                  <c:v>0</c:v>
                </c:pt>
                <c:pt idx="284">
                  <c:v>-1</c:v>
                </c:pt>
                <c:pt idx="285">
                  <c:v>0</c:v>
                </c:pt>
              </c:numCache>
            </c:numRef>
          </c:yVal>
          <c:smooth val="0"/>
          <c:extLst>
            <c:ext xmlns:c16="http://schemas.microsoft.com/office/drawing/2014/chart" uri="{C3380CC4-5D6E-409C-BE32-E72D297353CC}">
              <c16:uniqueId val="{00000000-95F9-4D53-AEF5-B4C30BB7A476}"/>
            </c:ext>
          </c:extLst>
        </c:ser>
        <c:dLbls>
          <c:showLegendKey val="0"/>
          <c:showVal val="0"/>
          <c:showCatName val="0"/>
          <c:showSerName val="0"/>
          <c:showPercent val="0"/>
          <c:showBubbleSize val="0"/>
        </c:dLbls>
        <c:axId val="2008225023"/>
        <c:axId val="2008228351"/>
      </c:scatterChart>
      <c:valAx>
        <c:axId val="200822502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sz="800" b="0" i="0" u="none" strike="noStrike" kern="1200" baseline="0">
                    <a:solidFill>
                      <a:schemeClr val="tx2"/>
                    </a:solidFill>
                    <a:latin typeface="Segoe UI" panose="020B0502040204020203" pitchFamily="34" charset="0"/>
                    <a:ea typeface="+mn-ea"/>
                    <a:cs typeface="Segoe UI" panose="020B0502040204020203" pitchFamily="34" charset="0"/>
                  </a:defRPr>
                </a:pPr>
                <a:r>
                  <a:rPr lang="sk-SK"/>
                  <a:t>Nárast počtu znevýhodnených 5-ročných detí</a:t>
                </a:r>
              </a:p>
            </c:rich>
          </c:tx>
          <c:overlay val="0"/>
          <c:spPr>
            <a:noFill/>
            <a:ln>
              <a:noFill/>
            </a:ln>
            <a:effectLst/>
          </c:spPr>
          <c:txPr>
            <a:bodyPr rot="0" spcFirstLastPara="1" vertOverflow="ellipsis" vert="horz" wrap="square" anchor="ctr" anchorCtr="1"/>
            <a:lstStyle/>
            <a:p>
              <a:pPr algn="ctr" rtl="0">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008228351"/>
        <c:crosses val="autoZero"/>
        <c:crossBetween val="midCat"/>
      </c:valAx>
      <c:valAx>
        <c:axId val="20082283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r>
                  <a:rPr lang="sk-SK"/>
                  <a:t>Zmena počtu inkluzívnehi personálu</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008225023"/>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Hárok1!$B$10</c:f>
              <c:strCache>
                <c:ptCount val="1"/>
                <c:pt idx="0">
                  <c:v>ŠR</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Hárok1!$C$9:$G$9</c:f>
              <c:strCache>
                <c:ptCount val="5"/>
                <c:pt idx="0">
                  <c:v>2020</c:v>
                </c:pt>
                <c:pt idx="1">
                  <c:v>2021</c:v>
                </c:pt>
                <c:pt idx="2">
                  <c:v>2022</c:v>
                </c:pt>
                <c:pt idx="3">
                  <c:v>2023 OS</c:v>
                </c:pt>
                <c:pt idx="4">
                  <c:v>2024 N</c:v>
                </c:pt>
              </c:strCache>
            </c:strRef>
          </c:cat>
          <c:val>
            <c:numRef>
              <c:f>Hárok1!$C$10:$G$10</c:f>
              <c:numCache>
                <c:formatCode>0.0</c:formatCode>
                <c:ptCount val="5"/>
                <c:pt idx="0">
                  <c:v>14.561248000000001</c:v>
                </c:pt>
                <c:pt idx="1">
                  <c:v>12.194012000000001</c:v>
                </c:pt>
                <c:pt idx="2">
                  <c:v>12.104075</c:v>
                </c:pt>
                <c:pt idx="3">
                  <c:v>15.715453</c:v>
                </c:pt>
                <c:pt idx="4">
                  <c:v>16.537571</c:v>
                </c:pt>
              </c:numCache>
            </c:numRef>
          </c:val>
          <c:extLst>
            <c:ext xmlns:c16="http://schemas.microsoft.com/office/drawing/2014/chart" uri="{C3380CC4-5D6E-409C-BE32-E72D297353CC}">
              <c16:uniqueId val="{00000000-2316-4EB9-9087-562A079B044A}"/>
            </c:ext>
          </c:extLst>
        </c:ser>
        <c:ser>
          <c:idx val="1"/>
          <c:order val="1"/>
          <c:tx>
            <c:strRef>
              <c:f>Hárok1!$B$11</c:f>
              <c:strCache>
                <c:ptCount val="1"/>
                <c:pt idx="0">
                  <c:v>POO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Hárok1!$C$9:$G$9</c:f>
              <c:strCache>
                <c:ptCount val="5"/>
                <c:pt idx="0">
                  <c:v>2020</c:v>
                </c:pt>
                <c:pt idx="1">
                  <c:v>2021</c:v>
                </c:pt>
                <c:pt idx="2">
                  <c:v>2022</c:v>
                </c:pt>
                <c:pt idx="3">
                  <c:v>2023 OS</c:v>
                </c:pt>
                <c:pt idx="4">
                  <c:v>2024 N</c:v>
                </c:pt>
              </c:strCache>
            </c:strRef>
          </c:cat>
          <c:val>
            <c:numRef>
              <c:f>Hárok1!$C$11:$G$11</c:f>
              <c:numCache>
                <c:formatCode>General</c:formatCode>
                <c:ptCount val="5"/>
                <c:pt idx="2" formatCode="0.0">
                  <c:v>7.16852</c:v>
                </c:pt>
                <c:pt idx="3" formatCode="0.0">
                  <c:v>10.294684999999999</c:v>
                </c:pt>
                <c:pt idx="4" formatCode="0.0">
                  <c:v>6.47959</c:v>
                </c:pt>
              </c:numCache>
            </c:numRef>
          </c:val>
          <c:extLst>
            <c:ext xmlns:c16="http://schemas.microsoft.com/office/drawing/2014/chart" uri="{C3380CC4-5D6E-409C-BE32-E72D297353CC}">
              <c16:uniqueId val="{00000001-2316-4EB9-9087-562A079B044A}"/>
            </c:ext>
          </c:extLst>
        </c:ser>
        <c:dLbls>
          <c:showLegendKey val="0"/>
          <c:showVal val="0"/>
          <c:showCatName val="0"/>
          <c:showSerName val="0"/>
          <c:showPercent val="0"/>
          <c:showBubbleSize val="0"/>
        </c:dLbls>
        <c:gapWidth val="100"/>
        <c:overlap val="100"/>
        <c:axId val="306129103"/>
        <c:axId val="306129935"/>
      </c:barChart>
      <c:catAx>
        <c:axId val="306129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306129935"/>
        <c:crosses val="autoZero"/>
        <c:auto val="1"/>
        <c:lblAlgn val="ctr"/>
        <c:lblOffset val="100"/>
        <c:noMultiLvlLbl val="0"/>
      </c:catAx>
      <c:valAx>
        <c:axId val="3061299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306129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540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Hárok1!$C$3:$C$8</c:f>
              <c:strCache>
                <c:ptCount val="6"/>
                <c:pt idx="0">
                  <c:v>2018</c:v>
                </c:pt>
                <c:pt idx="1">
                  <c:v>2019</c:v>
                </c:pt>
                <c:pt idx="2">
                  <c:v>2020</c:v>
                </c:pt>
                <c:pt idx="3">
                  <c:v>2021</c:v>
                </c:pt>
                <c:pt idx="4">
                  <c:v>2022</c:v>
                </c:pt>
                <c:pt idx="5">
                  <c:v>2023*</c:v>
                </c:pt>
              </c:strCache>
            </c:strRef>
          </c:cat>
          <c:val>
            <c:numRef>
              <c:f>Hárok1!$F$3:$F$8</c:f>
              <c:numCache>
                <c:formatCode>#,##0</c:formatCode>
                <c:ptCount val="6"/>
                <c:pt idx="0">
                  <c:v>-28871</c:v>
                </c:pt>
                <c:pt idx="1">
                  <c:v>-17965</c:v>
                </c:pt>
                <c:pt idx="2">
                  <c:v>2599</c:v>
                </c:pt>
                <c:pt idx="3">
                  <c:v>2777</c:v>
                </c:pt>
                <c:pt idx="4">
                  <c:v>-33100</c:v>
                </c:pt>
                <c:pt idx="5">
                  <c:v>-34110</c:v>
                </c:pt>
              </c:numCache>
            </c:numRef>
          </c:val>
          <c:smooth val="0"/>
          <c:extLst>
            <c:ext xmlns:c16="http://schemas.microsoft.com/office/drawing/2014/chart" uri="{C3380CC4-5D6E-409C-BE32-E72D297353CC}">
              <c16:uniqueId val="{00000000-19D6-4985-93E6-1EE3DE5A33DF}"/>
            </c:ext>
          </c:extLst>
        </c:ser>
        <c:dLbls>
          <c:dLblPos val="b"/>
          <c:showLegendKey val="0"/>
          <c:showVal val="1"/>
          <c:showCatName val="0"/>
          <c:showSerName val="0"/>
          <c:showPercent val="0"/>
          <c:showBubbleSize val="0"/>
        </c:dLbls>
        <c:smooth val="0"/>
        <c:axId val="531732655"/>
        <c:axId val="531733487"/>
      </c:lineChart>
      <c:catAx>
        <c:axId val="531732655"/>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531733487"/>
        <c:crosses val="autoZero"/>
        <c:auto val="1"/>
        <c:lblAlgn val="ctr"/>
        <c:lblOffset val="100"/>
        <c:noMultiLvlLbl val="0"/>
      </c:catAx>
      <c:valAx>
        <c:axId val="5317334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53173265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820425561468557E-2"/>
          <c:y val="4.357298474945534E-2"/>
          <c:w val="0.87400325752428154"/>
          <c:h val="0.58614070300036025"/>
        </c:manualLayout>
      </c:layout>
      <c:lineChart>
        <c:grouping val="standard"/>
        <c:varyColors val="0"/>
        <c:ser>
          <c:idx val="0"/>
          <c:order val="0"/>
          <c:tx>
            <c:strRef>
              <c:f>Hárok1!$D$38</c:f>
              <c:strCache>
                <c:ptCount val="1"/>
                <c:pt idx="0">
                  <c:v>Požiadavka fin. prostr. na neregulované platby zo ŠR SR</c:v>
                </c:pt>
              </c:strCache>
            </c:strRef>
          </c:tx>
          <c:spPr>
            <a:ln w="25400" cap="rnd">
              <a:solidFill>
                <a:schemeClr val="accent1"/>
              </a:solidFill>
              <a:round/>
            </a:ln>
            <a:effectLst/>
          </c:spPr>
          <c:marker>
            <c:symbol val="none"/>
          </c:marker>
          <c:dLbls>
            <c:dLbl>
              <c:idx val="0"/>
              <c:layout>
                <c:manualLayout>
                  <c:x val="0"/>
                  <c:y val="-3.47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03-4C83-8125-109E10C30187}"/>
                </c:ext>
              </c:extLst>
            </c:dLbl>
            <c:dLbl>
              <c:idx val="2"/>
              <c:layout>
                <c:manualLayout>
                  <c:x val="-6.9051305263837248E-17"/>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03-4C83-8125-109E10C30187}"/>
                </c:ext>
              </c:extLst>
            </c:dLbl>
            <c:dLbl>
              <c:idx val="3"/>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03-4C83-8125-109E10C30187}"/>
                </c:ext>
              </c:extLst>
            </c:dLbl>
            <c:dLbl>
              <c:idx val="4"/>
              <c:layout>
                <c:manualLayout>
                  <c:x val="-7.5329566854990581E-3"/>
                  <c:y val="-6.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03-4C83-8125-109E10C30187}"/>
                </c:ext>
              </c:extLst>
            </c:dLbl>
            <c:dLbl>
              <c:idx val="5"/>
              <c:layout>
                <c:manualLayout>
                  <c:x val="-2.5380710659898477E-2"/>
                  <c:y val="-4.7368637743811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03-4C83-8125-109E10C30187}"/>
                </c:ext>
              </c:extLst>
            </c:dLbl>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Hárok1!$C$32:$C$37</c:f>
              <c:strCache>
                <c:ptCount val="6"/>
                <c:pt idx="0">
                  <c:v>2018</c:v>
                </c:pt>
                <c:pt idx="1">
                  <c:v>2019</c:v>
                </c:pt>
                <c:pt idx="2">
                  <c:v>2020</c:v>
                </c:pt>
                <c:pt idx="3">
                  <c:v>2021</c:v>
                </c:pt>
                <c:pt idx="4">
                  <c:v>2022</c:v>
                </c:pt>
                <c:pt idx="5">
                  <c:v>2023*</c:v>
                </c:pt>
              </c:strCache>
            </c:strRef>
          </c:cat>
          <c:val>
            <c:numRef>
              <c:f>Hárok1!$F$32:$F$37</c:f>
              <c:numCache>
                <c:formatCode>#,##0</c:formatCode>
                <c:ptCount val="6"/>
                <c:pt idx="0">
                  <c:v>40207</c:v>
                </c:pt>
                <c:pt idx="1">
                  <c:v>41347</c:v>
                </c:pt>
                <c:pt idx="2">
                  <c:v>72001</c:v>
                </c:pt>
                <c:pt idx="3">
                  <c:v>58601.417999999998</c:v>
                </c:pt>
                <c:pt idx="4">
                  <c:v>50059.218000000001</c:v>
                </c:pt>
                <c:pt idx="5">
                  <c:v>57000</c:v>
                </c:pt>
              </c:numCache>
            </c:numRef>
          </c:val>
          <c:smooth val="0"/>
          <c:extLst>
            <c:ext xmlns:c16="http://schemas.microsoft.com/office/drawing/2014/chart" uri="{C3380CC4-5D6E-409C-BE32-E72D297353CC}">
              <c16:uniqueId val="{00000005-BA03-4C83-8125-109E10C30187}"/>
            </c:ext>
          </c:extLst>
        </c:ser>
        <c:ser>
          <c:idx val="1"/>
          <c:order val="1"/>
          <c:tx>
            <c:strRef>
              <c:f>Hárok1!$D$39</c:f>
              <c:strCache>
                <c:ptCount val="1"/>
                <c:pt idx="0">
                  <c:v>Pridelené fin. prostr. na neregulované platby zo ŠR SR</c:v>
                </c:pt>
              </c:strCache>
            </c:strRef>
          </c:tx>
          <c:spPr>
            <a:ln w="25400" cap="rnd">
              <a:solidFill>
                <a:schemeClr val="accent2"/>
              </a:solidFill>
              <a:round/>
            </a:ln>
            <a:effectLst/>
          </c:spPr>
          <c:marker>
            <c:symbol val="none"/>
          </c:marker>
          <c:dLbls>
            <c:dLbl>
              <c:idx val="0"/>
              <c:layout>
                <c:manualLayout>
                  <c:x val="-1.8832391713747645E-3"/>
                  <c:y val="3.12500000000000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A03-4C83-8125-109E10C30187}"/>
                </c:ext>
              </c:extLst>
            </c:dLbl>
            <c:dLbl>
              <c:idx val="1"/>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A03-4C83-8125-109E10C30187}"/>
                </c:ext>
              </c:extLst>
            </c:dLbl>
            <c:dLbl>
              <c:idx val="3"/>
              <c:layout>
                <c:manualLayout>
                  <c:x val="0"/>
                  <c:y val="-2.77777777777779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A03-4C83-8125-109E10C30187}"/>
                </c:ext>
              </c:extLst>
            </c:dLbl>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Hárok1!$C$32:$C$37</c:f>
              <c:strCache>
                <c:ptCount val="6"/>
                <c:pt idx="0">
                  <c:v>2018</c:v>
                </c:pt>
                <c:pt idx="1">
                  <c:v>2019</c:v>
                </c:pt>
                <c:pt idx="2">
                  <c:v>2020</c:v>
                </c:pt>
                <c:pt idx="3">
                  <c:v>2021</c:v>
                </c:pt>
                <c:pt idx="4">
                  <c:v>2022</c:v>
                </c:pt>
                <c:pt idx="5">
                  <c:v>2023*</c:v>
                </c:pt>
              </c:strCache>
            </c:strRef>
          </c:cat>
          <c:val>
            <c:numRef>
              <c:f>Hárok1!$G$32:$G$36</c:f>
              <c:numCache>
                <c:formatCode>#,##0</c:formatCode>
                <c:ptCount val="5"/>
                <c:pt idx="0">
                  <c:v>27510</c:v>
                </c:pt>
                <c:pt idx="1">
                  <c:v>27143.429</c:v>
                </c:pt>
                <c:pt idx="2">
                  <c:v>28100</c:v>
                </c:pt>
                <c:pt idx="3">
                  <c:v>8000</c:v>
                </c:pt>
                <c:pt idx="4">
                  <c:v>2500</c:v>
                </c:pt>
              </c:numCache>
            </c:numRef>
          </c:val>
          <c:smooth val="0"/>
          <c:extLst>
            <c:ext xmlns:c16="http://schemas.microsoft.com/office/drawing/2014/chart" uri="{C3380CC4-5D6E-409C-BE32-E72D297353CC}">
              <c16:uniqueId val="{00000009-BA03-4C83-8125-109E10C30187}"/>
            </c:ext>
          </c:extLst>
        </c:ser>
        <c:dLbls>
          <c:showLegendKey val="0"/>
          <c:showVal val="0"/>
          <c:showCatName val="0"/>
          <c:showSerName val="0"/>
          <c:showPercent val="0"/>
          <c:showBubbleSize val="0"/>
        </c:dLbls>
        <c:smooth val="0"/>
        <c:axId val="294688351"/>
        <c:axId val="294689599"/>
      </c:lineChart>
      <c:catAx>
        <c:axId val="294688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94689599"/>
        <c:crosses val="autoZero"/>
        <c:auto val="1"/>
        <c:lblAlgn val="ctr"/>
        <c:lblOffset val="100"/>
        <c:noMultiLvlLbl val="0"/>
      </c:catAx>
      <c:valAx>
        <c:axId val="2946895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94688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b="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'Graf 3'!$B$3</c:f>
              <c:strCache>
                <c:ptCount val="1"/>
                <c:pt idx="0">
                  <c:v>Čistý dlh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3'!$F$2:$M$2</c:f>
              <c:strCache>
                <c:ptCount val="8"/>
                <c:pt idx="0">
                  <c:v>2019</c:v>
                </c:pt>
                <c:pt idx="1">
                  <c:v>2020</c:v>
                </c:pt>
                <c:pt idx="2">
                  <c:v>2021</c:v>
                </c:pt>
                <c:pt idx="3">
                  <c:v>2022</c:v>
                </c:pt>
                <c:pt idx="4">
                  <c:v>2023*</c:v>
                </c:pt>
                <c:pt idx="5">
                  <c:v>2024**</c:v>
                </c:pt>
                <c:pt idx="6">
                  <c:v>2025**</c:v>
                </c:pt>
                <c:pt idx="7">
                  <c:v>2026**</c:v>
                </c:pt>
              </c:strCache>
            </c:strRef>
          </c:cat>
          <c:val>
            <c:numRef>
              <c:f>'Graf 3'!$F$3:$M$3</c:f>
              <c:numCache>
                <c:formatCode>_-* #\ ##0.0_-;\-* #\ ##0.0_-;_-* "-"??_-;_-@_-</c:formatCode>
                <c:ptCount val="8"/>
                <c:pt idx="0">
                  <c:v>43.3</c:v>
                </c:pt>
                <c:pt idx="1">
                  <c:v>48.9</c:v>
                </c:pt>
                <c:pt idx="2">
                  <c:v>50.6</c:v>
                </c:pt>
                <c:pt idx="3">
                  <c:v>49.5</c:v>
                </c:pt>
                <c:pt idx="4">
                  <c:v>51.9</c:v>
                </c:pt>
                <c:pt idx="5">
                  <c:v>53</c:v>
                </c:pt>
                <c:pt idx="6">
                  <c:v>54</c:v>
                </c:pt>
                <c:pt idx="7">
                  <c:v>55</c:v>
                </c:pt>
              </c:numCache>
            </c:numRef>
          </c:val>
          <c:extLst>
            <c:ext xmlns:c16="http://schemas.microsoft.com/office/drawing/2014/chart" uri="{C3380CC4-5D6E-409C-BE32-E72D297353CC}">
              <c16:uniqueId val="{00000000-B179-4626-A8EA-F4593E09736D}"/>
            </c:ext>
          </c:extLst>
        </c:ser>
        <c:ser>
          <c:idx val="1"/>
          <c:order val="1"/>
          <c:tx>
            <c:strRef>
              <c:f>'Graf 3'!$B$4</c:f>
              <c:strCache>
                <c:ptCount val="1"/>
                <c:pt idx="0">
                  <c:v>Hrubý dlh</c:v>
                </c:pt>
              </c:strCache>
            </c:strRef>
          </c:tx>
          <c:spPr>
            <a:solidFill>
              <a:schemeClr val="tx2"/>
            </a:solidFill>
            <a:ln>
              <a:noFill/>
            </a:ln>
            <a:effectLst/>
          </c:spPr>
          <c:invertIfNegative val="0"/>
          <c:cat>
            <c:strRef>
              <c:f>'Graf 3'!$F$2:$M$2</c:f>
              <c:strCache>
                <c:ptCount val="8"/>
                <c:pt idx="0">
                  <c:v>2019</c:v>
                </c:pt>
                <c:pt idx="1">
                  <c:v>2020</c:v>
                </c:pt>
                <c:pt idx="2">
                  <c:v>2021</c:v>
                </c:pt>
                <c:pt idx="3">
                  <c:v>2022</c:v>
                </c:pt>
                <c:pt idx="4">
                  <c:v>2023*</c:v>
                </c:pt>
                <c:pt idx="5">
                  <c:v>2024**</c:v>
                </c:pt>
                <c:pt idx="6">
                  <c:v>2025**</c:v>
                </c:pt>
                <c:pt idx="7">
                  <c:v>2026**</c:v>
                </c:pt>
              </c:strCache>
            </c:strRef>
          </c:cat>
          <c:val>
            <c:numRef>
              <c:f>'Graf 3'!$F$4:$M$4</c:f>
              <c:numCache>
                <c:formatCode>_-* #\ ##0.0_-;\-* #\ ##0.0_-;_-* "-"??_-;_-@_-</c:formatCode>
                <c:ptCount val="8"/>
                <c:pt idx="0">
                  <c:v>4.7000000000000028</c:v>
                </c:pt>
                <c:pt idx="1">
                  <c:v>10</c:v>
                </c:pt>
                <c:pt idx="2">
                  <c:v>10.5</c:v>
                </c:pt>
                <c:pt idx="3">
                  <c:v>8.2999999999999972</c:v>
                </c:pt>
                <c:pt idx="4">
                  <c:v>4.8999999999999986</c:v>
                </c:pt>
                <c:pt idx="5">
                  <c:v>5.2999999999999972</c:v>
                </c:pt>
                <c:pt idx="6">
                  <c:v>5.6000000000000014</c:v>
                </c:pt>
                <c:pt idx="7">
                  <c:v>6.3999999999999986</c:v>
                </c:pt>
              </c:numCache>
            </c:numRef>
          </c:val>
          <c:extLst>
            <c:ext xmlns:c16="http://schemas.microsoft.com/office/drawing/2014/chart" uri="{C3380CC4-5D6E-409C-BE32-E72D297353CC}">
              <c16:uniqueId val="{00000001-B179-4626-A8EA-F4593E09736D}"/>
            </c:ext>
          </c:extLst>
        </c:ser>
        <c:ser>
          <c:idx val="2"/>
          <c:order val="2"/>
          <c:tx>
            <c:strRef>
              <c:f>'Graf 3'!$B$5</c:f>
              <c:strCache>
                <c:ptCount val="1"/>
                <c:pt idx="0">
                  <c:v>SPOLU</c:v>
                </c:pt>
              </c:strCache>
            </c:strRef>
          </c:tx>
          <c:spPr>
            <a:no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3'!$F$2:$M$2</c:f>
              <c:strCache>
                <c:ptCount val="8"/>
                <c:pt idx="0">
                  <c:v>2019</c:v>
                </c:pt>
                <c:pt idx="1">
                  <c:v>2020</c:v>
                </c:pt>
                <c:pt idx="2">
                  <c:v>2021</c:v>
                </c:pt>
                <c:pt idx="3">
                  <c:v>2022</c:v>
                </c:pt>
                <c:pt idx="4">
                  <c:v>2023*</c:v>
                </c:pt>
                <c:pt idx="5">
                  <c:v>2024**</c:v>
                </c:pt>
                <c:pt idx="6">
                  <c:v>2025**</c:v>
                </c:pt>
                <c:pt idx="7">
                  <c:v>2026**</c:v>
                </c:pt>
              </c:strCache>
            </c:strRef>
          </c:cat>
          <c:val>
            <c:numRef>
              <c:f>'Graf 3'!$F$5:$M$5</c:f>
              <c:numCache>
                <c:formatCode>_-* #\ ##0.0_-;\-* #\ ##0.0_-;_-* "-"??_-;_-@_-</c:formatCode>
                <c:ptCount val="8"/>
                <c:pt idx="0">
                  <c:v>48</c:v>
                </c:pt>
                <c:pt idx="1">
                  <c:v>58.9</c:v>
                </c:pt>
                <c:pt idx="2">
                  <c:v>61.1</c:v>
                </c:pt>
                <c:pt idx="3">
                  <c:v>57.8</c:v>
                </c:pt>
                <c:pt idx="4">
                  <c:v>56.8</c:v>
                </c:pt>
                <c:pt idx="5">
                  <c:v>58.3</c:v>
                </c:pt>
                <c:pt idx="6">
                  <c:v>59.6</c:v>
                </c:pt>
                <c:pt idx="7">
                  <c:v>61.4</c:v>
                </c:pt>
              </c:numCache>
            </c:numRef>
          </c:val>
          <c:extLst>
            <c:ext xmlns:c16="http://schemas.microsoft.com/office/drawing/2014/chart" uri="{C3380CC4-5D6E-409C-BE32-E72D297353CC}">
              <c16:uniqueId val="{00000002-B179-4626-A8EA-F4593E09736D}"/>
            </c:ext>
          </c:extLst>
        </c:ser>
        <c:dLbls>
          <c:showLegendKey val="0"/>
          <c:showVal val="0"/>
          <c:showCatName val="0"/>
          <c:showSerName val="0"/>
          <c:showPercent val="0"/>
          <c:showBubbleSize val="0"/>
        </c:dLbls>
        <c:gapWidth val="100"/>
        <c:overlap val="100"/>
        <c:axId val="740144240"/>
        <c:axId val="740143408"/>
      </c:barChart>
      <c:lineChart>
        <c:grouping val="standard"/>
        <c:varyColors val="0"/>
        <c:ser>
          <c:idx val="3"/>
          <c:order val="3"/>
          <c:tx>
            <c:strRef>
              <c:f>'Graf 3'!$B$6</c:f>
              <c:strCache>
                <c:ptCount val="1"/>
                <c:pt idx="0">
                  <c:v>5. sankčné pásmo</c:v>
                </c:pt>
              </c:strCache>
            </c:strRef>
          </c:tx>
          <c:spPr>
            <a:ln w="25400" cap="rnd">
              <a:solidFill>
                <a:schemeClr val="accent6"/>
              </a:solidFill>
              <a:prstDash val="sysDash"/>
              <a:round/>
            </a:ln>
            <a:effectLst/>
          </c:spPr>
          <c:marker>
            <c:symbol val="none"/>
          </c:marker>
          <c:cat>
            <c:strRef>
              <c:f>'Graf 3'!$F$2:$M$2</c:f>
              <c:strCache>
                <c:ptCount val="8"/>
                <c:pt idx="0">
                  <c:v>2019</c:v>
                </c:pt>
                <c:pt idx="1">
                  <c:v>2020</c:v>
                </c:pt>
                <c:pt idx="2">
                  <c:v>2021</c:v>
                </c:pt>
                <c:pt idx="3">
                  <c:v>2022</c:v>
                </c:pt>
                <c:pt idx="4">
                  <c:v>2023*</c:v>
                </c:pt>
                <c:pt idx="5">
                  <c:v>2024**</c:v>
                </c:pt>
                <c:pt idx="6">
                  <c:v>2025**</c:v>
                </c:pt>
                <c:pt idx="7">
                  <c:v>2026**</c:v>
                </c:pt>
              </c:strCache>
            </c:strRef>
          </c:cat>
          <c:val>
            <c:numRef>
              <c:f>'Graf 3'!$F$6:$M$6</c:f>
              <c:numCache>
                <c:formatCode>_-* #\ ##0.0_-;\-* #\ ##0.0_-;_-* "-"??_-;_-@_-</c:formatCode>
                <c:ptCount val="8"/>
                <c:pt idx="0">
                  <c:v>59</c:v>
                </c:pt>
                <c:pt idx="1">
                  <c:v>58</c:v>
                </c:pt>
                <c:pt idx="2">
                  <c:v>57</c:v>
                </c:pt>
                <c:pt idx="3">
                  <c:v>56</c:v>
                </c:pt>
                <c:pt idx="4">
                  <c:v>55</c:v>
                </c:pt>
                <c:pt idx="5">
                  <c:v>54</c:v>
                </c:pt>
                <c:pt idx="6">
                  <c:v>53</c:v>
                </c:pt>
                <c:pt idx="7">
                  <c:v>52</c:v>
                </c:pt>
              </c:numCache>
            </c:numRef>
          </c:val>
          <c:smooth val="0"/>
          <c:extLst>
            <c:ext xmlns:c16="http://schemas.microsoft.com/office/drawing/2014/chart" uri="{C3380CC4-5D6E-409C-BE32-E72D297353CC}">
              <c16:uniqueId val="{00000003-B179-4626-A8EA-F4593E09736D}"/>
            </c:ext>
          </c:extLst>
        </c:ser>
        <c:dLbls>
          <c:showLegendKey val="0"/>
          <c:showVal val="0"/>
          <c:showCatName val="0"/>
          <c:showSerName val="0"/>
          <c:showPercent val="0"/>
          <c:showBubbleSize val="0"/>
        </c:dLbls>
        <c:marker val="1"/>
        <c:smooth val="0"/>
        <c:axId val="740144240"/>
        <c:axId val="740143408"/>
      </c:lineChart>
      <c:catAx>
        <c:axId val="74014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740143408"/>
        <c:crosses val="autoZero"/>
        <c:auto val="1"/>
        <c:lblAlgn val="ctr"/>
        <c:lblOffset val="100"/>
        <c:noMultiLvlLbl val="0"/>
      </c:catAx>
      <c:valAx>
        <c:axId val="740143408"/>
        <c:scaling>
          <c:orientation val="minMax"/>
          <c:max val="70"/>
        </c:scaling>
        <c:delete val="0"/>
        <c:axPos val="l"/>
        <c:majorGridlines>
          <c:spPr>
            <a:ln w="9525" cap="flat" cmpd="sng" algn="ctr">
              <a:solidFill>
                <a:schemeClr val="tx1">
                  <a:lumMod val="15000"/>
                  <a:lumOff val="85000"/>
                </a:schemeClr>
              </a:solidFill>
              <a:round/>
            </a:ln>
            <a:effectLst/>
          </c:spPr>
        </c:majorGridlines>
        <c:numFmt formatCode="_-* #\ ##0.0_-;\-* #\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74014424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Hárok8!$F$7</c:f>
              <c:strCache>
                <c:ptCount val="1"/>
                <c:pt idx="0">
                  <c:v>Prostriedky z rozpočtu EÚ</c:v>
                </c:pt>
              </c:strCache>
            </c:strRef>
          </c:tx>
          <c:spPr>
            <a:solidFill>
              <a:schemeClr val="accent1"/>
            </a:solidFill>
            <a:ln>
              <a:noFill/>
            </a:ln>
            <a:effectLst/>
          </c:spPr>
          <c:invertIfNegative val="0"/>
          <c:cat>
            <c:strRef>
              <c:f>Hárok8!$G$6:$I$6</c:f>
              <c:strCache>
                <c:ptCount val="3"/>
                <c:pt idx="0">
                  <c:v>Návrh rozpočtu  2023</c:v>
                </c:pt>
                <c:pt idx="1">
                  <c:v>Očakávaná skutočnosť 2023</c:v>
                </c:pt>
                <c:pt idx="2">
                  <c:v>Návrh rozpočtu 2024</c:v>
                </c:pt>
              </c:strCache>
            </c:strRef>
          </c:cat>
          <c:val>
            <c:numRef>
              <c:f>Hárok8!$G$7:$I$7</c:f>
              <c:numCache>
                <c:formatCode>#\ ##0.000</c:formatCode>
                <c:ptCount val="3"/>
                <c:pt idx="0">
                  <c:v>5.3072429999999997</c:v>
                </c:pt>
                <c:pt idx="1">
                  <c:v>4.2330579999999998</c:v>
                </c:pt>
                <c:pt idx="2">
                  <c:v>1.237239</c:v>
                </c:pt>
              </c:numCache>
            </c:numRef>
          </c:val>
          <c:extLst>
            <c:ext xmlns:c16="http://schemas.microsoft.com/office/drawing/2014/chart" uri="{C3380CC4-5D6E-409C-BE32-E72D297353CC}">
              <c16:uniqueId val="{00000000-28B5-4667-A1C1-9A960B2D23D5}"/>
            </c:ext>
          </c:extLst>
        </c:ser>
        <c:ser>
          <c:idx val="1"/>
          <c:order val="1"/>
          <c:tx>
            <c:strRef>
              <c:f>Hárok8!$F$8</c:f>
              <c:strCache>
                <c:ptCount val="1"/>
                <c:pt idx="0">
                  <c:v>Prostriedky z POO</c:v>
                </c:pt>
              </c:strCache>
            </c:strRef>
          </c:tx>
          <c:spPr>
            <a:solidFill>
              <a:schemeClr val="accent2"/>
            </a:solidFill>
            <a:ln>
              <a:noFill/>
            </a:ln>
            <a:effectLst/>
          </c:spPr>
          <c:invertIfNegative val="0"/>
          <c:cat>
            <c:strRef>
              <c:f>Hárok8!$G$6:$I$6</c:f>
              <c:strCache>
                <c:ptCount val="3"/>
                <c:pt idx="0">
                  <c:v>Návrh rozpočtu  2023</c:v>
                </c:pt>
                <c:pt idx="1">
                  <c:v>Očakávaná skutočnosť 2023</c:v>
                </c:pt>
                <c:pt idx="2">
                  <c:v>Návrh rozpočtu 2024</c:v>
                </c:pt>
              </c:strCache>
            </c:strRef>
          </c:cat>
          <c:val>
            <c:numRef>
              <c:f>Hárok8!$G$8:$I$8</c:f>
              <c:numCache>
                <c:formatCode>#\ ##0.000</c:formatCode>
                <c:ptCount val="3"/>
                <c:pt idx="0">
                  <c:v>2.0110000000000001</c:v>
                </c:pt>
                <c:pt idx="1">
                  <c:v>0.41199999999999998</c:v>
                </c:pt>
                <c:pt idx="2">
                  <c:v>1.2154019629999999</c:v>
                </c:pt>
              </c:numCache>
            </c:numRef>
          </c:val>
          <c:extLst>
            <c:ext xmlns:c16="http://schemas.microsoft.com/office/drawing/2014/chart" uri="{C3380CC4-5D6E-409C-BE32-E72D297353CC}">
              <c16:uniqueId val="{00000001-28B5-4667-A1C1-9A960B2D23D5}"/>
            </c:ext>
          </c:extLst>
        </c:ser>
        <c:dLbls>
          <c:showLegendKey val="0"/>
          <c:showVal val="0"/>
          <c:showCatName val="0"/>
          <c:showSerName val="0"/>
          <c:showPercent val="0"/>
          <c:showBubbleSize val="0"/>
        </c:dLbls>
        <c:gapWidth val="150"/>
        <c:overlap val="100"/>
        <c:axId val="512113999"/>
        <c:axId val="512113167"/>
      </c:barChart>
      <c:catAx>
        <c:axId val="512113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512113167"/>
        <c:crosses val="autoZero"/>
        <c:auto val="1"/>
        <c:lblAlgn val="ctr"/>
        <c:lblOffset val="100"/>
        <c:noMultiLvlLbl val="0"/>
      </c:catAx>
      <c:valAx>
        <c:axId val="5121131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512113999"/>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846974951424251E-2"/>
          <c:y val="7.0041388092964021E-2"/>
          <c:w val="0.88961041014451525"/>
          <c:h val="0.72675435627853113"/>
        </c:manualLayout>
      </c:layout>
      <c:barChart>
        <c:barDir val="col"/>
        <c:grouping val="clustered"/>
        <c:varyColors val="0"/>
        <c:ser>
          <c:idx val="0"/>
          <c:order val="0"/>
          <c:tx>
            <c:strRef>
              <c:f>predfinancovanie!$G$1</c:f>
              <c:strCache>
                <c:ptCount val="1"/>
                <c:pt idx="0">
                  <c:v>predfinancovanie</c:v>
                </c:pt>
              </c:strCache>
            </c:strRef>
          </c:tx>
          <c:spPr>
            <a:solidFill>
              <a:schemeClr val="accent1"/>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1-AA86-409F-B75E-8236C1EAEEC2}"/>
              </c:ext>
            </c:extLst>
          </c:dPt>
          <c:dPt>
            <c:idx val="2"/>
            <c:invertIfNegative val="0"/>
            <c:bubble3D val="0"/>
            <c:spPr>
              <a:solidFill>
                <a:schemeClr val="bg2"/>
              </a:solidFill>
              <a:ln>
                <a:noFill/>
              </a:ln>
              <a:effectLst/>
            </c:spPr>
            <c:extLst>
              <c:ext xmlns:c16="http://schemas.microsoft.com/office/drawing/2014/chart" uri="{C3380CC4-5D6E-409C-BE32-E72D297353CC}">
                <c16:uniqueId val="{00000003-AA86-409F-B75E-8236C1EAEEC2}"/>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5-AA86-409F-B75E-8236C1EAEEC2}"/>
              </c:ext>
            </c:extLst>
          </c:dPt>
          <c:cat>
            <c:strRef>
              <c:f>predfinancovanie!$F$2:$F$5</c:f>
              <c:strCache>
                <c:ptCount val="4"/>
                <c:pt idx="0">
                  <c:v>Kohézny fond</c:v>
                </c:pt>
                <c:pt idx="1">
                  <c:v>Európsky fond regionálneho rozvoja</c:v>
                </c:pt>
                <c:pt idx="2">
                  <c:v>Európsky sociálny fond +</c:v>
                </c:pt>
                <c:pt idx="3">
                  <c:v>Fond na spravodlivú transformáciu</c:v>
                </c:pt>
              </c:strCache>
            </c:strRef>
          </c:cat>
          <c:val>
            <c:numRef>
              <c:f>predfinancovanie!$G$2:$G$5</c:f>
              <c:numCache>
                <c:formatCode>#,##0.00</c:formatCode>
                <c:ptCount val="4"/>
                <c:pt idx="0">
                  <c:v>61.820214999999997</c:v>
                </c:pt>
                <c:pt idx="1">
                  <c:v>182.64022600000001</c:v>
                </c:pt>
                <c:pt idx="2">
                  <c:v>58.907457999999998</c:v>
                </c:pt>
                <c:pt idx="3">
                  <c:v>6.8852849999999997</c:v>
                </c:pt>
              </c:numCache>
            </c:numRef>
          </c:val>
          <c:extLst>
            <c:ext xmlns:c16="http://schemas.microsoft.com/office/drawing/2014/chart" uri="{C3380CC4-5D6E-409C-BE32-E72D297353CC}">
              <c16:uniqueId val="{00000006-AA86-409F-B75E-8236C1EAEEC2}"/>
            </c:ext>
          </c:extLst>
        </c:ser>
        <c:dLbls>
          <c:showLegendKey val="0"/>
          <c:showVal val="0"/>
          <c:showCatName val="0"/>
          <c:showSerName val="0"/>
          <c:showPercent val="0"/>
          <c:showBubbleSize val="0"/>
        </c:dLbls>
        <c:gapWidth val="100"/>
        <c:axId val="202348576"/>
        <c:axId val="202354400"/>
      </c:barChart>
      <c:catAx>
        <c:axId val="20234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02354400"/>
        <c:crosses val="autoZero"/>
        <c:auto val="1"/>
        <c:lblAlgn val="ctr"/>
        <c:lblOffset val="100"/>
        <c:noMultiLvlLbl val="0"/>
      </c:catAx>
      <c:valAx>
        <c:axId val="202354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02348576"/>
        <c:crosses val="autoZero"/>
        <c:crossBetween val="between"/>
        <c:majorUnit val="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 6'!$C$2</c:f>
              <c:strCache>
                <c:ptCount val="1"/>
                <c:pt idx="0">
                  <c:v>Návrh RVS 2024 vs. Návrh RVS 2023</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6'!$B$3:$B$7</c:f>
              <c:strCache>
                <c:ptCount val="5"/>
                <c:pt idx="0">
                  <c:v>Štátna správa SPOLU</c:v>
                </c:pt>
                <c:pt idx="1">
                  <c:v>Rozpočtové organizácie ŠS</c:v>
                </c:pt>
                <c:pt idx="2">
                  <c:v>Príspevkové organizácie ŠS</c:v>
                </c:pt>
                <c:pt idx="3">
                  <c:v>Ďalšie subjekty ŠS</c:v>
                </c:pt>
                <c:pt idx="4">
                  <c:v>Územná samospráva</c:v>
                </c:pt>
              </c:strCache>
            </c:strRef>
          </c:cat>
          <c:val>
            <c:numRef>
              <c:f>'GRAF 6'!$C$3:$C$7</c:f>
              <c:numCache>
                <c:formatCode>General</c:formatCode>
                <c:ptCount val="5"/>
                <c:pt idx="0">
                  <c:v>3841</c:v>
                </c:pt>
                <c:pt idx="1">
                  <c:v>3207</c:v>
                </c:pt>
                <c:pt idx="2">
                  <c:v>80</c:v>
                </c:pt>
                <c:pt idx="3">
                  <c:v>554</c:v>
                </c:pt>
                <c:pt idx="4">
                  <c:v>8584</c:v>
                </c:pt>
              </c:numCache>
            </c:numRef>
          </c:val>
          <c:extLst>
            <c:ext xmlns:c16="http://schemas.microsoft.com/office/drawing/2014/chart" uri="{C3380CC4-5D6E-409C-BE32-E72D297353CC}">
              <c16:uniqueId val="{00000000-C017-4382-9110-5833D1C40528}"/>
            </c:ext>
          </c:extLst>
        </c:ser>
        <c:ser>
          <c:idx val="1"/>
          <c:order val="1"/>
          <c:tx>
            <c:strRef>
              <c:f>'GRAF 6'!$D$2</c:f>
              <c:strCache>
                <c:ptCount val="1"/>
                <c:pt idx="0">
                  <c:v>Návrh RVS 2024 vs. Očakávaná skutočnosť 2023</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6'!$B$3:$B$7</c:f>
              <c:strCache>
                <c:ptCount val="5"/>
                <c:pt idx="0">
                  <c:v>Štátna správa SPOLU</c:v>
                </c:pt>
                <c:pt idx="1">
                  <c:v>Rozpočtové organizácie ŠS</c:v>
                </c:pt>
                <c:pt idx="2">
                  <c:v>Príspevkové organizácie ŠS</c:v>
                </c:pt>
                <c:pt idx="3">
                  <c:v>Ďalšie subjekty ŠS</c:v>
                </c:pt>
                <c:pt idx="4">
                  <c:v>Územná samospráva</c:v>
                </c:pt>
              </c:strCache>
            </c:strRef>
          </c:cat>
          <c:val>
            <c:numRef>
              <c:f>'GRAF 6'!$D$3:$D$7</c:f>
              <c:numCache>
                <c:formatCode>General</c:formatCode>
                <c:ptCount val="5"/>
                <c:pt idx="0">
                  <c:v>7118</c:v>
                </c:pt>
                <c:pt idx="1">
                  <c:v>8117</c:v>
                </c:pt>
                <c:pt idx="2">
                  <c:v>-919</c:v>
                </c:pt>
                <c:pt idx="3">
                  <c:v>-80</c:v>
                </c:pt>
                <c:pt idx="4">
                  <c:v>7333</c:v>
                </c:pt>
              </c:numCache>
            </c:numRef>
          </c:val>
          <c:extLst>
            <c:ext xmlns:c16="http://schemas.microsoft.com/office/drawing/2014/chart" uri="{C3380CC4-5D6E-409C-BE32-E72D297353CC}">
              <c16:uniqueId val="{00000001-C017-4382-9110-5833D1C40528}"/>
            </c:ext>
          </c:extLst>
        </c:ser>
        <c:dLbls>
          <c:showLegendKey val="0"/>
          <c:showVal val="0"/>
          <c:showCatName val="0"/>
          <c:showSerName val="0"/>
          <c:showPercent val="0"/>
          <c:showBubbleSize val="0"/>
        </c:dLbls>
        <c:gapWidth val="100"/>
        <c:axId val="1706427328"/>
        <c:axId val="1706431904"/>
      </c:barChart>
      <c:catAx>
        <c:axId val="17064273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706431904"/>
        <c:crosses val="autoZero"/>
        <c:auto val="1"/>
        <c:lblAlgn val="ctr"/>
        <c:lblOffset val="100"/>
        <c:noMultiLvlLbl val="0"/>
      </c:catAx>
      <c:valAx>
        <c:axId val="1706431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70642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877850963560123E-2"/>
          <c:y val="5.9620596205962058E-2"/>
          <c:w val="0.88947093761862805"/>
          <c:h val="0.65577107739581342"/>
        </c:manualLayout>
      </c:layout>
      <c:barChart>
        <c:barDir val="col"/>
        <c:grouping val="clustered"/>
        <c:varyColors val="0"/>
        <c:ser>
          <c:idx val="1"/>
          <c:order val="1"/>
          <c:tx>
            <c:strRef>
              <c:f>'ver.výd OECD PPP na hlavu sprac'!$D$51</c:f>
              <c:strCache>
                <c:ptCount val="1"/>
                <c:pt idx="0">
                  <c:v>2022</c:v>
                </c:pt>
              </c:strCache>
            </c:strRef>
          </c:tx>
          <c:spPr>
            <a:solidFill>
              <a:schemeClr val="accent2"/>
            </a:solidFill>
            <a:ln>
              <a:noFill/>
            </a:ln>
            <a:effectLst/>
          </c:spPr>
          <c:invertIfNegative val="0"/>
          <c:dPt>
            <c:idx val="22"/>
            <c:invertIfNegative val="0"/>
            <c:bubble3D val="0"/>
            <c:spPr>
              <a:solidFill>
                <a:schemeClr val="accent6"/>
              </a:solidFill>
              <a:ln>
                <a:noFill/>
              </a:ln>
              <a:effectLst/>
            </c:spPr>
            <c:extLst>
              <c:ext xmlns:c16="http://schemas.microsoft.com/office/drawing/2014/chart" uri="{C3380CC4-5D6E-409C-BE32-E72D297353CC}">
                <c16:uniqueId val="{00000001-5BF6-4AC9-805C-55C4F0159D03}"/>
              </c:ext>
            </c:extLst>
          </c:dPt>
          <c:cat>
            <c:strRef>
              <c:f>'ver.výd OECD PPP na hlavu sprac'!$B$52:$B$78</c:f>
              <c:strCache>
                <c:ptCount val="27"/>
                <c:pt idx="0">
                  <c:v>Nemecko</c:v>
                </c:pt>
                <c:pt idx="1">
                  <c:v>Holandsko</c:v>
                </c:pt>
                <c:pt idx="2">
                  <c:v>Rakúsko</c:v>
                </c:pt>
                <c:pt idx="3">
                  <c:v>Luxembursko</c:v>
                </c:pt>
                <c:pt idx="4">
                  <c:v>Švédsko</c:v>
                </c:pt>
                <c:pt idx="5">
                  <c:v>Francúzsko</c:v>
                </c:pt>
                <c:pt idx="6">
                  <c:v>Dánsko</c:v>
                </c:pt>
                <c:pt idx="7">
                  <c:v>Belgicko</c:v>
                </c:pt>
                <c:pt idx="8">
                  <c:v>Írsko</c:v>
                </c:pt>
                <c:pt idx="9">
                  <c:v>Fínsko</c:v>
                </c:pt>
                <c:pt idx="10">
                  <c:v>Česká republika</c:v>
                </c:pt>
                <c:pt idx="11">
                  <c:v>Cyprus</c:v>
                </c:pt>
                <c:pt idx="12">
                  <c:v>Taliansko</c:v>
                </c:pt>
                <c:pt idx="13">
                  <c:v>Španielsko</c:v>
                </c:pt>
                <c:pt idx="14">
                  <c:v>Slovinsko</c:v>
                </c:pt>
                <c:pt idx="15">
                  <c:v>Malta</c:v>
                </c:pt>
                <c:pt idx="16">
                  <c:v>Portugalsko</c:v>
                </c:pt>
                <c:pt idx="17">
                  <c:v>Litva</c:v>
                </c:pt>
                <c:pt idx="18">
                  <c:v>Estónsko</c:v>
                </c:pt>
                <c:pt idx="19">
                  <c:v>Lotyšsko</c:v>
                </c:pt>
                <c:pt idx="20">
                  <c:v>Chorvátsko</c:v>
                </c:pt>
                <c:pt idx="21">
                  <c:v>Poľsko</c:v>
                </c:pt>
                <c:pt idx="22">
                  <c:v>Slovensko</c:v>
                </c:pt>
                <c:pt idx="23">
                  <c:v>Maďarsko</c:v>
                </c:pt>
                <c:pt idx="24">
                  <c:v>Rumunsko</c:v>
                </c:pt>
                <c:pt idx="25">
                  <c:v>Grécko</c:v>
                </c:pt>
                <c:pt idx="26">
                  <c:v>Bulharsko</c:v>
                </c:pt>
              </c:strCache>
            </c:strRef>
          </c:cat>
          <c:val>
            <c:numRef>
              <c:f>'ver.výd OECD PPP na hlavu sprac'!$D$52:$D$78</c:f>
              <c:numCache>
                <c:formatCode>0.0</c:formatCode>
                <c:ptCount val="27"/>
                <c:pt idx="0">
                  <c:v>6929.6409999999996</c:v>
                </c:pt>
                <c:pt idx="1">
                  <c:v>6186.3819999999996</c:v>
                </c:pt>
                <c:pt idx="2">
                  <c:v>5663.7</c:v>
                </c:pt>
                <c:pt idx="3">
                  <c:v>5526.9610000000002</c:v>
                </c:pt>
                <c:pt idx="4">
                  <c:v>5524.902</c:v>
                </c:pt>
                <c:pt idx="5">
                  <c:v>5510.2370000000001</c:v>
                </c:pt>
                <c:pt idx="6">
                  <c:v>5324.07</c:v>
                </c:pt>
                <c:pt idx="7">
                  <c:v>5057.5950000000003</c:v>
                </c:pt>
                <c:pt idx="8">
                  <c:v>4677.63</c:v>
                </c:pt>
                <c:pt idx="9">
                  <c:v>4505.3729999999996</c:v>
                </c:pt>
                <c:pt idx="10">
                  <c:v>3837.221</c:v>
                </c:pt>
                <c:pt idx="11">
                  <c:v>3292.174</c:v>
                </c:pt>
                <c:pt idx="12">
                  <c:v>3254.5590000000002</c:v>
                </c:pt>
                <c:pt idx="13">
                  <c:v>3142.4090000000001</c:v>
                </c:pt>
                <c:pt idx="14">
                  <c:v>3055.7469999999998</c:v>
                </c:pt>
                <c:pt idx="15">
                  <c:v>2878.32</c:v>
                </c:pt>
                <c:pt idx="16">
                  <c:v>2640.4760000000001</c:v>
                </c:pt>
                <c:pt idx="17">
                  <c:v>2459.2919999999999</c:v>
                </c:pt>
                <c:pt idx="18">
                  <c:v>2344.9490000000001</c:v>
                </c:pt>
                <c:pt idx="19">
                  <c:v>2304.076</c:v>
                </c:pt>
                <c:pt idx="20">
                  <c:v>2227.8359999999998</c:v>
                </c:pt>
                <c:pt idx="21">
                  <c:v>2226.6350000000002</c:v>
                </c:pt>
                <c:pt idx="22">
                  <c:v>2145.0070000000001</c:v>
                </c:pt>
                <c:pt idx="23">
                  <c:v>2054.9450000000002</c:v>
                </c:pt>
                <c:pt idx="24">
                  <c:v>1867.8689999999999</c:v>
                </c:pt>
                <c:pt idx="25">
                  <c:v>1785.425</c:v>
                </c:pt>
                <c:pt idx="26">
                  <c:v>1604.146</c:v>
                </c:pt>
              </c:numCache>
            </c:numRef>
          </c:val>
          <c:extLst>
            <c:ext xmlns:c16="http://schemas.microsoft.com/office/drawing/2014/chart" uri="{C3380CC4-5D6E-409C-BE32-E72D297353CC}">
              <c16:uniqueId val="{00000002-5BF6-4AC9-805C-55C4F0159D03}"/>
            </c:ext>
          </c:extLst>
        </c:ser>
        <c:dLbls>
          <c:showLegendKey val="0"/>
          <c:showVal val="0"/>
          <c:showCatName val="0"/>
          <c:showSerName val="0"/>
          <c:showPercent val="0"/>
          <c:showBubbleSize val="0"/>
        </c:dLbls>
        <c:gapWidth val="100"/>
        <c:axId val="1597731967"/>
        <c:axId val="1597735295"/>
      </c:barChart>
      <c:lineChart>
        <c:grouping val="standard"/>
        <c:varyColors val="0"/>
        <c:ser>
          <c:idx val="0"/>
          <c:order val="0"/>
          <c:tx>
            <c:strRef>
              <c:f>'ver.výd OECD PPP na hlavu sprac'!$C$51</c:f>
              <c:strCache>
                <c:ptCount val="1"/>
                <c:pt idx="0">
                  <c:v>2010</c:v>
                </c:pt>
              </c:strCache>
            </c:strRef>
          </c:tx>
          <c:spPr>
            <a:ln w="28575" cap="rnd">
              <a:noFill/>
              <a:round/>
            </a:ln>
            <a:effectLst/>
          </c:spPr>
          <c:marker>
            <c:symbol val="circle"/>
            <c:size val="4"/>
            <c:spPr>
              <a:solidFill>
                <a:schemeClr val="accent1"/>
              </a:solidFill>
              <a:ln w="9525">
                <a:solidFill>
                  <a:schemeClr val="accent1"/>
                </a:solidFill>
              </a:ln>
              <a:effectLst/>
            </c:spPr>
          </c:marker>
          <c:cat>
            <c:strRef>
              <c:f>'ver.výd OECD PPP na hlavu sprac'!$B$52:$B$78</c:f>
              <c:strCache>
                <c:ptCount val="27"/>
                <c:pt idx="0">
                  <c:v>Nemecko</c:v>
                </c:pt>
                <c:pt idx="1">
                  <c:v>Holandsko</c:v>
                </c:pt>
                <c:pt idx="2">
                  <c:v>Rakúsko</c:v>
                </c:pt>
                <c:pt idx="3">
                  <c:v>Luxembursko</c:v>
                </c:pt>
                <c:pt idx="4">
                  <c:v>Švédsko</c:v>
                </c:pt>
                <c:pt idx="5">
                  <c:v>Francúzsko</c:v>
                </c:pt>
                <c:pt idx="6">
                  <c:v>Dánsko</c:v>
                </c:pt>
                <c:pt idx="7">
                  <c:v>Belgicko</c:v>
                </c:pt>
                <c:pt idx="8">
                  <c:v>Írsko</c:v>
                </c:pt>
                <c:pt idx="9">
                  <c:v>Fínsko</c:v>
                </c:pt>
                <c:pt idx="10">
                  <c:v>Česká republika</c:v>
                </c:pt>
                <c:pt idx="11">
                  <c:v>Cyprus</c:v>
                </c:pt>
                <c:pt idx="12">
                  <c:v>Taliansko</c:v>
                </c:pt>
                <c:pt idx="13">
                  <c:v>Španielsko</c:v>
                </c:pt>
                <c:pt idx="14">
                  <c:v>Slovinsko</c:v>
                </c:pt>
                <c:pt idx="15">
                  <c:v>Malta</c:v>
                </c:pt>
                <c:pt idx="16">
                  <c:v>Portugalsko</c:v>
                </c:pt>
                <c:pt idx="17">
                  <c:v>Litva</c:v>
                </c:pt>
                <c:pt idx="18">
                  <c:v>Estónsko</c:v>
                </c:pt>
                <c:pt idx="19">
                  <c:v>Lotyšsko</c:v>
                </c:pt>
                <c:pt idx="20">
                  <c:v>Chorvátsko</c:v>
                </c:pt>
                <c:pt idx="21">
                  <c:v>Poľsko</c:v>
                </c:pt>
                <c:pt idx="22">
                  <c:v>Slovensko</c:v>
                </c:pt>
                <c:pt idx="23">
                  <c:v>Maďarsko</c:v>
                </c:pt>
                <c:pt idx="24">
                  <c:v>Rumunsko</c:v>
                </c:pt>
                <c:pt idx="25">
                  <c:v>Grécko</c:v>
                </c:pt>
                <c:pt idx="26">
                  <c:v>Bulharsko</c:v>
                </c:pt>
              </c:strCache>
            </c:strRef>
          </c:cat>
          <c:val>
            <c:numRef>
              <c:f>'ver.výd OECD PPP na hlavu sprac'!$C$52:$C$78</c:f>
              <c:numCache>
                <c:formatCode>0.0</c:formatCode>
                <c:ptCount val="27"/>
                <c:pt idx="0">
                  <c:v>3681.7570000000001</c:v>
                </c:pt>
                <c:pt idx="1">
                  <c:v>3730.7280000000001</c:v>
                </c:pt>
                <c:pt idx="2">
                  <c:v>3179.2130000000002</c:v>
                </c:pt>
                <c:pt idx="3">
                  <c:v>4776.51</c:v>
                </c:pt>
                <c:pt idx="4">
                  <c:v>2830.3020000000001</c:v>
                </c:pt>
                <c:pt idx="5">
                  <c:v>3084.7379999999998</c:v>
                </c:pt>
                <c:pt idx="6">
                  <c:v>3593.404</c:v>
                </c:pt>
                <c:pt idx="7">
                  <c:v>2981.4989999999998</c:v>
                </c:pt>
                <c:pt idx="8">
                  <c:v>3085.951</c:v>
                </c:pt>
                <c:pt idx="9">
                  <c:v>2641.9389999999999</c:v>
                </c:pt>
                <c:pt idx="10">
                  <c:v>1875.2840000000001</c:v>
                </c:pt>
                <c:pt idx="11">
                  <c:v>957.27200000000005</c:v>
                </c:pt>
                <c:pt idx="12">
                  <c:v>2435.5650000000001</c:v>
                </c:pt>
                <c:pt idx="13">
                  <c:v>2037.9349999999999</c:v>
                </c:pt>
                <c:pt idx="14">
                  <c:v>1702.885</c:v>
                </c:pt>
                <c:pt idx="15">
                  <c:v>1415.999</c:v>
                </c:pt>
                <c:pt idx="16">
                  <c:v>1717.4469999999999</c:v>
                </c:pt>
                <c:pt idx="17">
                  <c:v>983.68299999999999</c:v>
                </c:pt>
                <c:pt idx="18">
                  <c:v>1072.796</c:v>
                </c:pt>
                <c:pt idx="19">
                  <c:v>647.68799999999999</c:v>
                </c:pt>
                <c:pt idx="20">
                  <c:v>1335.0239999999999</c:v>
                </c:pt>
                <c:pt idx="21">
                  <c:v>1020.294</c:v>
                </c:pt>
                <c:pt idx="22">
                  <c:v>1446.248</c:v>
                </c:pt>
                <c:pt idx="23">
                  <c:v>1117.6369999999999</c:v>
                </c:pt>
                <c:pt idx="24">
                  <c:v>782.50300000000004</c:v>
                </c:pt>
                <c:pt idx="25">
                  <c:v>1796.107</c:v>
                </c:pt>
                <c:pt idx="26">
                  <c:v>572.34299999999996</c:v>
                </c:pt>
              </c:numCache>
            </c:numRef>
          </c:val>
          <c:smooth val="0"/>
          <c:extLst>
            <c:ext xmlns:c16="http://schemas.microsoft.com/office/drawing/2014/chart" uri="{C3380CC4-5D6E-409C-BE32-E72D297353CC}">
              <c16:uniqueId val="{00000003-5BF6-4AC9-805C-55C4F0159D03}"/>
            </c:ext>
          </c:extLst>
        </c:ser>
        <c:ser>
          <c:idx val="2"/>
          <c:order val="2"/>
          <c:tx>
            <c:strRef>
              <c:f>'ver.výd OECD PPP na hlavu sprac'!$E$51</c:f>
              <c:strCache>
                <c:ptCount val="1"/>
                <c:pt idx="0">
                  <c:v>priemer 2022</c:v>
                </c:pt>
              </c:strCache>
            </c:strRef>
          </c:tx>
          <c:spPr>
            <a:ln w="25400" cap="rnd">
              <a:solidFill>
                <a:schemeClr val="accent3"/>
              </a:solidFill>
              <a:prstDash val="sysDash"/>
              <a:round/>
            </a:ln>
            <a:effectLst/>
          </c:spPr>
          <c:marker>
            <c:symbol val="none"/>
          </c:marker>
          <c:cat>
            <c:strRef>
              <c:f>'ver.výd OECD PPP na hlavu sprac'!$B$52:$B$78</c:f>
              <c:strCache>
                <c:ptCount val="27"/>
                <c:pt idx="0">
                  <c:v>Nemecko</c:v>
                </c:pt>
                <c:pt idx="1">
                  <c:v>Holandsko</c:v>
                </c:pt>
                <c:pt idx="2">
                  <c:v>Rakúsko</c:v>
                </c:pt>
                <c:pt idx="3">
                  <c:v>Luxembursko</c:v>
                </c:pt>
                <c:pt idx="4">
                  <c:v>Švédsko</c:v>
                </c:pt>
                <c:pt idx="5">
                  <c:v>Francúzsko</c:v>
                </c:pt>
                <c:pt idx="6">
                  <c:v>Dánsko</c:v>
                </c:pt>
                <c:pt idx="7">
                  <c:v>Belgicko</c:v>
                </c:pt>
                <c:pt idx="8">
                  <c:v>Írsko</c:v>
                </c:pt>
                <c:pt idx="9">
                  <c:v>Fínsko</c:v>
                </c:pt>
                <c:pt idx="10">
                  <c:v>Česká republika</c:v>
                </c:pt>
                <c:pt idx="11">
                  <c:v>Cyprus</c:v>
                </c:pt>
                <c:pt idx="12">
                  <c:v>Taliansko</c:v>
                </c:pt>
                <c:pt idx="13">
                  <c:v>Španielsko</c:v>
                </c:pt>
                <c:pt idx="14">
                  <c:v>Slovinsko</c:v>
                </c:pt>
                <c:pt idx="15">
                  <c:v>Malta</c:v>
                </c:pt>
                <c:pt idx="16">
                  <c:v>Portugalsko</c:v>
                </c:pt>
                <c:pt idx="17">
                  <c:v>Litva</c:v>
                </c:pt>
                <c:pt idx="18">
                  <c:v>Estónsko</c:v>
                </c:pt>
                <c:pt idx="19">
                  <c:v>Lotyšsko</c:v>
                </c:pt>
                <c:pt idx="20">
                  <c:v>Chorvátsko</c:v>
                </c:pt>
                <c:pt idx="21">
                  <c:v>Poľsko</c:v>
                </c:pt>
                <c:pt idx="22">
                  <c:v>Slovensko</c:v>
                </c:pt>
                <c:pt idx="23">
                  <c:v>Maďarsko</c:v>
                </c:pt>
                <c:pt idx="24">
                  <c:v>Rumunsko</c:v>
                </c:pt>
                <c:pt idx="25">
                  <c:v>Grécko</c:v>
                </c:pt>
                <c:pt idx="26">
                  <c:v>Bulharsko</c:v>
                </c:pt>
              </c:strCache>
            </c:strRef>
          </c:cat>
          <c:val>
            <c:numRef>
              <c:f>'ver.výd OECD PPP na hlavu sprac'!$E$52:$E$78</c:f>
              <c:numCache>
                <c:formatCode>0.0</c:formatCode>
                <c:ptCount val="27"/>
                <c:pt idx="0">
                  <c:v>3630.6509999999998</c:v>
                </c:pt>
                <c:pt idx="1">
                  <c:v>3630.6509999999998</c:v>
                </c:pt>
                <c:pt idx="2">
                  <c:v>3630.6509999999998</c:v>
                </c:pt>
                <c:pt idx="3">
                  <c:v>3630.6509999999998</c:v>
                </c:pt>
                <c:pt idx="4">
                  <c:v>3630.6509999999998</c:v>
                </c:pt>
                <c:pt idx="5">
                  <c:v>3630.6509999999998</c:v>
                </c:pt>
                <c:pt idx="6">
                  <c:v>3630.6509999999998</c:v>
                </c:pt>
                <c:pt idx="7">
                  <c:v>3630.6509999999998</c:v>
                </c:pt>
                <c:pt idx="8">
                  <c:v>3630.6509999999998</c:v>
                </c:pt>
                <c:pt idx="9">
                  <c:v>3630.6509999999998</c:v>
                </c:pt>
                <c:pt idx="10">
                  <c:v>3630.6509999999998</c:v>
                </c:pt>
                <c:pt idx="11">
                  <c:v>3630.6509999999998</c:v>
                </c:pt>
                <c:pt idx="12">
                  <c:v>3630.6509999999998</c:v>
                </c:pt>
                <c:pt idx="13">
                  <c:v>3630.6509999999998</c:v>
                </c:pt>
                <c:pt idx="14">
                  <c:v>3630.6509999999998</c:v>
                </c:pt>
                <c:pt idx="15">
                  <c:v>3630.6509999999998</c:v>
                </c:pt>
                <c:pt idx="16">
                  <c:v>3630.6509999999998</c:v>
                </c:pt>
                <c:pt idx="17">
                  <c:v>3630.6509999999998</c:v>
                </c:pt>
                <c:pt idx="18">
                  <c:v>3630.6509999999998</c:v>
                </c:pt>
                <c:pt idx="19">
                  <c:v>3630.6509999999998</c:v>
                </c:pt>
                <c:pt idx="20">
                  <c:v>3630.6509999999998</c:v>
                </c:pt>
                <c:pt idx="21">
                  <c:v>3630.6509999999998</c:v>
                </c:pt>
                <c:pt idx="22">
                  <c:v>3630.6509999999998</c:v>
                </c:pt>
                <c:pt idx="23">
                  <c:v>3630.6509999999998</c:v>
                </c:pt>
                <c:pt idx="24">
                  <c:v>3630.6509999999998</c:v>
                </c:pt>
                <c:pt idx="25">
                  <c:v>3630.6509999999998</c:v>
                </c:pt>
                <c:pt idx="26">
                  <c:v>3630.6509999999998</c:v>
                </c:pt>
              </c:numCache>
            </c:numRef>
          </c:val>
          <c:smooth val="0"/>
          <c:extLst>
            <c:ext xmlns:c16="http://schemas.microsoft.com/office/drawing/2014/chart" uri="{C3380CC4-5D6E-409C-BE32-E72D297353CC}">
              <c16:uniqueId val="{00000004-5BF6-4AC9-805C-55C4F0159D03}"/>
            </c:ext>
          </c:extLst>
        </c:ser>
        <c:dLbls>
          <c:showLegendKey val="0"/>
          <c:showVal val="0"/>
          <c:showCatName val="0"/>
          <c:showSerName val="0"/>
          <c:showPercent val="0"/>
          <c:showBubbleSize val="0"/>
        </c:dLbls>
        <c:marker val="1"/>
        <c:smooth val="0"/>
        <c:axId val="1597731967"/>
        <c:axId val="1597735295"/>
      </c:lineChart>
      <c:catAx>
        <c:axId val="1597731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597735295"/>
        <c:crosses val="autoZero"/>
        <c:auto val="1"/>
        <c:lblAlgn val="ctr"/>
        <c:lblOffset val="100"/>
        <c:noMultiLvlLbl val="0"/>
      </c:catAx>
      <c:valAx>
        <c:axId val="1597735295"/>
        <c:scaling>
          <c:orientation val="minMax"/>
          <c:max val="7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597731967"/>
        <c:crosses val="autoZero"/>
        <c:crossBetween val="between"/>
      </c:valAx>
      <c:spPr>
        <a:noFill/>
        <a:ln>
          <a:noFill/>
        </a:ln>
        <a:effectLst/>
      </c:spPr>
    </c:plotArea>
    <c:legend>
      <c:legendPos val="t"/>
      <c:layout>
        <c:manualLayout>
          <c:xMode val="edge"/>
          <c:yMode val="edge"/>
          <c:x val="0.275437640408983"/>
          <c:y val="5.3428317008014245E-2"/>
          <c:w val="0.44912454137881064"/>
          <c:h val="9.0334990405807461E-2"/>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7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35815820156507"/>
          <c:y val="6.8792995622263917E-2"/>
          <c:w val="0.73787027675207373"/>
          <c:h val="0.40817784737508189"/>
        </c:manualLayout>
      </c:layout>
      <c:lineChart>
        <c:grouping val="standard"/>
        <c:varyColors val="0"/>
        <c:ser>
          <c:idx val="0"/>
          <c:order val="0"/>
          <c:tx>
            <c:strRef>
              <c:f>'mortalita treat'!$A$44</c:f>
              <c:strCache>
                <c:ptCount val="1"/>
                <c:pt idx="0">
                  <c:v>Slovensko</c:v>
                </c:pt>
              </c:strCache>
            </c:strRef>
          </c:tx>
          <c:spPr>
            <a:ln w="25400" cap="rnd">
              <a:solidFill>
                <a:schemeClr val="accent1"/>
              </a:solidFill>
              <a:round/>
            </a:ln>
            <a:effectLst/>
          </c:spPr>
          <c:marker>
            <c:symbol val="none"/>
          </c:marker>
          <c:dLbls>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1F-498F-A06A-EF72A13557C4}"/>
                </c:ext>
              </c:extLst>
            </c:dLbl>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'mortalita treat'!$B$43:$K$43</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'mortalita treat'!$B$44:$K$44</c:f>
              <c:numCache>
                <c:formatCode>#\ ##0.0</c:formatCode>
                <c:ptCount val="10"/>
                <c:pt idx="0">
                  <c:v>181.97</c:v>
                </c:pt>
                <c:pt idx="1">
                  <c:v>182.3</c:v>
                </c:pt>
                <c:pt idx="2">
                  <c:v>183.33</c:v>
                </c:pt>
                <c:pt idx="3">
                  <c:v>170.9</c:v>
                </c:pt>
                <c:pt idx="4">
                  <c:v>176.93</c:v>
                </c:pt>
                <c:pt idx="5">
                  <c:v>168.34</c:v>
                </c:pt>
                <c:pt idx="6">
                  <c:v>173.71</c:v>
                </c:pt>
                <c:pt idx="7">
                  <c:v>165.32</c:v>
                </c:pt>
                <c:pt idx="8">
                  <c:v>163.53</c:v>
                </c:pt>
                <c:pt idx="9">
                  <c:v>168.84</c:v>
                </c:pt>
              </c:numCache>
            </c:numRef>
          </c:val>
          <c:smooth val="0"/>
          <c:extLst>
            <c:ext xmlns:c16="http://schemas.microsoft.com/office/drawing/2014/chart" uri="{C3380CC4-5D6E-409C-BE32-E72D297353CC}">
              <c16:uniqueId val="{00000001-C11F-498F-A06A-EF72A13557C4}"/>
            </c:ext>
          </c:extLst>
        </c:ser>
        <c:ser>
          <c:idx val="1"/>
          <c:order val="1"/>
          <c:tx>
            <c:strRef>
              <c:f>'mortalita treat'!$A$46</c:f>
              <c:strCache>
                <c:ptCount val="1"/>
                <c:pt idx="0">
                  <c:v>priemer krajín EÚ 27</c:v>
                </c:pt>
              </c:strCache>
            </c:strRef>
          </c:tx>
          <c:spPr>
            <a:ln w="25400" cap="rnd">
              <a:solidFill>
                <a:schemeClr val="accent2"/>
              </a:solidFill>
              <a:round/>
            </a:ln>
            <a:effectLst/>
          </c:spPr>
          <c:marker>
            <c:symbol val="none"/>
          </c:marker>
          <c:dLbls>
            <c:dLbl>
              <c:idx val="9"/>
              <c:layout>
                <c:manualLayout>
                  <c:x val="-1.0302400420089232E-16"/>
                  <c:y val="-4.83926719668164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1F-498F-A06A-EF72A13557C4}"/>
                </c:ext>
              </c:extLst>
            </c:dLbl>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'mortalita treat'!$B$43:$K$43</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'mortalita treat'!$B$46:$K$46</c:f>
              <c:numCache>
                <c:formatCode>#\ ##0.0</c:formatCode>
                <c:ptCount val="10"/>
                <c:pt idx="0">
                  <c:v>123.40666666666668</c:v>
                </c:pt>
                <c:pt idx="1">
                  <c:v>121.79518518518518</c:v>
                </c:pt>
                <c:pt idx="2">
                  <c:v>117.37703703703701</c:v>
                </c:pt>
                <c:pt idx="3">
                  <c:v>113.30444444444444</c:v>
                </c:pt>
                <c:pt idx="4">
                  <c:v>114.32259259259257</c:v>
                </c:pt>
                <c:pt idx="5">
                  <c:v>110.76296296296296</c:v>
                </c:pt>
                <c:pt idx="6">
                  <c:v>108.82777777777781</c:v>
                </c:pt>
                <c:pt idx="7" formatCode="#,##0.00">
                  <c:v>107.62222222222221</c:v>
                </c:pt>
                <c:pt idx="8" formatCode="#,##0.00">
                  <c:v>104.41592592592593</c:v>
                </c:pt>
                <c:pt idx="9" formatCode="#,##0.00">
                  <c:v>107.08444444444446</c:v>
                </c:pt>
              </c:numCache>
            </c:numRef>
          </c:val>
          <c:smooth val="0"/>
          <c:extLst>
            <c:ext xmlns:c16="http://schemas.microsoft.com/office/drawing/2014/chart" uri="{C3380CC4-5D6E-409C-BE32-E72D297353CC}">
              <c16:uniqueId val="{00000003-C11F-498F-A06A-EF72A13557C4}"/>
            </c:ext>
          </c:extLst>
        </c:ser>
        <c:ser>
          <c:idx val="3"/>
          <c:order val="2"/>
          <c:tx>
            <c:strRef>
              <c:f>'mortalita treat'!$A$47</c:f>
              <c:strCache>
                <c:ptCount val="1"/>
                <c:pt idx="0">
                  <c:v>priemer krajín V3</c:v>
                </c:pt>
              </c:strCache>
            </c:strRef>
          </c:tx>
          <c:spPr>
            <a:ln w="25400" cap="rnd">
              <a:solidFill>
                <a:schemeClr val="accent4"/>
              </a:solidFill>
              <a:round/>
            </a:ln>
            <a:effectLst/>
          </c:spPr>
          <c:marker>
            <c:symbol val="none"/>
          </c:marker>
          <c:dLbls>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1F-498F-A06A-EF72A13557C4}"/>
                </c:ext>
              </c:extLst>
            </c:dLbl>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'mortalita treat'!$B$43:$K$43</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'mortalita treat'!$B$47:$K$47</c:f>
              <c:numCache>
                <c:formatCode>#\ ##0.0</c:formatCode>
                <c:ptCount val="10"/>
                <c:pt idx="0">
                  <c:v>164.79</c:v>
                </c:pt>
                <c:pt idx="1">
                  <c:v>161.63</c:v>
                </c:pt>
                <c:pt idx="2">
                  <c:v>156.71333333333334</c:v>
                </c:pt>
                <c:pt idx="3">
                  <c:v>148.47999999999999</c:v>
                </c:pt>
                <c:pt idx="4">
                  <c:v>150.12666666666667</c:v>
                </c:pt>
                <c:pt idx="5">
                  <c:v>144.64999999999998</c:v>
                </c:pt>
                <c:pt idx="6">
                  <c:v>146.07333333333335</c:v>
                </c:pt>
                <c:pt idx="7">
                  <c:v>144.4</c:v>
                </c:pt>
                <c:pt idx="8">
                  <c:v>142.4</c:v>
                </c:pt>
                <c:pt idx="9">
                  <c:v>148.72999999999999</c:v>
                </c:pt>
              </c:numCache>
            </c:numRef>
          </c:val>
          <c:smooth val="0"/>
          <c:extLst>
            <c:ext xmlns:c16="http://schemas.microsoft.com/office/drawing/2014/chart" uri="{C3380CC4-5D6E-409C-BE32-E72D297353CC}">
              <c16:uniqueId val="{00000005-C11F-498F-A06A-EF72A13557C4}"/>
            </c:ext>
          </c:extLst>
        </c:ser>
        <c:dLbls>
          <c:showLegendKey val="0"/>
          <c:showVal val="0"/>
          <c:showCatName val="0"/>
          <c:showSerName val="0"/>
          <c:showPercent val="0"/>
          <c:showBubbleSize val="0"/>
        </c:dLbls>
        <c:smooth val="0"/>
        <c:axId val="432820607"/>
        <c:axId val="432820191"/>
      </c:lineChart>
      <c:catAx>
        <c:axId val="432820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432820191"/>
        <c:crosses val="autoZero"/>
        <c:auto val="1"/>
        <c:lblAlgn val="ctr"/>
        <c:lblOffset val="100"/>
        <c:noMultiLvlLbl val="0"/>
      </c:catAx>
      <c:valAx>
        <c:axId val="432820191"/>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432820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382821320616469E-2"/>
          <c:y val="6.3218390804597707E-2"/>
          <c:w val="0.8694612928492873"/>
          <c:h val="0.42120418137387999"/>
        </c:manualLayout>
      </c:layout>
      <c:barChart>
        <c:barDir val="col"/>
        <c:grouping val="clustered"/>
        <c:varyColors val="0"/>
        <c:ser>
          <c:idx val="1"/>
          <c:order val="1"/>
          <c:tx>
            <c:strRef>
              <c:f>'mortalita treat'!$D$52</c:f>
              <c:strCache>
                <c:ptCount val="1"/>
                <c:pt idx="0">
                  <c:v>2020</c:v>
                </c:pt>
              </c:strCache>
            </c:strRef>
          </c:tx>
          <c:spPr>
            <a:solidFill>
              <a:schemeClr val="accent2"/>
            </a:solidFill>
            <a:ln>
              <a:noFill/>
            </a:ln>
            <a:effectLst/>
          </c:spPr>
          <c:invertIfNegative val="0"/>
          <c:dPt>
            <c:idx val="21"/>
            <c:invertIfNegative val="0"/>
            <c:bubble3D val="0"/>
            <c:spPr>
              <a:solidFill>
                <a:schemeClr val="accent6"/>
              </a:solidFill>
              <a:ln>
                <a:noFill/>
              </a:ln>
              <a:effectLst/>
            </c:spPr>
            <c:extLst>
              <c:ext xmlns:c16="http://schemas.microsoft.com/office/drawing/2014/chart" uri="{C3380CC4-5D6E-409C-BE32-E72D297353CC}">
                <c16:uniqueId val="{00000001-6A10-426A-8E7E-71984D41E40A}"/>
              </c:ext>
            </c:extLst>
          </c:dPt>
          <c:cat>
            <c:strRef>
              <c:f>'mortalita treat'!$B$53:$B$79</c:f>
              <c:strCache>
                <c:ptCount val="27"/>
                <c:pt idx="0">
                  <c:v>Holandsko</c:v>
                </c:pt>
                <c:pt idx="1">
                  <c:v>Francúzsko</c:v>
                </c:pt>
                <c:pt idx="2">
                  <c:v>Luxembursko</c:v>
                </c:pt>
                <c:pt idx="3">
                  <c:v>Švédsko</c:v>
                </c:pt>
                <c:pt idx="4">
                  <c:v>Španielsko</c:v>
                </c:pt>
                <c:pt idx="5">
                  <c:v>Belgicko</c:v>
                </c:pt>
                <c:pt idx="6">
                  <c:v>Dánsko</c:v>
                </c:pt>
                <c:pt idx="7">
                  <c:v>Taliansko</c:v>
                </c:pt>
                <c:pt idx="8">
                  <c:v>Írsko</c:v>
                </c:pt>
                <c:pt idx="9">
                  <c:v>Slovinsko</c:v>
                </c:pt>
                <c:pt idx="10">
                  <c:v>Rakúsko</c:v>
                </c:pt>
                <c:pt idx="11">
                  <c:v>Cyprus</c:v>
                </c:pt>
                <c:pt idx="12">
                  <c:v>Fínsko</c:v>
                </c:pt>
                <c:pt idx="13">
                  <c:v>Portugalsko</c:v>
                </c:pt>
                <c:pt idx="14">
                  <c:v>Nemecko</c:v>
                </c:pt>
                <c:pt idx="15">
                  <c:v>Malta</c:v>
                </c:pt>
                <c:pt idx="16">
                  <c:v>Grécko</c:v>
                </c:pt>
                <c:pt idx="17">
                  <c:v>Česká republika</c:v>
                </c:pt>
                <c:pt idx="18">
                  <c:v>Estónsko</c:v>
                </c:pt>
                <c:pt idx="19">
                  <c:v>Chorvátsko</c:v>
                </c:pt>
                <c:pt idx="20">
                  <c:v>Poľsko</c:v>
                </c:pt>
                <c:pt idx="21">
                  <c:v>Slovensko</c:v>
                </c:pt>
                <c:pt idx="22">
                  <c:v>Maďarsko</c:v>
                </c:pt>
                <c:pt idx="23">
                  <c:v>Lotyšsko</c:v>
                </c:pt>
                <c:pt idx="24">
                  <c:v>Litva</c:v>
                </c:pt>
                <c:pt idx="25">
                  <c:v>Bulharsko</c:v>
                </c:pt>
                <c:pt idx="26">
                  <c:v>Rumunsko</c:v>
                </c:pt>
              </c:strCache>
            </c:strRef>
          </c:cat>
          <c:val>
            <c:numRef>
              <c:f>'mortalita treat'!$D$53:$D$79</c:f>
              <c:numCache>
                <c:formatCode>0.0</c:formatCode>
                <c:ptCount val="27"/>
                <c:pt idx="0">
                  <c:v>58.96</c:v>
                </c:pt>
                <c:pt idx="1">
                  <c:v>59.04</c:v>
                </c:pt>
                <c:pt idx="2">
                  <c:v>60.25</c:v>
                </c:pt>
                <c:pt idx="3">
                  <c:v>62.05</c:v>
                </c:pt>
                <c:pt idx="4">
                  <c:v>62.24</c:v>
                </c:pt>
                <c:pt idx="5">
                  <c:v>62.67</c:v>
                </c:pt>
                <c:pt idx="6">
                  <c:v>63.47</c:v>
                </c:pt>
                <c:pt idx="7">
                  <c:v>66.45</c:v>
                </c:pt>
                <c:pt idx="8">
                  <c:v>69.650000000000006</c:v>
                </c:pt>
                <c:pt idx="9">
                  <c:v>69.75</c:v>
                </c:pt>
                <c:pt idx="10">
                  <c:v>70.44</c:v>
                </c:pt>
                <c:pt idx="11">
                  <c:v>70.459999999999994</c:v>
                </c:pt>
                <c:pt idx="12">
                  <c:v>71.25</c:v>
                </c:pt>
                <c:pt idx="13">
                  <c:v>79.12</c:v>
                </c:pt>
                <c:pt idx="14">
                  <c:v>80.84</c:v>
                </c:pt>
                <c:pt idx="15">
                  <c:v>89.3</c:v>
                </c:pt>
                <c:pt idx="16">
                  <c:v>92.37</c:v>
                </c:pt>
                <c:pt idx="17">
                  <c:v>122.45</c:v>
                </c:pt>
                <c:pt idx="18">
                  <c:v>123.88</c:v>
                </c:pt>
                <c:pt idx="19">
                  <c:v>130.77000000000001</c:v>
                </c:pt>
                <c:pt idx="20">
                  <c:v>144.19</c:v>
                </c:pt>
                <c:pt idx="21">
                  <c:v>168.84</c:v>
                </c:pt>
                <c:pt idx="22">
                  <c:v>179.55</c:v>
                </c:pt>
                <c:pt idx="23">
                  <c:v>185.53</c:v>
                </c:pt>
                <c:pt idx="24">
                  <c:v>199.73</c:v>
                </c:pt>
                <c:pt idx="25">
                  <c:v>212.97</c:v>
                </c:pt>
                <c:pt idx="26">
                  <c:v>235.06</c:v>
                </c:pt>
              </c:numCache>
            </c:numRef>
          </c:val>
          <c:extLst>
            <c:ext xmlns:c16="http://schemas.microsoft.com/office/drawing/2014/chart" uri="{C3380CC4-5D6E-409C-BE32-E72D297353CC}">
              <c16:uniqueId val="{00000002-6A10-426A-8E7E-71984D41E40A}"/>
            </c:ext>
          </c:extLst>
        </c:ser>
        <c:dLbls>
          <c:showLegendKey val="0"/>
          <c:showVal val="0"/>
          <c:showCatName val="0"/>
          <c:showSerName val="0"/>
          <c:showPercent val="0"/>
          <c:showBubbleSize val="0"/>
        </c:dLbls>
        <c:gapWidth val="100"/>
        <c:axId val="1597731967"/>
        <c:axId val="1597735295"/>
      </c:barChart>
      <c:lineChart>
        <c:grouping val="standard"/>
        <c:varyColors val="0"/>
        <c:ser>
          <c:idx val="0"/>
          <c:order val="0"/>
          <c:tx>
            <c:strRef>
              <c:f>'mortalita treat'!$C$52</c:f>
              <c:strCache>
                <c:ptCount val="1"/>
                <c:pt idx="0">
                  <c:v>2011</c:v>
                </c:pt>
              </c:strCache>
            </c:strRef>
          </c:tx>
          <c:spPr>
            <a:ln w="28575" cap="rnd">
              <a:noFill/>
              <a:round/>
            </a:ln>
            <a:effectLst/>
          </c:spPr>
          <c:marker>
            <c:symbol val="circle"/>
            <c:size val="5"/>
            <c:spPr>
              <a:solidFill>
                <a:schemeClr val="accent1"/>
              </a:solidFill>
              <a:ln w="9525">
                <a:solidFill>
                  <a:schemeClr val="accent1"/>
                </a:solidFill>
              </a:ln>
              <a:effectLst/>
            </c:spPr>
          </c:marker>
          <c:cat>
            <c:strRef>
              <c:f>'mortalita treat'!$B$53:$B$79</c:f>
              <c:strCache>
                <c:ptCount val="27"/>
                <c:pt idx="0">
                  <c:v>Holandsko</c:v>
                </c:pt>
                <c:pt idx="1">
                  <c:v>Francúzsko</c:v>
                </c:pt>
                <c:pt idx="2">
                  <c:v>Luxembursko</c:v>
                </c:pt>
                <c:pt idx="3">
                  <c:v>Švédsko</c:v>
                </c:pt>
                <c:pt idx="4">
                  <c:v>Španielsko</c:v>
                </c:pt>
                <c:pt idx="5">
                  <c:v>Belgicko</c:v>
                </c:pt>
                <c:pt idx="6">
                  <c:v>Dánsko</c:v>
                </c:pt>
                <c:pt idx="7">
                  <c:v>Taliansko</c:v>
                </c:pt>
                <c:pt idx="8">
                  <c:v>Írsko</c:v>
                </c:pt>
                <c:pt idx="9">
                  <c:v>Slovinsko</c:v>
                </c:pt>
                <c:pt idx="10">
                  <c:v>Rakúsko</c:v>
                </c:pt>
                <c:pt idx="11">
                  <c:v>Cyprus</c:v>
                </c:pt>
                <c:pt idx="12">
                  <c:v>Fínsko</c:v>
                </c:pt>
                <c:pt idx="13">
                  <c:v>Portugalsko</c:v>
                </c:pt>
                <c:pt idx="14">
                  <c:v>Nemecko</c:v>
                </c:pt>
                <c:pt idx="15">
                  <c:v>Malta</c:v>
                </c:pt>
                <c:pt idx="16">
                  <c:v>Grécko</c:v>
                </c:pt>
                <c:pt idx="17">
                  <c:v>Česká republika</c:v>
                </c:pt>
                <c:pt idx="18">
                  <c:v>Estónsko</c:v>
                </c:pt>
                <c:pt idx="19">
                  <c:v>Chorvátsko</c:v>
                </c:pt>
                <c:pt idx="20">
                  <c:v>Poľsko</c:v>
                </c:pt>
                <c:pt idx="21">
                  <c:v>Slovensko</c:v>
                </c:pt>
                <c:pt idx="22">
                  <c:v>Maďarsko</c:v>
                </c:pt>
                <c:pt idx="23">
                  <c:v>Lotyšsko</c:v>
                </c:pt>
                <c:pt idx="24">
                  <c:v>Litva</c:v>
                </c:pt>
                <c:pt idx="25">
                  <c:v>Bulharsko</c:v>
                </c:pt>
                <c:pt idx="26">
                  <c:v>Rumunsko</c:v>
                </c:pt>
              </c:strCache>
            </c:strRef>
          </c:cat>
          <c:val>
            <c:numRef>
              <c:f>'mortalita treat'!$C$53:$C$79</c:f>
              <c:numCache>
                <c:formatCode>0.0</c:formatCode>
                <c:ptCount val="27"/>
                <c:pt idx="0">
                  <c:v>79.08</c:v>
                </c:pt>
                <c:pt idx="1">
                  <c:v>67.64</c:v>
                </c:pt>
                <c:pt idx="2">
                  <c:v>83.01</c:v>
                </c:pt>
                <c:pt idx="3">
                  <c:v>77.459999999999994</c:v>
                </c:pt>
                <c:pt idx="4">
                  <c:v>74.239999999999995</c:v>
                </c:pt>
                <c:pt idx="5">
                  <c:v>82.31</c:v>
                </c:pt>
                <c:pt idx="6">
                  <c:v>91.23</c:v>
                </c:pt>
                <c:pt idx="7">
                  <c:v>75.430000000000007</c:v>
                </c:pt>
                <c:pt idx="8">
                  <c:v>93.99</c:v>
                </c:pt>
                <c:pt idx="9">
                  <c:v>100.58</c:v>
                </c:pt>
                <c:pt idx="10">
                  <c:v>81.28</c:v>
                </c:pt>
                <c:pt idx="11">
                  <c:v>79.150000000000006</c:v>
                </c:pt>
                <c:pt idx="12">
                  <c:v>86.49</c:v>
                </c:pt>
                <c:pt idx="13">
                  <c:v>94.78</c:v>
                </c:pt>
                <c:pt idx="14">
                  <c:v>94.48</c:v>
                </c:pt>
                <c:pt idx="15">
                  <c:v>107.44</c:v>
                </c:pt>
                <c:pt idx="16">
                  <c:v>94.15</c:v>
                </c:pt>
                <c:pt idx="17">
                  <c:v>147.74</c:v>
                </c:pt>
                <c:pt idx="18">
                  <c:v>160.97</c:v>
                </c:pt>
                <c:pt idx="19">
                  <c:v>154.72</c:v>
                </c:pt>
                <c:pt idx="20">
                  <c:v>149.1</c:v>
                </c:pt>
                <c:pt idx="21">
                  <c:v>181.97</c:v>
                </c:pt>
                <c:pt idx="22">
                  <c:v>197.53</c:v>
                </c:pt>
                <c:pt idx="23">
                  <c:v>236.17</c:v>
                </c:pt>
                <c:pt idx="24">
                  <c:v>221.45</c:v>
                </c:pt>
                <c:pt idx="25">
                  <c:v>195.09</c:v>
                </c:pt>
                <c:pt idx="26">
                  <c:v>224.5</c:v>
                </c:pt>
              </c:numCache>
            </c:numRef>
          </c:val>
          <c:smooth val="0"/>
          <c:extLst>
            <c:ext xmlns:c16="http://schemas.microsoft.com/office/drawing/2014/chart" uri="{C3380CC4-5D6E-409C-BE32-E72D297353CC}">
              <c16:uniqueId val="{00000003-6A10-426A-8E7E-71984D41E40A}"/>
            </c:ext>
          </c:extLst>
        </c:ser>
        <c:ser>
          <c:idx val="2"/>
          <c:order val="2"/>
          <c:tx>
            <c:strRef>
              <c:f>'mortalita treat'!$E$52</c:f>
              <c:strCache>
                <c:ptCount val="1"/>
                <c:pt idx="0">
                  <c:v>priemer krajín EÚ27 2020</c:v>
                </c:pt>
              </c:strCache>
            </c:strRef>
          </c:tx>
          <c:spPr>
            <a:ln w="25400" cap="rnd">
              <a:solidFill>
                <a:schemeClr val="accent3"/>
              </a:solidFill>
              <a:prstDash val="sysDash"/>
              <a:round/>
            </a:ln>
            <a:effectLst/>
          </c:spPr>
          <c:marker>
            <c:symbol val="none"/>
          </c:marker>
          <c:cat>
            <c:strRef>
              <c:f>'mortalita treat'!$B$53:$B$79</c:f>
              <c:strCache>
                <c:ptCount val="27"/>
                <c:pt idx="0">
                  <c:v>Holandsko</c:v>
                </c:pt>
                <c:pt idx="1">
                  <c:v>Francúzsko</c:v>
                </c:pt>
                <c:pt idx="2">
                  <c:v>Luxembursko</c:v>
                </c:pt>
                <c:pt idx="3">
                  <c:v>Švédsko</c:v>
                </c:pt>
                <c:pt idx="4">
                  <c:v>Španielsko</c:v>
                </c:pt>
                <c:pt idx="5">
                  <c:v>Belgicko</c:v>
                </c:pt>
                <c:pt idx="6">
                  <c:v>Dánsko</c:v>
                </c:pt>
                <c:pt idx="7">
                  <c:v>Taliansko</c:v>
                </c:pt>
                <c:pt idx="8">
                  <c:v>Írsko</c:v>
                </c:pt>
                <c:pt idx="9">
                  <c:v>Slovinsko</c:v>
                </c:pt>
                <c:pt idx="10">
                  <c:v>Rakúsko</c:v>
                </c:pt>
                <c:pt idx="11">
                  <c:v>Cyprus</c:v>
                </c:pt>
                <c:pt idx="12">
                  <c:v>Fínsko</c:v>
                </c:pt>
                <c:pt idx="13">
                  <c:v>Portugalsko</c:v>
                </c:pt>
                <c:pt idx="14">
                  <c:v>Nemecko</c:v>
                </c:pt>
                <c:pt idx="15">
                  <c:v>Malta</c:v>
                </c:pt>
                <c:pt idx="16">
                  <c:v>Grécko</c:v>
                </c:pt>
                <c:pt idx="17">
                  <c:v>Česká republika</c:v>
                </c:pt>
                <c:pt idx="18">
                  <c:v>Estónsko</c:v>
                </c:pt>
                <c:pt idx="19">
                  <c:v>Chorvátsko</c:v>
                </c:pt>
                <c:pt idx="20">
                  <c:v>Poľsko</c:v>
                </c:pt>
                <c:pt idx="21">
                  <c:v>Slovensko</c:v>
                </c:pt>
                <c:pt idx="22">
                  <c:v>Maďarsko</c:v>
                </c:pt>
                <c:pt idx="23">
                  <c:v>Lotyšsko</c:v>
                </c:pt>
                <c:pt idx="24">
                  <c:v>Litva</c:v>
                </c:pt>
                <c:pt idx="25">
                  <c:v>Bulharsko</c:v>
                </c:pt>
                <c:pt idx="26">
                  <c:v>Rumunsko</c:v>
                </c:pt>
              </c:strCache>
            </c:strRef>
          </c:cat>
          <c:val>
            <c:numRef>
              <c:f>'mortalita treat'!$E$53:$E$79</c:f>
              <c:numCache>
                <c:formatCode>0.0</c:formatCode>
                <c:ptCount val="27"/>
                <c:pt idx="0">
                  <c:v>107.08444444444443</c:v>
                </c:pt>
                <c:pt idx="1">
                  <c:v>107.08444444444443</c:v>
                </c:pt>
                <c:pt idx="2">
                  <c:v>107.08444444444443</c:v>
                </c:pt>
                <c:pt idx="3">
                  <c:v>107.08444444444443</c:v>
                </c:pt>
                <c:pt idx="4">
                  <c:v>107.08444444444443</c:v>
                </c:pt>
                <c:pt idx="5">
                  <c:v>107.08444444444443</c:v>
                </c:pt>
                <c:pt idx="6">
                  <c:v>107.08444444444443</c:v>
                </c:pt>
                <c:pt idx="7">
                  <c:v>107.08444444444443</c:v>
                </c:pt>
                <c:pt idx="8">
                  <c:v>107.08444444444443</c:v>
                </c:pt>
                <c:pt idx="9">
                  <c:v>107.08444444444443</c:v>
                </c:pt>
                <c:pt idx="10">
                  <c:v>107.08444444444443</c:v>
                </c:pt>
                <c:pt idx="11">
                  <c:v>107.08444444444443</c:v>
                </c:pt>
                <c:pt idx="12">
                  <c:v>107.08444444444443</c:v>
                </c:pt>
                <c:pt idx="13">
                  <c:v>107.08444444444443</c:v>
                </c:pt>
                <c:pt idx="14">
                  <c:v>107.08444444444443</c:v>
                </c:pt>
                <c:pt idx="15">
                  <c:v>107.08444444444443</c:v>
                </c:pt>
                <c:pt idx="16">
                  <c:v>107.08444444444443</c:v>
                </c:pt>
                <c:pt idx="17">
                  <c:v>107.08444444444443</c:v>
                </c:pt>
                <c:pt idx="18">
                  <c:v>107.08444444444443</c:v>
                </c:pt>
                <c:pt idx="19">
                  <c:v>107.08444444444443</c:v>
                </c:pt>
                <c:pt idx="20">
                  <c:v>107.08444444444443</c:v>
                </c:pt>
                <c:pt idx="21">
                  <c:v>107.08444444444443</c:v>
                </c:pt>
                <c:pt idx="22">
                  <c:v>107.08444444444443</c:v>
                </c:pt>
                <c:pt idx="23">
                  <c:v>107.08444444444443</c:v>
                </c:pt>
                <c:pt idx="24">
                  <c:v>107.08444444444443</c:v>
                </c:pt>
                <c:pt idx="25">
                  <c:v>107.08444444444443</c:v>
                </c:pt>
                <c:pt idx="26">
                  <c:v>107.08444444444443</c:v>
                </c:pt>
              </c:numCache>
            </c:numRef>
          </c:val>
          <c:smooth val="0"/>
          <c:extLst>
            <c:ext xmlns:c16="http://schemas.microsoft.com/office/drawing/2014/chart" uri="{C3380CC4-5D6E-409C-BE32-E72D297353CC}">
              <c16:uniqueId val="{00000004-6A10-426A-8E7E-71984D41E40A}"/>
            </c:ext>
          </c:extLst>
        </c:ser>
        <c:dLbls>
          <c:showLegendKey val="0"/>
          <c:showVal val="0"/>
          <c:showCatName val="0"/>
          <c:showSerName val="0"/>
          <c:showPercent val="0"/>
          <c:showBubbleSize val="0"/>
        </c:dLbls>
        <c:marker val="1"/>
        <c:smooth val="0"/>
        <c:axId val="1597731967"/>
        <c:axId val="1597735295"/>
      </c:lineChart>
      <c:catAx>
        <c:axId val="1597731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597735295"/>
        <c:crosses val="autoZero"/>
        <c:auto val="1"/>
        <c:lblAlgn val="ctr"/>
        <c:lblOffset val="100"/>
        <c:noMultiLvlLbl val="0"/>
      </c:catAx>
      <c:valAx>
        <c:axId val="1597735295"/>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5977319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0.08319</cdr:x>
      <cdr:y>0.45968</cdr:y>
    </cdr:from>
    <cdr:to>
      <cdr:x>0.91819</cdr:x>
      <cdr:y>0.83468</cdr:y>
    </cdr:to>
    <cdr:sp macro="" textlink="">
      <cdr:nvSpPr>
        <cdr:cNvPr id="2" name="Zaoblený obdĺžnik 1"/>
        <cdr:cNvSpPr/>
      </cdr:nvSpPr>
      <cdr:spPr>
        <a:xfrm xmlns:a="http://schemas.openxmlformats.org/drawingml/2006/main">
          <a:off x="479141" y="1158241"/>
          <a:ext cx="4809139" cy="944879"/>
        </a:xfrm>
        <a:prstGeom xmlns:a="http://schemas.openxmlformats.org/drawingml/2006/main" prst="round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sk-SK" sz="110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CFA9320A03148E98EF733F7A917AECF"/>
        <w:category>
          <w:name w:val="Všeobecné"/>
          <w:gallery w:val="placeholder"/>
        </w:category>
        <w:types>
          <w:type w:val="bbPlcHdr"/>
        </w:types>
        <w:behaviors>
          <w:behavior w:val="content"/>
        </w:behaviors>
        <w:guid w:val="{EAF649BF-7601-4D14-95D7-FEA20E0734E3}"/>
      </w:docPartPr>
      <w:docPartBody>
        <w:p w:rsidR="00F869BD" w:rsidRDefault="000B5EA4">
          <w:pPr>
            <w:pStyle w:val="4CFA9320A03148E98EF733F7A917AECF"/>
          </w:pPr>
          <w:r w:rsidRPr="00F539EB">
            <w:t>Názov</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Montserrat">
    <w:panose1 w:val="00000500000000000000"/>
    <w:charset w:val="EE"/>
    <w:family w:val="auto"/>
    <w:pitch w:val="variable"/>
    <w:sig w:usb0="2000020F" w:usb1="00000003" w:usb2="00000000"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A4"/>
    <w:rsid w:val="000155BB"/>
    <w:rsid w:val="00025698"/>
    <w:rsid w:val="00026327"/>
    <w:rsid w:val="00051058"/>
    <w:rsid w:val="00051587"/>
    <w:rsid w:val="00054391"/>
    <w:rsid w:val="00074BF0"/>
    <w:rsid w:val="000753FB"/>
    <w:rsid w:val="000757F3"/>
    <w:rsid w:val="000779F4"/>
    <w:rsid w:val="0008392F"/>
    <w:rsid w:val="00090411"/>
    <w:rsid w:val="00095B24"/>
    <w:rsid w:val="000B5EA4"/>
    <w:rsid w:val="000D221B"/>
    <w:rsid w:val="000D59E5"/>
    <w:rsid w:val="000E0014"/>
    <w:rsid w:val="000F2519"/>
    <w:rsid w:val="001068C9"/>
    <w:rsid w:val="001341D1"/>
    <w:rsid w:val="001510FC"/>
    <w:rsid w:val="00161F43"/>
    <w:rsid w:val="001702EC"/>
    <w:rsid w:val="00173F9A"/>
    <w:rsid w:val="001A3F0F"/>
    <w:rsid w:val="001B2297"/>
    <w:rsid w:val="001C1755"/>
    <w:rsid w:val="001C3668"/>
    <w:rsid w:val="001D407D"/>
    <w:rsid w:val="001E101E"/>
    <w:rsid w:val="001F222D"/>
    <w:rsid w:val="00200D05"/>
    <w:rsid w:val="00206384"/>
    <w:rsid w:val="0022539B"/>
    <w:rsid w:val="00245E84"/>
    <w:rsid w:val="002636A4"/>
    <w:rsid w:val="002A281C"/>
    <w:rsid w:val="002A6B14"/>
    <w:rsid w:val="002B3011"/>
    <w:rsid w:val="002B539A"/>
    <w:rsid w:val="002E2938"/>
    <w:rsid w:val="002F18B5"/>
    <w:rsid w:val="002F3D7E"/>
    <w:rsid w:val="00300EBA"/>
    <w:rsid w:val="003114CE"/>
    <w:rsid w:val="00320C18"/>
    <w:rsid w:val="0032329F"/>
    <w:rsid w:val="0033071D"/>
    <w:rsid w:val="003602D9"/>
    <w:rsid w:val="003613A8"/>
    <w:rsid w:val="003F6E9C"/>
    <w:rsid w:val="00417AA4"/>
    <w:rsid w:val="00426F67"/>
    <w:rsid w:val="004D3EE4"/>
    <w:rsid w:val="004D5093"/>
    <w:rsid w:val="004F2A25"/>
    <w:rsid w:val="004F6F21"/>
    <w:rsid w:val="004F6F4A"/>
    <w:rsid w:val="00503020"/>
    <w:rsid w:val="005063DA"/>
    <w:rsid w:val="0053304F"/>
    <w:rsid w:val="00540DCF"/>
    <w:rsid w:val="00542D8C"/>
    <w:rsid w:val="00555DF4"/>
    <w:rsid w:val="005609D7"/>
    <w:rsid w:val="005A2F95"/>
    <w:rsid w:val="005A6CD2"/>
    <w:rsid w:val="005B3EF0"/>
    <w:rsid w:val="005C3A79"/>
    <w:rsid w:val="00605AC0"/>
    <w:rsid w:val="00637F6A"/>
    <w:rsid w:val="00652CEF"/>
    <w:rsid w:val="00680922"/>
    <w:rsid w:val="006826E8"/>
    <w:rsid w:val="006850A5"/>
    <w:rsid w:val="006A4A9B"/>
    <w:rsid w:val="006B65E7"/>
    <w:rsid w:val="006C728C"/>
    <w:rsid w:val="006E7EB5"/>
    <w:rsid w:val="007153BF"/>
    <w:rsid w:val="00717F15"/>
    <w:rsid w:val="0073760A"/>
    <w:rsid w:val="00760671"/>
    <w:rsid w:val="007729E5"/>
    <w:rsid w:val="00785750"/>
    <w:rsid w:val="007B09B5"/>
    <w:rsid w:val="007E35BF"/>
    <w:rsid w:val="0082313E"/>
    <w:rsid w:val="00830374"/>
    <w:rsid w:val="00856A38"/>
    <w:rsid w:val="00857BE3"/>
    <w:rsid w:val="00866161"/>
    <w:rsid w:val="00871FA8"/>
    <w:rsid w:val="00875292"/>
    <w:rsid w:val="0088295B"/>
    <w:rsid w:val="008874F2"/>
    <w:rsid w:val="0089379D"/>
    <w:rsid w:val="008A0161"/>
    <w:rsid w:val="008C7E9E"/>
    <w:rsid w:val="008D2D53"/>
    <w:rsid w:val="008F3D9C"/>
    <w:rsid w:val="0090442D"/>
    <w:rsid w:val="00914754"/>
    <w:rsid w:val="00915D3A"/>
    <w:rsid w:val="00954036"/>
    <w:rsid w:val="00964B5B"/>
    <w:rsid w:val="009C4458"/>
    <w:rsid w:val="00A36ADA"/>
    <w:rsid w:val="00A40856"/>
    <w:rsid w:val="00A43229"/>
    <w:rsid w:val="00A43C2B"/>
    <w:rsid w:val="00A45C8F"/>
    <w:rsid w:val="00A5790C"/>
    <w:rsid w:val="00A62144"/>
    <w:rsid w:val="00A65A7E"/>
    <w:rsid w:val="00A76514"/>
    <w:rsid w:val="00AE1F00"/>
    <w:rsid w:val="00AE27B6"/>
    <w:rsid w:val="00AF1584"/>
    <w:rsid w:val="00B648A8"/>
    <w:rsid w:val="00B76CE5"/>
    <w:rsid w:val="00B86EC0"/>
    <w:rsid w:val="00BC4C5D"/>
    <w:rsid w:val="00BC5681"/>
    <w:rsid w:val="00BC5B29"/>
    <w:rsid w:val="00BE72F9"/>
    <w:rsid w:val="00BF39BF"/>
    <w:rsid w:val="00C00643"/>
    <w:rsid w:val="00C060B5"/>
    <w:rsid w:val="00C1534B"/>
    <w:rsid w:val="00C1583C"/>
    <w:rsid w:val="00C3332C"/>
    <w:rsid w:val="00C60099"/>
    <w:rsid w:val="00C660D1"/>
    <w:rsid w:val="00CB5572"/>
    <w:rsid w:val="00CB5BC2"/>
    <w:rsid w:val="00CF5732"/>
    <w:rsid w:val="00D34DF9"/>
    <w:rsid w:val="00D4764E"/>
    <w:rsid w:val="00D53BA6"/>
    <w:rsid w:val="00D76FEE"/>
    <w:rsid w:val="00D84196"/>
    <w:rsid w:val="00DA664B"/>
    <w:rsid w:val="00DC6BB4"/>
    <w:rsid w:val="00DF3852"/>
    <w:rsid w:val="00E4186E"/>
    <w:rsid w:val="00E63F4D"/>
    <w:rsid w:val="00E84930"/>
    <w:rsid w:val="00EA4551"/>
    <w:rsid w:val="00EE0899"/>
    <w:rsid w:val="00F351AD"/>
    <w:rsid w:val="00F46DEB"/>
    <w:rsid w:val="00F51A6E"/>
    <w:rsid w:val="00F51A9B"/>
    <w:rsid w:val="00F668C5"/>
    <w:rsid w:val="00F72812"/>
    <w:rsid w:val="00F85475"/>
    <w:rsid w:val="00F869BD"/>
    <w:rsid w:val="00FB0CA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4CFA9320A03148E98EF733F7A917AECF">
    <w:name w:val="4CFA9320A03148E98EF733F7A917AECF"/>
  </w:style>
  <w:style w:type="paragraph" w:customStyle="1" w:styleId="638D3FBF853047F4884D2C6F99BBF025">
    <w:name w:val="638D3FBF853047F4884D2C6F99BBF025"/>
    <w:rsid w:val="00915D3A"/>
  </w:style>
  <w:style w:type="paragraph" w:customStyle="1" w:styleId="528060612E6C45EFB01AA622802816BB">
    <w:name w:val="528060612E6C45EFB01AA622802816BB"/>
    <w:rsid w:val="00915D3A"/>
  </w:style>
  <w:style w:type="paragraph" w:customStyle="1" w:styleId="6184F4EE737B4A10A86411EE59B693AC">
    <w:name w:val="6184F4EE737B4A10A86411EE59B693AC"/>
    <w:rsid w:val="00915D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balíka Office">
  <a:themeElements>
    <a:clrScheme name="NKÚ SR">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D86EF-D756-4091-83F9-2D4A3B005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Stanovisko OSA</Template>
  <TotalTime>23</TotalTime>
  <Pages>35</Pages>
  <Words>13446</Words>
  <Characters>76644</Characters>
  <Application>Microsoft Office Word</Application>
  <DocSecurity>0</DocSecurity>
  <Lines>638</Lines>
  <Paragraphs>179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Onisik Milan</dc:creator>
  <cp:keywords/>
  <dc:description/>
  <cp:lastModifiedBy>Onisik Milan</cp:lastModifiedBy>
  <cp:revision>6</cp:revision>
  <cp:lastPrinted>2023-12-18T07:37:00Z</cp:lastPrinted>
  <dcterms:created xsi:type="dcterms:W3CDTF">2023-12-18T08:15:00Z</dcterms:created>
  <dcterms:modified xsi:type="dcterms:W3CDTF">2023-12-18T08:58:00Z</dcterms:modified>
</cp:coreProperties>
</file>