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8" w:hanging="382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právneho predpisu:</w:t>
      </w:r>
      <w:r w:rsidDel="00000000" w:rsidR="00000000" w:rsidRPr="00000000">
        <w:rPr>
          <w:rtl w:val="0"/>
        </w:rPr>
        <w:t xml:space="preserve"> </w:t>
        <w:tab/>
        <w:t xml:space="preserve">poslanec Národnej rady Slovenskej republiky Branislav Vančo a poslankyne Národnej rady Slovenskej republiky Lucia Plaváková a Zuzana Števulová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 ktorým sa mení a dopĺňa zákon č. 301/2005 Z. z. Trestný poriadok v znení neskorších predpisov.</w:t>
      </w:r>
    </w:p>
    <w:p w:rsidR="00000000" w:rsidDel="00000000" w:rsidP="00000000" w:rsidRDefault="00000000" w:rsidRPr="00000000" w14:paraId="00000007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200" w:line="276" w:lineRule="auto"/>
        <w:rPr>
          <w:b w:val="1"/>
          <w:smallCaps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a dopĺňa zákon č. 301/2005 Z. z. Trestný poriadok v znení neskorších predpisov.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A.2. Vplyvy: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5370"/>
        <w:gridCol w:w="1305"/>
        <w:gridCol w:w="1005"/>
        <w:gridCol w:w="1365"/>
        <w:tblGridChange w:id="0">
          <w:tblGrid>
            <w:gridCol w:w="5370"/>
            <w:gridCol w:w="1305"/>
            <w:gridCol w:w="100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A.3. Poznámky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  <w:rtl w:val="0"/>
        </w:rPr>
        <w:t xml:space="preserve">Táto zmena právnej úpravy bude mať pozitívny vplyv na ochranu nezávislosti vyšetrovania trestnej činnosti, ochranu pred zneužitím právomocí generálneho prokurátora a v konečnom dôsledku aj na zvýšenie dôveryhodnosti justičných orgánov SR.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A.4. Alternatívne riešenia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Bezpredmetné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F+e44ALQscEli71X9utNheuJcQ==">CgMxLjA4AHIhMWFocXdpaGJ3VXFSUFZFS05kTDhzTHZCRFA2ZkM5MjNG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