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A0F1F" w14:textId="77777777" w:rsidR="00892497" w:rsidRPr="00D03243" w:rsidRDefault="00892497" w:rsidP="0089249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3243">
        <w:rPr>
          <w:rFonts w:ascii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14:paraId="78E2F039" w14:textId="09A2F56A" w:rsidR="00892497" w:rsidRPr="00D03243" w:rsidRDefault="00EE41F8" w:rsidP="0089249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sk-SK"/>
        </w:rPr>
      </w:pPr>
      <w:r w:rsidRPr="00EE41F8">
        <w:rPr>
          <w:rFonts w:ascii="Times New Roman" w:hAnsi="Times New Roman"/>
          <w:bCs/>
          <w:sz w:val="24"/>
          <w:szCs w:val="24"/>
          <w:lang w:eastAsia="sk-SK"/>
        </w:rPr>
        <w:t>IX</w:t>
      </w:r>
      <w:r w:rsidR="00892497" w:rsidRPr="00D03243">
        <w:rPr>
          <w:rFonts w:ascii="Times New Roman" w:hAnsi="Times New Roman"/>
          <w:bCs/>
          <w:sz w:val="24"/>
          <w:szCs w:val="24"/>
          <w:lang w:eastAsia="sk-SK"/>
        </w:rPr>
        <w:t>. volebné obdobie</w:t>
      </w:r>
    </w:p>
    <w:p w14:paraId="3526C45A" w14:textId="77777777" w:rsidR="00892497" w:rsidRPr="00424924" w:rsidRDefault="00892497" w:rsidP="008924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2B477E19" w14:textId="77777777" w:rsidR="00892497" w:rsidRPr="00424924" w:rsidRDefault="00892497" w:rsidP="008924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70BD50E8" w14:textId="77777777" w:rsidR="00892497" w:rsidRPr="00424924" w:rsidRDefault="00892497" w:rsidP="008924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29D5CD98" w14:textId="77777777" w:rsidR="00892497" w:rsidRPr="00424924" w:rsidRDefault="00892497" w:rsidP="008924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0A3CF6B2" w14:textId="70DEA1F9" w:rsidR="00892497" w:rsidRPr="00F176FD" w:rsidRDefault="00561FAE" w:rsidP="008924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eastAsia="sk-SK"/>
        </w:rPr>
      </w:pPr>
      <w:r w:rsidRPr="00561FAE">
        <w:rPr>
          <w:rFonts w:ascii="Times New Roman" w:hAnsi="Times New Roman"/>
          <w:bCs/>
          <w:sz w:val="28"/>
          <w:szCs w:val="24"/>
          <w:lang w:eastAsia="sk-SK"/>
        </w:rPr>
        <w:t>105</w:t>
      </w:r>
    </w:p>
    <w:p w14:paraId="5FD0C029" w14:textId="77777777" w:rsidR="00892497" w:rsidRPr="00424924" w:rsidRDefault="00892497" w:rsidP="008924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6668D942" w14:textId="77777777" w:rsidR="00892497" w:rsidRPr="00424924" w:rsidRDefault="00892497" w:rsidP="008924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5F639630" w14:textId="77777777" w:rsidR="00892497" w:rsidRPr="00424924" w:rsidRDefault="00892497" w:rsidP="008924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0A8587C8" w14:textId="77777777" w:rsidR="00892497" w:rsidRPr="00424924" w:rsidRDefault="00892497" w:rsidP="008924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sk-SK"/>
        </w:rPr>
      </w:pPr>
    </w:p>
    <w:p w14:paraId="3FB6BD0D" w14:textId="19FF457D" w:rsidR="00892497" w:rsidRPr="00D03243" w:rsidRDefault="00892497" w:rsidP="008924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D03243">
        <w:rPr>
          <w:rFonts w:ascii="Times New Roman" w:hAnsi="Times New Roman"/>
          <w:b/>
          <w:bCs/>
          <w:sz w:val="24"/>
          <w:szCs w:val="24"/>
          <w:lang w:eastAsia="sk-SK"/>
        </w:rPr>
        <w:t>NÁVRH VLÁDY</w:t>
      </w:r>
    </w:p>
    <w:p w14:paraId="547F7D75" w14:textId="77777777" w:rsidR="00892497" w:rsidRDefault="00892497" w:rsidP="000945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9A58F1" w14:textId="6CA37E24" w:rsidR="0009455C" w:rsidRDefault="0009455C" w:rsidP="00094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55C">
        <w:rPr>
          <w:rFonts w:ascii="Times New Roman" w:hAnsi="Times New Roman" w:cs="Times New Roman"/>
          <w:b/>
          <w:sz w:val="24"/>
          <w:szCs w:val="24"/>
        </w:rPr>
        <w:t>na skrátené legislatívne konanie o vládnom návrhu zákona, ktorým sa mení a dopĺňa zákon č. 300/2005 Z. z. Trestný zákon v znení neskorších predpisov a ktorým sa menia a dopĺňajú niektoré zákony</w:t>
      </w:r>
    </w:p>
    <w:p w14:paraId="572B152D" w14:textId="77777777" w:rsidR="00CB4716" w:rsidRPr="0009455C" w:rsidRDefault="00CB4716" w:rsidP="000945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2E487" w14:textId="20CD456C" w:rsidR="0009455C" w:rsidRDefault="0009455C" w:rsidP="000945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55C">
        <w:rPr>
          <w:rFonts w:ascii="Times New Roman" w:hAnsi="Times New Roman" w:cs="Times New Roman"/>
          <w:sz w:val="24"/>
          <w:szCs w:val="24"/>
        </w:rPr>
        <w:t xml:space="preserve">Na rokovanie </w:t>
      </w:r>
      <w:r w:rsidR="00BD6CF0">
        <w:rPr>
          <w:rFonts w:ascii="Times New Roman" w:hAnsi="Times New Roman" w:cs="Times New Roman"/>
          <w:sz w:val="24"/>
          <w:szCs w:val="24"/>
        </w:rPr>
        <w:t xml:space="preserve">Národnej rady </w:t>
      </w:r>
      <w:r w:rsidRPr="0009455C">
        <w:rPr>
          <w:rFonts w:ascii="Times New Roman" w:hAnsi="Times New Roman" w:cs="Times New Roman"/>
          <w:sz w:val="24"/>
          <w:szCs w:val="24"/>
        </w:rPr>
        <w:t xml:space="preserve">Slovenskej republiky sa predkladá </w:t>
      </w:r>
      <w:r w:rsidR="00BD6CF0">
        <w:rPr>
          <w:rFonts w:ascii="Times New Roman" w:hAnsi="Times New Roman" w:cs="Times New Roman"/>
          <w:sz w:val="24"/>
          <w:szCs w:val="24"/>
        </w:rPr>
        <w:t xml:space="preserve">vládny </w:t>
      </w:r>
      <w:r w:rsidRPr="0009455C">
        <w:rPr>
          <w:rFonts w:ascii="Times New Roman" w:hAnsi="Times New Roman" w:cs="Times New Roman"/>
          <w:sz w:val="24"/>
          <w:szCs w:val="24"/>
        </w:rPr>
        <w:t xml:space="preserve">návrh na skrátené legislatívne konanie o vládnom návrhu zákona, ktorým sa mení a dopĺňa zákon č. 300/2005 Z. z. Trestný zákon v znení neskorších predpisov a ktorým sa menia a dopĺňajú niektoré zákony (ďalej len „návrh zákona“). </w:t>
      </w:r>
    </w:p>
    <w:p w14:paraId="5F15D3C0" w14:textId="77777777" w:rsidR="00C90332" w:rsidRPr="00C90332" w:rsidRDefault="00C90332" w:rsidP="00C90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>Naliehavosť prijatia návrhu zákona v skrátenom legislatívnom konaní vyplýva z nevyhnutnosti prijať  legislatívne opatrenia v oblasti trestného práva nadväzujúce na konania o porušení povinností vyplývajúcich z práva Európskej únie. Ide o tieto konania o porušení práva Európskej únie:</w:t>
      </w:r>
    </w:p>
    <w:p w14:paraId="63695C3E" w14:textId="77777777" w:rsidR="00C90332" w:rsidRDefault="00C90332" w:rsidP="00C9033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>konanie o porušení INFR(2019)2135 pre nesprávnu transpozíciu smernice Európskeho parlamentu a Rady 2011/93/EÚ z  13. decembra 2011 o boji proti sexuálnemu zneužívaniu a sexuálnemu vykorisťovaniu detí a proti detskej pornografii, ktorou sa nahrádza rámcové rozhodnutie Rady 2004/68/SVV (konanie začaté 15. februára 2023),</w:t>
      </w:r>
    </w:p>
    <w:p w14:paraId="5C049B27" w14:textId="77777777" w:rsidR="00C90332" w:rsidRDefault="00C90332" w:rsidP="00C9033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>konanie o porušení INFR(2021)2240 pre neúplnú a nesprávnu transpozíciu rámcového rozhodnutia Rady 2002/584/SVV z 13. júna 2002 o európskom zatykači a postupoch odovzdávania osôb medzi členskými štátmi (konanie začaté 14. júla 2023),</w:t>
      </w:r>
    </w:p>
    <w:p w14:paraId="37C0FED6" w14:textId="77777777" w:rsidR="00C90332" w:rsidRDefault="00C90332" w:rsidP="00C9033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>konanie o porušení INFR(2021)2268 pre nesprávnu transpozíciu niektorých ustanovení smernice Európskeho parlamentu a Rady (EÚ) 2017/1371 z 5. júla 2017 o boji proti podvodom, ktoré poškodzujú finančné záujmy Únie, prostredníctvom trestného práva a súvisiace porušenie čl. 325 ods. 2 ZFEÚ (konanie začaté 9. februára 2022),</w:t>
      </w:r>
    </w:p>
    <w:p w14:paraId="01FD1F27" w14:textId="77777777" w:rsidR="00C90332" w:rsidRDefault="00C90332" w:rsidP="00C9033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konanie o porušení INFR(2023)2008 pre nesprávnu transpozíciu smernice Európskeho parlamentu a Rady 2013/48/EÚ z 22. októbra 2013 o práve na prístup k obhajcovi v trestnom konaní a v konaní o európskom zatykači a o práve na informovanie tretej osoby po pozbavení osobnej slobody a na komunikáciu s tretími </w:t>
      </w:r>
      <w:r w:rsidRPr="00C90332">
        <w:rPr>
          <w:rFonts w:ascii="Times New Roman" w:hAnsi="Times New Roman" w:cs="Times New Roman"/>
          <w:sz w:val="24"/>
          <w:szCs w:val="24"/>
        </w:rPr>
        <w:lastRenderedPageBreak/>
        <w:t>osobami a s konzulárnymi úradmi po pozbavení osobnej slobody (konanie začaté 1. júla 2023),</w:t>
      </w:r>
    </w:p>
    <w:p w14:paraId="66A0D29D" w14:textId="77777777" w:rsidR="00C90332" w:rsidRPr="00C90332" w:rsidRDefault="00C90332" w:rsidP="00C90332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konanie o porušení INFR(2023)2108 pre neúplnú transpozíciu smernice Európskeho parlamentu a Rady (EÚ) 2016/800 z 11. mája 2016 o procesných zárukách pre deti, ktoré sú podozrivými alebo obvinenými osobami v trestnom konaní (konanie začaté 18. októbra 2023). </w:t>
      </w:r>
    </w:p>
    <w:p w14:paraId="42BCBAC3" w14:textId="369BE5E8" w:rsidR="00C90332" w:rsidRPr="00C90332" w:rsidRDefault="00C90332" w:rsidP="00C90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>Je preto dôležité, aby zákonodarca pristúpil k okamžitému riešeniu výhrad Európskej komisie. V opačnom prípade sa Slovenská republika</w:t>
      </w:r>
      <w:r w:rsidR="005A1FE2">
        <w:rPr>
          <w:rFonts w:ascii="Times New Roman" w:hAnsi="Times New Roman" w:cs="Times New Roman"/>
          <w:sz w:val="24"/>
          <w:szCs w:val="24"/>
        </w:rPr>
        <w:t xml:space="preserve"> (ďalej len „SR“)</w:t>
      </w:r>
      <w:r w:rsidRPr="00C90332">
        <w:rPr>
          <w:rFonts w:ascii="Times New Roman" w:hAnsi="Times New Roman" w:cs="Times New Roman"/>
          <w:sz w:val="24"/>
          <w:szCs w:val="24"/>
        </w:rPr>
        <w:t xml:space="preserve"> vystavuje riziku súdneho konania, s ktorými sú bezprostredne späté finančné sankcie z dôvodu absentujúcej, prípadne nesprávnej transpozície práva Európskej únie. </w:t>
      </w:r>
    </w:p>
    <w:p w14:paraId="5D55A0A2" w14:textId="341304F3" w:rsidR="00C90332" w:rsidRPr="00C90332" w:rsidRDefault="00C90332" w:rsidP="00C90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>Pokiaľ ide o možné následky konaní o porušení, ktoré vedie Európska komisia proti</w:t>
      </w:r>
      <w:r w:rsidR="005A1FE2">
        <w:rPr>
          <w:rFonts w:ascii="Times New Roman" w:hAnsi="Times New Roman" w:cs="Times New Roman"/>
          <w:sz w:val="24"/>
          <w:szCs w:val="24"/>
        </w:rPr>
        <w:t xml:space="preserve"> SR</w:t>
      </w:r>
      <w:r w:rsidRPr="00C90332">
        <w:rPr>
          <w:rFonts w:ascii="Times New Roman" w:hAnsi="Times New Roman" w:cs="Times New Roman"/>
          <w:sz w:val="24"/>
          <w:szCs w:val="24"/>
        </w:rPr>
        <w:t>, je potrebné uviesť, že v prípade pokračovania týchto konaní bez zabezpečenia nápravy vytýkaných porušení najneskôr v lehote na odpoveď na odôvodnené stanovisko Európskej komisie by sa táto následne mohla obrátiť so žalobou na Súdny dvor</w:t>
      </w:r>
      <w:r w:rsidR="0087246F">
        <w:rPr>
          <w:rFonts w:ascii="Times New Roman" w:hAnsi="Times New Roman" w:cs="Times New Roman"/>
          <w:sz w:val="24"/>
          <w:szCs w:val="24"/>
        </w:rPr>
        <w:t xml:space="preserve"> Európskej únie</w:t>
      </w:r>
      <w:r w:rsidR="003D5B7D">
        <w:rPr>
          <w:rFonts w:ascii="Times New Roman" w:hAnsi="Times New Roman" w:cs="Times New Roman"/>
          <w:sz w:val="24"/>
          <w:szCs w:val="24"/>
        </w:rPr>
        <w:t xml:space="preserve"> (ďalej len „SDEÚ“)</w:t>
      </w:r>
      <w:r w:rsidR="0087246F">
        <w:rPr>
          <w:rFonts w:ascii="Times New Roman" w:hAnsi="Times New Roman" w:cs="Times New Roman"/>
          <w:sz w:val="24"/>
          <w:szCs w:val="24"/>
        </w:rPr>
        <w:t xml:space="preserve"> </w:t>
      </w:r>
      <w:r w:rsidRPr="00C90332">
        <w:rPr>
          <w:rFonts w:ascii="Times New Roman" w:hAnsi="Times New Roman" w:cs="Times New Roman"/>
          <w:sz w:val="24"/>
          <w:szCs w:val="24"/>
        </w:rPr>
        <w:t>podľa čl. 258 Zmluvy o fungovaní Európskej únie. Pokiaľ by</w:t>
      </w:r>
      <w:r w:rsidR="003D5B7D">
        <w:rPr>
          <w:rFonts w:ascii="Times New Roman" w:hAnsi="Times New Roman" w:cs="Times New Roman"/>
          <w:sz w:val="24"/>
          <w:szCs w:val="24"/>
        </w:rPr>
        <w:t xml:space="preserve"> SDEÚ </w:t>
      </w:r>
      <w:r w:rsidRPr="00C90332">
        <w:rPr>
          <w:rFonts w:ascii="Times New Roman" w:hAnsi="Times New Roman" w:cs="Times New Roman"/>
          <w:sz w:val="24"/>
          <w:szCs w:val="24"/>
        </w:rPr>
        <w:t xml:space="preserve">na základe takejto žaloby konštatoval, že </w:t>
      </w:r>
      <w:r w:rsidR="005A1FE2">
        <w:rPr>
          <w:rFonts w:ascii="Times New Roman" w:hAnsi="Times New Roman" w:cs="Times New Roman"/>
          <w:sz w:val="24"/>
          <w:szCs w:val="24"/>
        </w:rPr>
        <w:t>SR</w:t>
      </w:r>
      <w:r w:rsidR="005A1FE2" w:rsidRPr="00C90332" w:rsidDel="005A1FE2">
        <w:rPr>
          <w:rFonts w:ascii="Times New Roman" w:hAnsi="Times New Roman" w:cs="Times New Roman"/>
          <w:sz w:val="24"/>
          <w:szCs w:val="24"/>
        </w:rPr>
        <w:t xml:space="preserve"> </w:t>
      </w:r>
      <w:r w:rsidRPr="00C90332">
        <w:rPr>
          <w:rFonts w:ascii="Times New Roman" w:hAnsi="Times New Roman" w:cs="Times New Roman"/>
          <w:sz w:val="24"/>
          <w:szCs w:val="24"/>
        </w:rPr>
        <w:t xml:space="preserve">porušila svoje povinnosti vyplývajúce z dotknutých aktov práva Európskej únie, </w:t>
      </w:r>
      <w:r w:rsidR="005A1FE2" w:rsidRPr="005A1FE2">
        <w:rPr>
          <w:rFonts w:ascii="Times New Roman" w:hAnsi="Times New Roman" w:cs="Times New Roman"/>
          <w:sz w:val="24"/>
          <w:szCs w:val="24"/>
        </w:rPr>
        <w:t>SR</w:t>
      </w:r>
      <w:r w:rsidR="005A1FE2" w:rsidRPr="005A1FE2" w:rsidDel="005A1FE2">
        <w:rPr>
          <w:rFonts w:ascii="Times New Roman" w:hAnsi="Times New Roman" w:cs="Times New Roman"/>
          <w:sz w:val="24"/>
          <w:szCs w:val="24"/>
        </w:rPr>
        <w:t xml:space="preserve"> </w:t>
      </w:r>
      <w:r w:rsidRPr="00C90332">
        <w:rPr>
          <w:rFonts w:ascii="Times New Roman" w:hAnsi="Times New Roman" w:cs="Times New Roman"/>
          <w:sz w:val="24"/>
          <w:szCs w:val="24"/>
        </w:rPr>
        <w:t>by bola povinná vykonať rozsudok - t. j. zabezpečiť súlad vnútroštátneho práva s právom Európskej únie. Pokiaľ by sa tak nestalo, Európska komisia by bola oprávnená podať na</w:t>
      </w:r>
      <w:r w:rsidR="003D5B7D">
        <w:rPr>
          <w:rFonts w:ascii="Times New Roman" w:hAnsi="Times New Roman" w:cs="Times New Roman"/>
          <w:sz w:val="24"/>
          <w:szCs w:val="24"/>
        </w:rPr>
        <w:t xml:space="preserve"> SDEÚ </w:t>
      </w:r>
      <w:r w:rsidRPr="00C90332">
        <w:rPr>
          <w:rFonts w:ascii="Times New Roman" w:hAnsi="Times New Roman" w:cs="Times New Roman"/>
          <w:sz w:val="24"/>
          <w:szCs w:val="24"/>
        </w:rPr>
        <w:t>ďalšiu žalobu podľa čl. 260 ods. 2 Zmluvy o fungovaní Európskej únie, v ktorej by už navrhla, aby</w:t>
      </w:r>
      <w:r w:rsidR="003D5B7D">
        <w:rPr>
          <w:rFonts w:ascii="Times New Roman" w:hAnsi="Times New Roman" w:cs="Times New Roman"/>
          <w:sz w:val="24"/>
          <w:szCs w:val="24"/>
        </w:rPr>
        <w:t xml:space="preserve"> SDEÚ </w:t>
      </w:r>
      <w:r w:rsidRPr="00C90332">
        <w:rPr>
          <w:rFonts w:ascii="Times New Roman" w:hAnsi="Times New Roman" w:cs="Times New Roman"/>
          <w:sz w:val="24"/>
          <w:szCs w:val="24"/>
        </w:rPr>
        <w:t>uložil</w:t>
      </w:r>
      <w:r w:rsidR="005A1FE2">
        <w:rPr>
          <w:rFonts w:ascii="Times New Roman" w:hAnsi="Times New Roman" w:cs="Times New Roman"/>
          <w:sz w:val="24"/>
          <w:szCs w:val="24"/>
        </w:rPr>
        <w:t xml:space="preserve"> SR </w:t>
      </w:r>
      <w:r w:rsidRPr="00C90332">
        <w:rPr>
          <w:rFonts w:ascii="Times New Roman" w:hAnsi="Times New Roman" w:cs="Times New Roman"/>
          <w:sz w:val="24"/>
          <w:szCs w:val="24"/>
        </w:rPr>
        <w:t>konkrétne finančné sankcie za toto porušenie. Osobitne, v prípade neoznámenia opatrení, ktorými bola transponovaná smernica prijatá v súlade s legislatívnym postupom, môže Európska komisia už v prvej žalobe podľa čl. 258 ZFEÚ na základe čl. 260 ods. 3 ZFEÚ navrhnúť, aby</w:t>
      </w:r>
      <w:r w:rsidR="003D5B7D">
        <w:rPr>
          <w:rFonts w:ascii="Times New Roman" w:hAnsi="Times New Roman" w:cs="Times New Roman"/>
          <w:sz w:val="24"/>
          <w:szCs w:val="24"/>
        </w:rPr>
        <w:t xml:space="preserve"> SDEÚ </w:t>
      </w:r>
      <w:r w:rsidRPr="00C90332">
        <w:rPr>
          <w:rFonts w:ascii="Times New Roman" w:hAnsi="Times New Roman" w:cs="Times New Roman"/>
          <w:sz w:val="24"/>
          <w:szCs w:val="24"/>
        </w:rPr>
        <w:t xml:space="preserve">určil, že si </w:t>
      </w:r>
      <w:r w:rsidR="005A1FE2">
        <w:rPr>
          <w:rFonts w:ascii="Times New Roman" w:hAnsi="Times New Roman" w:cs="Times New Roman"/>
          <w:sz w:val="24"/>
          <w:szCs w:val="24"/>
        </w:rPr>
        <w:t xml:space="preserve">SR </w:t>
      </w:r>
      <w:r w:rsidRPr="00C90332">
        <w:rPr>
          <w:rFonts w:ascii="Times New Roman" w:hAnsi="Times New Roman" w:cs="Times New Roman"/>
          <w:sz w:val="24"/>
          <w:szCs w:val="24"/>
        </w:rPr>
        <w:t>nesplnila svoje povinnosti, a zároveň jej aj uložil konkrétne finančné sankcie za toto porušenie. V tejto súvislosti je tiež potrebné uviesť, že Európska komisia už opakovane deklarovala, že v prípade, že k náprave vytýkaného porušenia dôjde až po podaní žaloby na</w:t>
      </w:r>
      <w:r w:rsidR="003D5B7D" w:rsidRPr="003D5B7D">
        <w:rPr>
          <w:rFonts w:ascii="Times New Roman" w:hAnsi="Times New Roman" w:cs="Times New Roman"/>
          <w:sz w:val="24"/>
          <w:szCs w:val="24"/>
        </w:rPr>
        <w:t xml:space="preserve"> </w:t>
      </w:r>
      <w:r w:rsidR="003D5B7D">
        <w:rPr>
          <w:rFonts w:ascii="Times New Roman" w:hAnsi="Times New Roman" w:cs="Times New Roman"/>
          <w:sz w:val="24"/>
          <w:szCs w:val="24"/>
        </w:rPr>
        <w:t>SDEÚ</w:t>
      </w:r>
      <w:r w:rsidRPr="00C90332">
        <w:rPr>
          <w:rFonts w:ascii="Times New Roman" w:hAnsi="Times New Roman" w:cs="Times New Roman"/>
          <w:sz w:val="24"/>
          <w:szCs w:val="24"/>
        </w:rPr>
        <w:t>, nepristúpi k späťvzatiu žaloby.</w:t>
      </w:r>
    </w:p>
    <w:p w14:paraId="39003FDE" w14:textId="3FB99F4B" w:rsidR="00C90332" w:rsidRDefault="00C90332" w:rsidP="00C90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Pokiaľ ide o samotné finančné sankcie, pri návrhu ich konkrétneho druhu a výšky Európska komisia vo všeobecnosti vychádza z aktuálneho oznámenia o finančných sankciách, v roku 2023 ide o oznámenie </w:t>
      </w:r>
      <w:r w:rsidRPr="0082617E">
        <w:rPr>
          <w:rFonts w:ascii="Times New Roman" w:hAnsi="Times New Roman" w:cs="Times New Roman"/>
          <w:i/>
          <w:sz w:val="24"/>
          <w:szCs w:val="24"/>
        </w:rPr>
        <w:t>C(2022)9973 z 22. decembra 2022 „Finančné sankcie v konaniach o nesplnení povinnosti</w:t>
      </w:r>
      <w:r w:rsidR="00261C5A">
        <w:rPr>
          <w:rFonts w:ascii="Times New Roman" w:hAnsi="Times New Roman" w:cs="Times New Roman"/>
          <w:i/>
          <w:sz w:val="24"/>
          <w:szCs w:val="24"/>
        </w:rPr>
        <w:t>“</w:t>
      </w:r>
      <w:r w:rsidRPr="0082617E">
        <w:rPr>
          <w:rFonts w:ascii="Times New Roman" w:hAnsi="Times New Roman" w:cs="Times New Roman"/>
          <w:i/>
          <w:sz w:val="24"/>
          <w:szCs w:val="24"/>
        </w:rPr>
        <w:t>.</w:t>
      </w:r>
      <w:r w:rsidRPr="00C90332">
        <w:rPr>
          <w:rFonts w:ascii="Times New Roman" w:hAnsi="Times New Roman" w:cs="Times New Roman"/>
          <w:sz w:val="24"/>
          <w:szCs w:val="24"/>
        </w:rPr>
        <w:t xml:space="preserve"> Sankcie spočívajú v paušálnej pokute a prípadne aj penále. Výšku sankcií pritom ovplyvňuje nielen doba pretrvávania porušenia a jeho závažnosť, ale aj potreba zabezpečenia dostatočného odrádzajúceho účinku sankcie. Pokiaľ ide o konkrétne sumy, pohybujú sa navrhované sankcie štandardne v rozpätí niekoľkých miliónov eur. Pre</w:t>
      </w:r>
      <w:r w:rsidR="005A1FE2">
        <w:rPr>
          <w:rFonts w:ascii="Times New Roman" w:hAnsi="Times New Roman" w:cs="Times New Roman"/>
          <w:sz w:val="24"/>
          <w:szCs w:val="24"/>
        </w:rPr>
        <w:t xml:space="preserve"> SR</w:t>
      </w:r>
      <w:r w:rsidRPr="00C90332">
        <w:rPr>
          <w:rFonts w:ascii="Times New Roman" w:hAnsi="Times New Roman" w:cs="Times New Roman"/>
          <w:sz w:val="24"/>
          <w:szCs w:val="24"/>
        </w:rPr>
        <w:t xml:space="preserve"> je v roku 2023 výška minimálnej paušálnej pokuty stanovená na sumu 616 000 eur (maximálna výška nie je ustanovená). Denné penále sa môže pohybovať v rozmedzí od 660 do 39 600 eur na deň, pričom penále určené </w:t>
      </w:r>
      <w:r w:rsidR="008942D9" w:rsidRPr="008942D9">
        <w:rPr>
          <w:rFonts w:ascii="Times New Roman" w:hAnsi="Times New Roman" w:cs="Times New Roman"/>
          <w:sz w:val="24"/>
          <w:szCs w:val="24"/>
        </w:rPr>
        <w:t>SDEÚ</w:t>
      </w:r>
      <w:r w:rsidR="008942D9" w:rsidRPr="008942D9" w:rsidDel="008942D9">
        <w:rPr>
          <w:rFonts w:ascii="Times New Roman" w:hAnsi="Times New Roman" w:cs="Times New Roman"/>
          <w:sz w:val="24"/>
          <w:szCs w:val="24"/>
        </w:rPr>
        <w:t xml:space="preserve"> </w:t>
      </w:r>
      <w:r w:rsidRPr="00C90332">
        <w:rPr>
          <w:rFonts w:ascii="Times New Roman" w:hAnsi="Times New Roman" w:cs="Times New Roman"/>
          <w:sz w:val="24"/>
          <w:szCs w:val="24"/>
        </w:rPr>
        <w:t>je členský štát povinný platiť za každý deň až do úplného odstránenia porušenia práva Európskej únie.</w:t>
      </w:r>
    </w:p>
    <w:p w14:paraId="599EF965" w14:textId="77777777" w:rsidR="0055722E" w:rsidRPr="0055722E" w:rsidRDefault="0055722E" w:rsidP="0055722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Ďalšie finančné sankcie </w:t>
      </w:r>
      <w:r w:rsidRPr="0082617E">
        <w:rPr>
          <w:rFonts w:ascii="Times New Roman" w:hAnsi="Times New Roman" w:cs="Times New Roman"/>
          <w:i/>
          <w:sz w:val="24"/>
          <w:szCs w:val="24"/>
        </w:rPr>
        <w:t xml:space="preserve">pro </w:t>
      </w:r>
      <w:proofErr w:type="spellStart"/>
      <w:r w:rsidRPr="0082617E">
        <w:rPr>
          <w:rFonts w:ascii="Times New Roman" w:hAnsi="Times New Roman" w:cs="Times New Roman"/>
          <w:i/>
          <w:sz w:val="24"/>
          <w:szCs w:val="24"/>
        </w:rPr>
        <w:t>futuro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hrozia aj v prípade neodstránenia transpozičného deficitu vo vzťahu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k smernici </w:t>
      </w:r>
      <w:r w:rsidRPr="0055722E">
        <w:rPr>
          <w:rFonts w:ascii="Times New Roman" w:eastAsia="Georgia" w:hAnsi="Times New Roman" w:cs="Times New Roman"/>
          <w:color w:val="000000"/>
          <w:sz w:val="24"/>
          <w:szCs w:val="24"/>
        </w:rPr>
        <w:t>2012/13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/EÚ</w:t>
      </w:r>
      <w:r w:rsidRPr="0055722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 o práve na informácie v trestnom konaní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a smernice</w:t>
      </w:r>
      <w:r w:rsidRPr="0055722E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2014/42/EÚ o zaistení a konfiškácii prostriedko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v a príjmov z trestnej činnosti v Európskej únii.</w:t>
      </w:r>
    </w:p>
    <w:p w14:paraId="3BD6B180" w14:textId="497A088D" w:rsidR="003D5B7D" w:rsidRDefault="00C90332" w:rsidP="00C903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Ďalej je potrebné urýchlene pristúpiť k humanizácii trestov v Trestnom zákone za niektoré druhy trestných činov najmä majetkovej a hospodárskej povahy s ohľadom na princípy právneho štátu a rešpektovania základných ľudských práv v súlade s trendami trestnej politiky </w:t>
      </w:r>
      <w:r w:rsidRPr="00C90332">
        <w:rPr>
          <w:rFonts w:ascii="Times New Roman" w:hAnsi="Times New Roman" w:cs="Times New Roman"/>
          <w:sz w:val="24"/>
          <w:szCs w:val="24"/>
        </w:rPr>
        <w:lastRenderedPageBreak/>
        <w:t xml:space="preserve">uplatňovanej v štátoch Európskej únie vo forme zníženia maximálnych sadzieb za trestné činy v súbehu s rozšírením rozpätia dolnej a hornej hranice trestu s cieľom neobmedzovať súd pri individualizácie trestu pre páchateľa a zároveň rozšíriť a uprednostňovať alternatívne tresty pre páchateľov so sekundárnym efektom zníženia náporu na väzenský systém a následne na štátny rozpočet. Je potrebné </w:t>
      </w:r>
      <w:r>
        <w:rPr>
          <w:rFonts w:ascii="Times New Roman" w:hAnsi="Times New Roman" w:cs="Times New Roman"/>
          <w:sz w:val="24"/>
          <w:szCs w:val="24"/>
        </w:rPr>
        <w:t xml:space="preserve">zároveň </w:t>
      </w:r>
      <w:r w:rsidRPr="00C90332">
        <w:rPr>
          <w:rFonts w:ascii="Times New Roman" w:hAnsi="Times New Roman" w:cs="Times New Roman"/>
          <w:sz w:val="24"/>
          <w:szCs w:val="24"/>
        </w:rPr>
        <w:t>poukázať aj na skutočnosť, že aktu</w:t>
      </w:r>
      <w:r>
        <w:rPr>
          <w:rFonts w:ascii="Times New Roman" w:hAnsi="Times New Roman" w:cs="Times New Roman"/>
          <w:sz w:val="24"/>
          <w:szCs w:val="24"/>
        </w:rPr>
        <w:t xml:space="preserve">álna politika trestania </w:t>
      </w:r>
      <w:r w:rsidRPr="00C90332">
        <w:rPr>
          <w:rFonts w:ascii="Times New Roman" w:hAnsi="Times New Roman" w:cs="Times New Roman"/>
          <w:sz w:val="24"/>
          <w:szCs w:val="24"/>
        </w:rPr>
        <w:t xml:space="preserve">nie je v súlade s čl. </w:t>
      </w:r>
      <w:r w:rsidR="002E5030">
        <w:rPr>
          <w:rFonts w:ascii="Times New Roman" w:hAnsi="Times New Roman" w:cs="Times New Roman"/>
          <w:sz w:val="24"/>
          <w:szCs w:val="24"/>
        </w:rPr>
        <w:t>49</w:t>
      </w:r>
      <w:r w:rsidR="002E5030" w:rsidRPr="00C90332">
        <w:rPr>
          <w:rFonts w:ascii="Times New Roman" w:hAnsi="Times New Roman" w:cs="Times New Roman"/>
          <w:sz w:val="24"/>
          <w:szCs w:val="24"/>
        </w:rPr>
        <w:t xml:space="preserve"> </w:t>
      </w:r>
      <w:r w:rsidRPr="00C90332">
        <w:rPr>
          <w:rFonts w:ascii="Times New Roman" w:hAnsi="Times New Roman" w:cs="Times New Roman"/>
          <w:sz w:val="24"/>
          <w:szCs w:val="24"/>
        </w:rPr>
        <w:t xml:space="preserve">ods. 3 Charty základných práv Európskej únie v znení </w:t>
      </w:r>
      <w:r w:rsidRPr="00C90332">
        <w:rPr>
          <w:rFonts w:ascii="Times New Roman" w:hAnsi="Times New Roman" w:cs="Times New Roman"/>
          <w:i/>
          <w:sz w:val="24"/>
          <w:szCs w:val="24"/>
        </w:rPr>
        <w:t>„Prísnosť trestov nesmie byť neprimeraná trestnému činu“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0332">
        <w:rPr>
          <w:rFonts w:ascii="Times New Roman" w:hAnsi="Times New Roman" w:cs="Times New Roman"/>
          <w:sz w:val="24"/>
          <w:szCs w:val="24"/>
        </w:rPr>
        <w:t xml:space="preserve"> v duchu ktorého je napríklad aj rozsudok </w:t>
      </w:r>
      <w:r w:rsidR="008942D9" w:rsidRPr="0082617E">
        <w:rPr>
          <w:rFonts w:ascii="Times New Roman" w:hAnsi="Times New Roman" w:cs="Times New Roman"/>
          <w:i/>
          <w:sz w:val="24"/>
          <w:szCs w:val="24"/>
        </w:rPr>
        <w:t xml:space="preserve">SDEÚ </w:t>
      </w:r>
      <w:r w:rsidRPr="0082617E">
        <w:rPr>
          <w:rFonts w:ascii="Times New Roman" w:hAnsi="Times New Roman" w:cs="Times New Roman"/>
          <w:i/>
          <w:sz w:val="24"/>
          <w:szCs w:val="24"/>
        </w:rPr>
        <w:t xml:space="preserve">z 19. októbra 2023 </w:t>
      </w:r>
      <w:proofErr w:type="spellStart"/>
      <w:r w:rsidRPr="0082617E">
        <w:rPr>
          <w:rFonts w:ascii="Times New Roman" w:hAnsi="Times New Roman" w:cs="Times New Roman"/>
          <w:i/>
          <w:sz w:val="24"/>
          <w:szCs w:val="24"/>
        </w:rPr>
        <w:t>sp</w:t>
      </w:r>
      <w:proofErr w:type="spellEnd"/>
      <w:r w:rsidRPr="0082617E">
        <w:rPr>
          <w:rFonts w:ascii="Times New Roman" w:hAnsi="Times New Roman" w:cs="Times New Roman"/>
          <w:i/>
          <w:sz w:val="24"/>
          <w:szCs w:val="24"/>
        </w:rPr>
        <w:t>. zn. C-655/21</w:t>
      </w:r>
      <w:r w:rsidRPr="00C90332">
        <w:rPr>
          <w:rFonts w:ascii="Times New Roman" w:hAnsi="Times New Roman" w:cs="Times New Roman"/>
          <w:sz w:val="24"/>
          <w:szCs w:val="24"/>
        </w:rPr>
        <w:t>, ktorým bolo vylúčené uplatnenie vnútroštátnej úpravy (Bulharsko) týkajúce sa trestu za majetkovú trestnú činnosť, z dôvodu jeho neprimeranosti spočívajúci v stanovení trestu odňatia slobody vo výške minimálne päť rokov. Nakoľko je úprava trestov v </w:t>
      </w:r>
      <w:r w:rsidR="003D5B7D"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</w:rPr>
        <w:t xml:space="preserve"> na obdobnej úrovni,</w:t>
      </w:r>
      <w:r w:rsidRPr="00C90332">
        <w:rPr>
          <w:rFonts w:ascii="Times New Roman" w:hAnsi="Times New Roman" w:cs="Times New Roman"/>
          <w:sz w:val="24"/>
          <w:szCs w:val="24"/>
        </w:rPr>
        <w:t xml:space="preserve"> bolo</w:t>
      </w:r>
      <w:r>
        <w:rPr>
          <w:rFonts w:ascii="Times New Roman" w:hAnsi="Times New Roman" w:cs="Times New Roman"/>
          <w:sz w:val="24"/>
          <w:szCs w:val="24"/>
        </w:rPr>
        <w:t xml:space="preserve"> by</w:t>
      </w:r>
      <w:r w:rsidRPr="00C90332">
        <w:rPr>
          <w:rFonts w:ascii="Times New Roman" w:hAnsi="Times New Roman" w:cs="Times New Roman"/>
          <w:sz w:val="24"/>
          <w:szCs w:val="24"/>
        </w:rPr>
        <w:t xml:space="preserve"> konanie pred </w:t>
      </w:r>
      <w:r w:rsidR="003D5B7D">
        <w:rPr>
          <w:rFonts w:ascii="Times New Roman" w:hAnsi="Times New Roman" w:cs="Times New Roman"/>
          <w:sz w:val="24"/>
          <w:szCs w:val="24"/>
        </w:rPr>
        <w:t>SDEÚ</w:t>
      </w:r>
      <w:r w:rsidR="003D5B7D" w:rsidRPr="00C90332" w:rsidDel="003D5B7D">
        <w:rPr>
          <w:rFonts w:ascii="Times New Roman" w:hAnsi="Times New Roman" w:cs="Times New Roman"/>
          <w:sz w:val="24"/>
          <w:szCs w:val="24"/>
        </w:rPr>
        <w:t xml:space="preserve"> </w:t>
      </w:r>
      <w:r w:rsidRPr="00C90332">
        <w:rPr>
          <w:rFonts w:ascii="Times New Roman" w:hAnsi="Times New Roman" w:cs="Times New Roman"/>
          <w:sz w:val="24"/>
          <w:szCs w:val="24"/>
        </w:rPr>
        <w:t xml:space="preserve">proti </w:t>
      </w:r>
      <w:r w:rsidR="003D5B7D">
        <w:rPr>
          <w:rFonts w:ascii="Times New Roman" w:hAnsi="Times New Roman" w:cs="Times New Roman"/>
          <w:sz w:val="24"/>
          <w:szCs w:val="24"/>
        </w:rPr>
        <w:t xml:space="preserve">SR </w:t>
      </w:r>
      <w:r w:rsidRPr="00C90332">
        <w:rPr>
          <w:rFonts w:ascii="Times New Roman" w:hAnsi="Times New Roman" w:cs="Times New Roman"/>
          <w:sz w:val="24"/>
          <w:szCs w:val="24"/>
        </w:rPr>
        <w:t>bez urýchlenej zmeny trestnej politiky zrejme len otázkou blízkej budúcnosti.</w:t>
      </w:r>
    </w:p>
    <w:p w14:paraId="42D2780D" w14:textId="5EECC1E1" w:rsidR="00C90332" w:rsidRDefault="00C90332" w:rsidP="00C903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02141" w14:textId="53141AB3" w:rsidR="00F740B4" w:rsidRDefault="00C90332" w:rsidP="00C903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Ďalej je </w:t>
      </w:r>
      <w:r w:rsidRPr="00C90332">
        <w:rPr>
          <w:rFonts w:ascii="Times New Roman" w:hAnsi="Times New Roman" w:cs="Times New Roman"/>
          <w:sz w:val="24"/>
          <w:szCs w:val="24"/>
        </w:rPr>
        <w:t>potrebné upraviť aj inštitút prepadnutia majetku v reakcii na nález Ústavného súdu Slovenskej republiky (PL. ÚS 1/2021)  </w:t>
      </w:r>
      <w:r>
        <w:rPr>
          <w:rFonts w:ascii="Times New Roman" w:hAnsi="Times New Roman" w:cs="Times New Roman"/>
          <w:sz w:val="24"/>
          <w:szCs w:val="24"/>
        </w:rPr>
        <w:t xml:space="preserve">vo </w:t>
      </w:r>
      <w:r w:rsidRPr="00C90332">
        <w:rPr>
          <w:rFonts w:ascii="Times New Roman" w:hAnsi="Times New Roman" w:cs="Times New Roman"/>
          <w:sz w:val="24"/>
          <w:szCs w:val="24"/>
        </w:rPr>
        <w:t>veci vyslovenia nesúladu ustanovení § 58 ods. 2 a 3 Trestného zákona s čl. 1 ods. 1, čl. 13 ods. 4, čl. 16 ods. 2 a čl. 20 ods. 1 Ústavy Slovenskej</w:t>
      </w:r>
      <w:r w:rsidR="00B77F8F">
        <w:rPr>
          <w:rFonts w:ascii="Times New Roman" w:hAnsi="Times New Roman" w:cs="Times New Roman"/>
          <w:sz w:val="24"/>
          <w:szCs w:val="24"/>
        </w:rPr>
        <w:t xml:space="preserve"> republiky</w:t>
      </w:r>
      <w:r w:rsidRPr="00C90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kedy </w:t>
      </w:r>
      <w:r w:rsidRPr="00C90332">
        <w:rPr>
          <w:rFonts w:ascii="Times New Roman" w:hAnsi="Times New Roman" w:cs="Times New Roman"/>
          <w:sz w:val="24"/>
          <w:szCs w:val="24"/>
        </w:rPr>
        <w:t>od 20. októbra 2023</w:t>
      </w:r>
      <w:r>
        <w:rPr>
          <w:rFonts w:ascii="Times New Roman" w:hAnsi="Times New Roman" w:cs="Times New Roman"/>
          <w:sz w:val="24"/>
          <w:szCs w:val="24"/>
        </w:rPr>
        <w:t xml:space="preserve"> sú predmetné ustanovenia zrušené</w:t>
      </w:r>
      <w:r w:rsidRPr="00C90332">
        <w:rPr>
          <w:rFonts w:ascii="Times New Roman" w:hAnsi="Times New Roman" w:cs="Times New Roman"/>
          <w:sz w:val="24"/>
          <w:szCs w:val="24"/>
        </w:rPr>
        <w:t>.</w:t>
      </w:r>
    </w:p>
    <w:p w14:paraId="1F5454D4" w14:textId="298FBD5B" w:rsidR="00C90332" w:rsidRDefault="00C90332" w:rsidP="00C903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71526" w14:textId="77777777" w:rsidR="00C90332" w:rsidRPr="00C90332" w:rsidRDefault="00C90332" w:rsidP="00C9033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V neposlednom rade je potrebné urýchlene reagovať aj na vývoj inflácie, vďaka ktorej sú kritériá, na základe ktorých sa škoda na majetku kvalifikuje ako trestný čin už neaktuálne, a dochádza ku </w:t>
      </w:r>
      <w:proofErr w:type="spellStart"/>
      <w:r w:rsidRPr="00C90332">
        <w:rPr>
          <w:rFonts w:ascii="Times New Roman" w:hAnsi="Times New Roman" w:cs="Times New Roman"/>
          <w:sz w:val="24"/>
          <w:szCs w:val="24"/>
        </w:rPr>
        <w:t>kriminalizácii</w:t>
      </w:r>
      <w:proofErr w:type="spellEnd"/>
      <w:r w:rsidRPr="00C90332">
        <w:rPr>
          <w:rFonts w:ascii="Times New Roman" w:hAnsi="Times New Roman" w:cs="Times New Roman"/>
          <w:sz w:val="24"/>
          <w:szCs w:val="24"/>
        </w:rPr>
        <w:t xml:space="preserve">  osôb bez reálneho  nebezpečenstva pre spoločnosť.</w:t>
      </w:r>
    </w:p>
    <w:p w14:paraId="1F02F4E6" w14:textId="77777777" w:rsidR="00C90332" w:rsidRPr="00C90332" w:rsidRDefault="00C90332" w:rsidP="00C90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79E7D5" w14:textId="2B8FFAD9" w:rsidR="00C90332" w:rsidRPr="00C90332" w:rsidRDefault="00C90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Naliehavosť úpravy Trestného poriadku </w:t>
      </w:r>
      <w:r>
        <w:rPr>
          <w:rFonts w:ascii="Times New Roman" w:hAnsi="Times New Roman" w:cs="Times New Roman"/>
          <w:sz w:val="24"/>
          <w:szCs w:val="24"/>
        </w:rPr>
        <w:t xml:space="preserve">a na to nadväzujúcich právnych predpisov </w:t>
      </w:r>
      <w:r w:rsidRPr="00C90332">
        <w:rPr>
          <w:rFonts w:ascii="Times New Roman" w:hAnsi="Times New Roman" w:cs="Times New Roman"/>
          <w:sz w:val="24"/>
          <w:szCs w:val="24"/>
        </w:rPr>
        <w:t xml:space="preserve">vyplýva z potreby zosúladiť právnu úpravu s judikatúrou Európskeho súdu pre ľudské práva (napr. </w:t>
      </w:r>
      <w:proofErr w:type="spellStart"/>
      <w:r w:rsidRPr="00C90332">
        <w:rPr>
          <w:rFonts w:ascii="Times New Roman" w:hAnsi="Times New Roman" w:cs="Times New Roman"/>
          <w:sz w:val="24"/>
          <w:szCs w:val="24"/>
        </w:rPr>
        <w:t>Adamčo</w:t>
      </w:r>
      <w:proofErr w:type="spellEnd"/>
      <w:r w:rsidRPr="00C90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332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C90332">
        <w:rPr>
          <w:rFonts w:ascii="Times New Roman" w:hAnsi="Times New Roman" w:cs="Times New Roman"/>
          <w:sz w:val="24"/>
          <w:szCs w:val="24"/>
        </w:rPr>
        <w:t xml:space="preserve"> Slovenská republika, </w:t>
      </w:r>
      <w:proofErr w:type="spellStart"/>
      <w:r w:rsidRPr="00C90332">
        <w:rPr>
          <w:rFonts w:ascii="Times New Roman" w:hAnsi="Times New Roman" w:cs="Times New Roman"/>
          <w:sz w:val="24"/>
          <w:szCs w:val="24"/>
        </w:rPr>
        <w:t>Vasaráb</w:t>
      </w:r>
      <w:proofErr w:type="spellEnd"/>
      <w:r w:rsidRPr="00C90332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C90332">
        <w:rPr>
          <w:rFonts w:ascii="Times New Roman" w:hAnsi="Times New Roman" w:cs="Times New Roman"/>
          <w:sz w:val="24"/>
          <w:szCs w:val="24"/>
        </w:rPr>
        <w:t>Paulus</w:t>
      </w:r>
      <w:proofErr w:type="spellEnd"/>
      <w:r w:rsidRPr="00C90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332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C90332">
        <w:rPr>
          <w:rFonts w:ascii="Times New Roman" w:hAnsi="Times New Roman" w:cs="Times New Roman"/>
          <w:sz w:val="24"/>
          <w:szCs w:val="24"/>
        </w:rPr>
        <w:t xml:space="preserve"> Slovenská republika, alebo Mucha </w:t>
      </w:r>
      <w:proofErr w:type="spellStart"/>
      <w:r w:rsidRPr="00C90332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C90332">
        <w:rPr>
          <w:rFonts w:ascii="Times New Roman" w:hAnsi="Times New Roman" w:cs="Times New Roman"/>
          <w:sz w:val="24"/>
          <w:szCs w:val="24"/>
        </w:rPr>
        <w:t xml:space="preserve"> Slovenská republika) ktoré konštatovali porušenie základných práv sťažovateľov</w:t>
      </w:r>
      <w:r>
        <w:rPr>
          <w:rFonts w:ascii="Times New Roman" w:hAnsi="Times New Roman" w:cs="Times New Roman"/>
          <w:sz w:val="24"/>
          <w:szCs w:val="24"/>
        </w:rPr>
        <w:t>, ktorý boli účastníkmi trestného konania</w:t>
      </w:r>
      <w:r w:rsidR="006D74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potrebou </w:t>
      </w:r>
      <w:r w:rsidRPr="00C90332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drobnejšej</w:t>
      </w:r>
      <w:r w:rsidRPr="00C9033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úpravy</w:t>
      </w:r>
      <w:r w:rsidRPr="00C90332">
        <w:rPr>
          <w:rFonts w:ascii="Times New Roman" w:hAnsi="Times New Roman" w:cs="Times New Roman"/>
          <w:sz w:val="24"/>
          <w:szCs w:val="24"/>
        </w:rPr>
        <w:t xml:space="preserve"> inštitútu spolupracujúcej osoby/obvineného resp. „kajúcnikov“ ako aj úpravou ďalších procesných ustanovení s cieľom zabezpečiť právo na spravodlivý proces, v rámci ktorého by malo dochádzať k obmedzovaniu základných ľudských práv </w:t>
      </w:r>
      <w:r w:rsidR="006D747C">
        <w:rPr>
          <w:rFonts w:ascii="Times New Roman" w:hAnsi="Times New Roman" w:cs="Times New Roman"/>
          <w:sz w:val="24"/>
          <w:szCs w:val="24"/>
        </w:rPr>
        <w:t xml:space="preserve">(napr. osobnej slobody, právo vlastniť majetok) </w:t>
      </w:r>
      <w:r w:rsidRPr="00C90332">
        <w:rPr>
          <w:rFonts w:ascii="Times New Roman" w:hAnsi="Times New Roman" w:cs="Times New Roman"/>
          <w:sz w:val="24"/>
          <w:szCs w:val="24"/>
        </w:rPr>
        <w:t>účastníkov trestného konania len na základe zákonných dôvodov, čo sa pri aktuálnej právnej úprave nedeje aj vzhľadom na „zneužívanie“ inštitútov trestného práva špecializovanými trestnými zložkami</w:t>
      </w:r>
      <w:r w:rsidR="00A97067">
        <w:rPr>
          <w:rFonts w:ascii="Times New Roman" w:hAnsi="Times New Roman" w:cs="Times New Roman"/>
          <w:sz w:val="24"/>
          <w:szCs w:val="24"/>
        </w:rPr>
        <w:t xml:space="preserve"> (Národná kriminálna agentúra (</w:t>
      </w:r>
      <w:r w:rsidRPr="00C90332">
        <w:rPr>
          <w:rFonts w:ascii="Times New Roman" w:hAnsi="Times New Roman" w:cs="Times New Roman"/>
          <w:sz w:val="24"/>
          <w:szCs w:val="24"/>
        </w:rPr>
        <w:t>NAKA</w:t>
      </w:r>
      <w:r w:rsidR="00A97067">
        <w:rPr>
          <w:rFonts w:ascii="Times New Roman" w:hAnsi="Times New Roman" w:cs="Times New Roman"/>
          <w:sz w:val="24"/>
          <w:szCs w:val="24"/>
        </w:rPr>
        <w:t>)</w:t>
      </w:r>
      <w:r w:rsidRPr="00C90332">
        <w:rPr>
          <w:rFonts w:ascii="Times New Roman" w:hAnsi="Times New Roman" w:cs="Times New Roman"/>
          <w:sz w:val="24"/>
          <w:szCs w:val="24"/>
        </w:rPr>
        <w:t xml:space="preserve"> a</w:t>
      </w:r>
      <w:r w:rsidR="00A97067">
        <w:rPr>
          <w:rFonts w:ascii="Times New Roman" w:hAnsi="Times New Roman" w:cs="Times New Roman"/>
          <w:sz w:val="24"/>
          <w:szCs w:val="24"/>
        </w:rPr>
        <w:t> </w:t>
      </w:r>
      <w:r w:rsidRPr="00C90332">
        <w:rPr>
          <w:rFonts w:ascii="Times New Roman" w:hAnsi="Times New Roman" w:cs="Times New Roman"/>
          <w:sz w:val="24"/>
          <w:szCs w:val="24"/>
        </w:rPr>
        <w:t>ÚŠP</w:t>
      </w:r>
      <w:r w:rsidR="00A97067">
        <w:rPr>
          <w:rFonts w:ascii="Times New Roman" w:hAnsi="Times New Roman" w:cs="Times New Roman"/>
          <w:sz w:val="24"/>
          <w:szCs w:val="24"/>
        </w:rPr>
        <w:t xml:space="preserve">) </w:t>
      </w:r>
      <w:r w:rsidR="006D747C">
        <w:rPr>
          <w:rFonts w:ascii="Times New Roman" w:hAnsi="Times New Roman" w:cs="Times New Roman"/>
          <w:sz w:val="24"/>
          <w:szCs w:val="24"/>
        </w:rPr>
        <w:t>v neprimeranom rozsahu</w:t>
      </w:r>
      <w:r w:rsidRPr="00C90332">
        <w:rPr>
          <w:rFonts w:ascii="Times New Roman" w:hAnsi="Times New Roman" w:cs="Times New Roman"/>
          <w:sz w:val="24"/>
          <w:szCs w:val="24"/>
        </w:rPr>
        <w:t xml:space="preserve"> za ostatné 3 roky.</w:t>
      </w:r>
      <w:r w:rsidR="006D747C">
        <w:rPr>
          <w:rFonts w:ascii="Times New Roman" w:hAnsi="Times New Roman" w:cs="Times New Roman"/>
          <w:sz w:val="24"/>
          <w:szCs w:val="24"/>
        </w:rPr>
        <w:t xml:space="preserve"> </w:t>
      </w:r>
      <w:r w:rsidRPr="00C90332">
        <w:rPr>
          <w:rFonts w:ascii="Times New Roman" w:hAnsi="Times New Roman" w:cs="Times New Roman"/>
          <w:sz w:val="24"/>
          <w:szCs w:val="24"/>
        </w:rPr>
        <w:t xml:space="preserve">Z procesných ustanovení ide </w:t>
      </w:r>
      <w:r>
        <w:rPr>
          <w:rFonts w:ascii="Times New Roman" w:hAnsi="Times New Roman" w:cs="Times New Roman"/>
          <w:sz w:val="24"/>
          <w:szCs w:val="24"/>
        </w:rPr>
        <w:t>predovšetkým o:</w:t>
      </w:r>
    </w:p>
    <w:p w14:paraId="12BFB847" w14:textId="77777777" w:rsidR="00C90332" w:rsidRPr="00C90332" w:rsidRDefault="00C90332" w:rsidP="00C9033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>zneužívanie inštitútu väzby,</w:t>
      </w:r>
    </w:p>
    <w:p w14:paraId="600D2826" w14:textId="77777777" w:rsidR="00C90332" w:rsidRPr="00C90332" w:rsidRDefault="00C90332" w:rsidP="00C9033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>zneužívanie inštitútu zaistenia majetku,</w:t>
      </w:r>
    </w:p>
    <w:p w14:paraId="73CA2805" w14:textId="77777777" w:rsidR="00C90332" w:rsidRPr="00C90332" w:rsidRDefault="00C90332" w:rsidP="00C9033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zneužívanie inštitútu spolupracujúcich osôb, </w:t>
      </w:r>
    </w:p>
    <w:p w14:paraId="2D6E4F70" w14:textId="77777777" w:rsidR="00C90332" w:rsidRPr="00C90332" w:rsidRDefault="00C90332" w:rsidP="00C9033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poskytovanie nezákonných benefitov uzatváraním nezákonných dohôd o vine a treste, </w:t>
      </w:r>
    </w:p>
    <w:p w14:paraId="7BEA4CD5" w14:textId="77777777" w:rsidR="00C90332" w:rsidRDefault="00C90332" w:rsidP="00C65CF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prijímanie obžalôb bez splnenia materiálnych atribútov obžaloby. </w:t>
      </w:r>
    </w:p>
    <w:p w14:paraId="66927CB7" w14:textId="77777777" w:rsidR="00C65CF6" w:rsidRPr="00C65CF6" w:rsidRDefault="00C65CF6" w:rsidP="00C65CF6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CC763B5" w14:textId="6876C83A" w:rsidR="00C90332" w:rsidRPr="00C90332" w:rsidRDefault="00C90332" w:rsidP="00C903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 xml:space="preserve">Vzhľadom na vyššie uvedené je otázna aj opodstatnenosť duálnej organizácie prokuratúry, ktorá by mala byť v zmysle § 2 zákona č. 151/2003 Z . z. o prokuratúre v znení neskorších  </w:t>
      </w:r>
      <w:r w:rsidRPr="00C90332">
        <w:rPr>
          <w:rFonts w:ascii="Times New Roman" w:hAnsi="Times New Roman" w:cs="Times New Roman"/>
          <w:i/>
          <w:sz w:val="24"/>
          <w:szCs w:val="24"/>
        </w:rPr>
        <w:t>„samostatná hierarchicky usporiadaná jednotná sústava štátnych orgánov na čele s generálnym prokurátorom, v ktorej pôsobia prokurátori vo vzťahoch podriadenosti a nadriadenosti“</w:t>
      </w:r>
      <w:r w:rsidRPr="00C90332">
        <w:rPr>
          <w:rFonts w:ascii="Times New Roman" w:hAnsi="Times New Roman" w:cs="Times New Roman"/>
          <w:sz w:val="24"/>
          <w:szCs w:val="24"/>
        </w:rPr>
        <w:t xml:space="preserve">. Oproti tomu výsledkom duálnej organizácie prokuratúry je  možné ohrozenie </w:t>
      </w:r>
      <w:r w:rsidRPr="00C90332">
        <w:rPr>
          <w:rFonts w:ascii="Times New Roman" w:hAnsi="Times New Roman" w:cs="Times New Roman"/>
          <w:sz w:val="24"/>
          <w:szCs w:val="24"/>
        </w:rPr>
        <w:lastRenderedPageBreak/>
        <w:t xml:space="preserve">bezpečnosti štátu, kedy dva štátne orgány </w:t>
      </w:r>
      <w:r w:rsidR="00DB26AB" w:rsidRPr="00DB26AB">
        <w:rPr>
          <w:rFonts w:ascii="Times New Roman" w:hAnsi="Times New Roman" w:cs="Times New Roman"/>
          <w:sz w:val="24"/>
          <w:szCs w:val="24"/>
        </w:rPr>
        <w:t>–</w:t>
      </w:r>
      <w:r w:rsidR="00DB26AB">
        <w:rPr>
          <w:rFonts w:ascii="Times New Roman" w:hAnsi="Times New Roman" w:cs="Times New Roman"/>
          <w:sz w:val="24"/>
          <w:szCs w:val="24"/>
        </w:rPr>
        <w:t xml:space="preserve"> </w:t>
      </w:r>
      <w:r w:rsidRPr="00C90332">
        <w:rPr>
          <w:rFonts w:ascii="Times New Roman" w:hAnsi="Times New Roman" w:cs="Times New Roman"/>
          <w:sz w:val="24"/>
          <w:szCs w:val="24"/>
        </w:rPr>
        <w:t>G</w:t>
      </w:r>
      <w:r w:rsidR="00A577E7">
        <w:rPr>
          <w:rFonts w:ascii="Times New Roman" w:hAnsi="Times New Roman" w:cs="Times New Roman"/>
          <w:sz w:val="24"/>
          <w:szCs w:val="24"/>
        </w:rPr>
        <w:t>enerálna prokuratúra Slovenskej republiky (</w:t>
      </w:r>
      <w:r w:rsidR="00DB26AB">
        <w:rPr>
          <w:rFonts w:ascii="Times New Roman" w:hAnsi="Times New Roman" w:cs="Times New Roman"/>
          <w:sz w:val="24"/>
          <w:szCs w:val="24"/>
        </w:rPr>
        <w:t>ďalej len „GP SR“)</w:t>
      </w:r>
      <w:r w:rsidRPr="00C90332">
        <w:rPr>
          <w:rFonts w:ascii="Times New Roman" w:hAnsi="Times New Roman" w:cs="Times New Roman"/>
          <w:sz w:val="24"/>
          <w:szCs w:val="24"/>
        </w:rPr>
        <w:t xml:space="preserve"> a</w:t>
      </w:r>
      <w:r w:rsidR="00DB26AB">
        <w:rPr>
          <w:rFonts w:ascii="Times New Roman" w:hAnsi="Times New Roman" w:cs="Times New Roman"/>
          <w:sz w:val="24"/>
          <w:szCs w:val="24"/>
        </w:rPr>
        <w:t> </w:t>
      </w:r>
      <w:r w:rsidRPr="00C90332">
        <w:rPr>
          <w:rFonts w:ascii="Times New Roman" w:hAnsi="Times New Roman" w:cs="Times New Roman"/>
          <w:sz w:val="24"/>
          <w:szCs w:val="24"/>
        </w:rPr>
        <w:t>Ú</w:t>
      </w:r>
      <w:r w:rsidR="00DB26AB">
        <w:rPr>
          <w:rFonts w:ascii="Times New Roman" w:hAnsi="Times New Roman" w:cs="Times New Roman"/>
          <w:sz w:val="24"/>
          <w:szCs w:val="24"/>
        </w:rPr>
        <w:t>rad špeciálnej prokuratúry (ďalej len „ÚŠP“)</w:t>
      </w:r>
      <w:r w:rsidRPr="00C90332">
        <w:rPr>
          <w:rFonts w:ascii="Times New Roman" w:hAnsi="Times New Roman" w:cs="Times New Roman"/>
          <w:sz w:val="24"/>
          <w:szCs w:val="24"/>
        </w:rPr>
        <w:t xml:space="preserve"> sú </w:t>
      </w:r>
      <w:r w:rsidRPr="0082617E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82617E">
        <w:rPr>
          <w:rFonts w:ascii="Times New Roman" w:hAnsi="Times New Roman" w:cs="Times New Roman"/>
          <w:i/>
          <w:sz w:val="24"/>
          <w:szCs w:val="24"/>
        </w:rPr>
        <w:t>facto</w:t>
      </w:r>
      <w:proofErr w:type="spellEnd"/>
      <w:r w:rsidRPr="00C90332">
        <w:rPr>
          <w:rFonts w:ascii="Times New Roman" w:hAnsi="Times New Roman" w:cs="Times New Roman"/>
          <w:sz w:val="24"/>
          <w:szCs w:val="24"/>
        </w:rPr>
        <w:t xml:space="preserve"> v inštitucionálnej vojne, pretože presadzujú dva odlišné koncepty trestnej politiky štátu, pričom ÚŠP napriek tomu, že nie je na rozdiel od GP</w:t>
      </w:r>
      <w:r w:rsidR="00DB26AB">
        <w:rPr>
          <w:rFonts w:ascii="Times New Roman" w:hAnsi="Times New Roman" w:cs="Times New Roman"/>
          <w:sz w:val="24"/>
          <w:szCs w:val="24"/>
        </w:rPr>
        <w:t xml:space="preserve"> SR</w:t>
      </w:r>
      <w:r w:rsidRPr="00C90332">
        <w:rPr>
          <w:rFonts w:ascii="Times New Roman" w:hAnsi="Times New Roman" w:cs="Times New Roman"/>
          <w:sz w:val="24"/>
          <w:szCs w:val="24"/>
        </w:rPr>
        <w:t xml:space="preserve"> ústavným štátnym orgánom, tvorí autonómnu trestnú politiku, pri ktorej nerešpektuje GP</w:t>
      </w:r>
      <w:r w:rsidR="00DB26AB">
        <w:rPr>
          <w:rFonts w:ascii="Times New Roman" w:hAnsi="Times New Roman" w:cs="Times New Roman"/>
          <w:sz w:val="24"/>
          <w:szCs w:val="24"/>
        </w:rPr>
        <w:t xml:space="preserve"> SR</w:t>
      </w:r>
      <w:r w:rsidRPr="00C90332">
        <w:rPr>
          <w:rFonts w:ascii="Times New Roman" w:hAnsi="Times New Roman" w:cs="Times New Roman"/>
          <w:sz w:val="24"/>
          <w:szCs w:val="24"/>
        </w:rPr>
        <w:t xml:space="preserve"> ako hlavu monokratickej štruktúry prokuratúry, čo sa prejavuje okrem iného aj tým, že </w:t>
      </w:r>
    </w:p>
    <w:p w14:paraId="2848C776" w14:textId="4062CDCD" w:rsidR="00C90332" w:rsidRPr="00C90332" w:rsidRDefault="00C90332" w:rsidP="00C90332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>prokurátori ÚŠP nerešpektujú rozhodnutia GP SR, napr. obchádzajú rozhodnutia GP</w:t>
      </w:r>
      <w:r w:rsidR="00DB26AB">
        <w:rPr>
          <w:rFonts w:ascii="Times New Roman" w:hAnsi="Times New Roman" w:cs="Times New Roman"/>
          <w:sz w:val="24"/>
          <w:szCs w:val="24"/>
        </w:rPr>
        <w:t xml:space="preserve"> SR</w:t>
      </w:r>
      <w:r w:rsidRPr="00C90332">
        <w:rPr>
          <w:rFonts w:ascii="Times New Roman" w:hAnsi="Times New Roman" w:cs="Times New Roman"/>
          <w:sz w:val="24"/>
          <w:szCs w:val="24"/>
        </w:rPr>
        <w:t xml:space="preserve"> podľa § 363 Trestného poriadku tým, že podávajú obžaloby ešte pred rozhodnutím o § 363, resp. podávajú obžaloby súčasne so zamietnutím sťažnosti proti uzneseniu o vznesení obvinenia, čím maria právo obvineného podať návrh podľa § 363 Trestného poriadku;</w:t>
      </w:r>
    </w:p>
    <w:p w14:paraId="0B18AFE5" w14:textId="2FEC4950" w:rsidR="00C90332" w:rsidRPr="00C90332" w:rsidRDefault="00C90332" w:rsidP="00C9033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0332">
        <w:rPr>
          <w:rFonts w:ascii="Times New Roman" w:hAnsi="Times New Roman" w:cs="Times New Roman"/>
          <w:sz w:val="24"/>
          <w:szCs w:val="24"/>
        </w:rPr>
        <w:t>dochádza k zásadne odlišnému výkladu právnych noriem zo strany ÚŠP a</w:t>
      </w:r>
      <w:r w:rsidR="00565148">
        <w:rPr>
          <w:rFonts w:ascii="Times New Roman" w:hAnsi="Times New Roman" w:cs="Times New Roman"/>
          <w:sz w:val="24"/>
          <w:szCs w:val="24"/>
        </w:rPr>
        <w:t> </w:t>
      </w:r>
      <w:r w:rsidRPr="00C90332">
        <w:rPr>
          <w:rFonts w:ascii="Times New Roman" w:hAnsi="Times New Roman" w:cs="Times New Roman"/>
          <w:sz w:val="24"/>
          <w:szCs w:val="24"/>
        </w:rPr>
        <w:t>GP</w:t>
      </w:r>
      <w:r w:rsidR="00565148">
        <w:rPr>
          <w:rFonts w:ascii="Times New Roman" w:hAnsi="Times New Roman" w:cs="Times New Roman"/>
          <w:sz w:val="24"/>
          <w:szCs w:val="24"/>
        </w:rPr>
        <w:t xml:space="preserve"> SR</w:t>
      </w:r>
      <w:r w:rsidRPr="00C90332">
        <w:rPr>
          <w:rFonts w:ascii="Times New Roman" w:hAnsi="Times New Roman" w:cs="Times New Roman"/>
          <w:sz w:val="24"/>
          <w:szCs w:val="24"/>
        </w:rPr>
        <w:t xml:space="preserve">, čím dochádza k narušeniu princípu právnej istoty a predvídateľnosti práva (zo strany ÚŠP sa jedná o zásadne neprípustný extenzívny výklad Trestného zákona v rozpore so zásadou </w:t>
      </w:r>
      <w:proofErr w:type="spellStart"/>
      <w:r w:rsidRPr="00FD2DE2">
        <w:rPr>
          <w:rFonts w:ascii="Times New Roman" w:hAnsi="Times New Roman" w:cs="Times New Roman"/>
          <w:i/>
          <w:sz w:val="24"/>
          <w:szCs w:val="24"/>
        </w:rPr>
        <w:t>nullum</w:t>
      </w:r>
      <w:proofErr w:type="spellEnd"/>
      <w:r w:rsidRPr="00FD2D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2DE2">
        <w:rPr>
          <w:rFonts w:ascii="Times New Roman" w:hAnsi="Times New Roman" w:cs="Times New Roman"/>
          <w:i/>
          <w:sz w:val="24"/>
          <w:szCs w:val="24"/>
        </w:rPr>
        <w:t>crimmen</w:t>
      </w:r>
      <w:proofErr w:type="spellEnd"/>
      <w:r w:rsidRPr="00FD2D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2DE2">
        <w:rPr>
          <w:rFonts w:ascii="Times New Roman" w:hAnsi="Times New Roman" w:cs="Times New Roman"/>
          <w:i/>
          <w:sz w:val="24"/>
          <w:szCs w:val="24"/>
        </w:rPr>
        <w:t>sine</w:t>
      </w:r>
      <w:proofErr w:type="spellEnd"/>
      <w:r w:rsidRPr="00FD2DE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2DE2">
        <w:rPr>
          <w:rFonts w:ascii="Times New Roman" w:hAnsi="Times New Roman" w:cs="Times New Roman"/>
          <w:i/>
          <w:sz w:val="24"/>
          <w:szCs w:val="24"/>
        </w:rPr>
        <w:t>lege</w:t>
      </w:r>
      <w:proofErr w:type="spellEnd"/>
      <w:r w:rsidRPr="00C90332">
        <w:rPr>
          <w:rFonts w:ascii="Times New Roman" w:hAnsi="Times New Roman" w:cs="Times New Roman"/>
          <w:sz w:val="24"/>
          <w:szCs w:val="24"/>
        </w:rPr>
        <w:t xml:space="preserve"> – žiaden trestný čin bez zákona, pretože ÚŠP kvalifikuje niektoré konania ako trestné bez toho, aby reflektovali pojmové znaky konkrétnej skutkovej podstaty trestného činu; a súčasne ÚŠP uplatňuje taký výklad ustanovení Trestného poriadku, ktorý neprípustne obmedzuje až porušuje práva obvinených na obhajobu)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20963E" w14:textId="1EEC4F03" w:rsidR="00A172B7" w:rsidRPr="0082617E" w:rsidRDefault="00A172B7" w:rsidP="000945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17E">
        <w:rPr>
          <w:rFonts w:ascii="Times New Roman" w:hAnsi="Times New Roman" w:cs="Times New Roman"/>
          <w:sz w:val="24"/>
          <w:szCs w:val="24"/>
        </w:rPr>
        <w:t>Čo sa týka uvedenej potreby okamžitého zásahu zákonodarcu, vláda na tomto mieste uvádza, že v prípade aplikácie § 89 ods. 1 zákona Národnej rady Slovenskej republiky č. 350/1996 Z. z. o rokovacom poriadku Národnej rady Slovenskej republiky</w:t>
      </w:r>
      <w:r w:rsidR="00FF2BD8" w:rsidRPr="0082617E">
        <w:rPr>
          <w:rFonts w:ascii="Times New Roman" w:hAnsi="Times New Roman" w:cs="Times New Roman"/>
          <w:sz w:val="24"/>
          <w:szCs w:val="24"/>
        </w:rPr>
        <w:t xml:space="preserve"> v znení neskorších predpisov,</w:t>
      </w:r>
      <w:r w:rsidRPr="0082617E">
        <w:rPr>
          <w:rFonts w:ascii="Times New Roman" w:hAnsi="Times New Roman" w:cs="Times New Roman"/>
          <w:sz w:val="24"/>
          <w:szCs w:val="24"/>
        </w:rPr>
        <w:t xml:space="preserve"> môže Národná rada uplatňovať právomoc uzniesť sa na skrátenom legislatívnom konaní, iba ak objektívne existuje mimoriadna okolnosť, a v jej rámci ide o dostatočne odôvodnený prípad ohrozenia základných ľudských práv a slobôd alebo bezpečnosti alebo hrozbu značných hospodárskych škôd pre štát.</w:t>
      </w:r>
    </w:p>
    <w:p w14:paraId="7630AF3F" w14:textId="1EBCEE44" w:rsidR="002441AC" w:rsidRPr="0082617E" w:rsidRDefault="00A172B7" w:rsidP="000945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17E">
        <w:rPr>
          <w:rFonts w:ascii="Times New Roman" w:hAnsi="Times New Roman" w:cs="Times New Roman"/>
          <w:sz w:val="24"/>
          <w:szCs w:val="24"/>
        </w:rPr>
        <w:t xml:space="preserve"> Uvedené legislatívne opatrenia je potrebné prijať tak, aby mohli byť účinné čo najskôr, keďže neriešenie vzniknutej situácie alebo odďaľovanie jej riešenia by mohlo ohroziť základné ľudské práva a slobody, bezpečnosť štátu či viesť k hospodárskym škodám. Podľa § 89 ods. 1 zákona Národnej rady Slovenskej republiky č. 350/1996 Z. z. o rokovacom poriadku Národnej rady Slovenskej republiky</w:t>
      </w:r>
      <w:r w:rsidR="00FF2BD8" w:rsidRPr="0082617E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82617E">
        <w:rPr>
          <w:rFonts w:ascii="Times New Roman" w:hAnsi="Times New Roman" w:cs="Times New Roman"/>
          <w:sz w:val="24"/>
          <w:szCs w:val="24"/>
        </w:rPr>
        <w:t xml:space="preserve"> sú splnené podmienky na prerokovanie návrhu zákona v skrátenom legislatívnom konaní, pretože môže dôjsť k ohrozeniu základných ľudských práv, ako</w:t>
      </w:r>
      <w:r w:rsidR="002441AC" w:rsidRPr="0082617E">
        <w:rPr>
          <w:rFonts w:ascii="Times New Roman" w:hAnsi="Times New Roman" w:cs="Times New Roman"/>
          <w:sz w:val="24"/>
          <w:szCs w:val="24"/>
        </w:rPr>
        <w:t xml:space="preserve"> osobnej slobody, vlastniť majetok a v krajnom prípade aj právo na život. </w:t>
      </w:r>
      <w:r w:rsidRPr="00826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00537" w14:textId="77777777" w:rsidR="00D4704A" w:rsidRDefault="00A172B7" w:rsidP="000945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17E">
        <w:rPr>
          <w:rFonts w:ascii="Times New Roman" w:hAnsi="Times New Roman" w:cs="Times New Roman"/>
          <w:sz w:val="24"/>
          <w:szCs w:val="24"/>
        </w:rPr>
        <w:t>Ohrozenie základných ľudských práv a slobôd alebo bezpečnosti alebo hrozba značných hospodárskych škôd pre štát je potenciálnym následkom mimoriadnej okolnosti, ktorý je aj podľa presvedčenia vlády potrebné individualizovať. Ohrozenie základných ľudských práv a slobôd alebo bezpečnosti alebo hrozba značných hospodárskych škôd pre štát je dostatočne odôvodnené vtedy, ak ohrozenie je reálne (atribút reálnosti ohrozenia), priame (atribút bezprostrednosti ohrozenia) a je konkretizovaný spôsob ohrozenia (atribút konkrétnosti ohrozenia).</w:t>
      </w:r>
      <w:r w:rsidRPr="00A17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94D63D" w14:textId="7DECFCB3" w:rsidR="00C90332" w:rsidRDefault="00A172B7" w:rsidP="000945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2B7">
        <w:rPr>
          <w:rFonts w:ascii="Times New Roman" w:hAnsi="Times New Roman" w:cs="Times New Roman"/>
          <w:sz w:val="24"/>
          <w:szCs w:val="24"/>
        </w:rPr>
        <w:t xml:space="preserve">Vzhľadom na uvedenú argumentáciu sa </w:t>
      </w:r>
      <w:r w:rsidR="0023370C">
        <w:rPr>
          <w:rFonts w:ascii="Times New Roman" w:hAnsi="Times New Roman" w:cs="Times New Roman"/>
          <w:sz w:val="24"/>
          <w:szCs w:val="24"/>
        </w:rPr>
        <w:t xml:space="preserve">vládny </w:t>
      </w:r>
      <w:r w:rsidRPr="00A172B7">
        <w:rPr>
          <w:rFonts w:ascii="Times New Roman" w:hAnsi="Times New Roman" w:cs="Times New Roman"/>
          <w:sz w:val="24"/>
          <w:szCs w:val="24"/>
        </w:rPr>
        <w:t>návrh zákona predkladá na rokovanie</w:t>
      </w:r>
      <w:r w:rsidR="0023370C">
        <w:rPr>
          <w:rFonts w:ascii="Times New Roman" w:hAnsi="Times New Roman" w:cs="Times New Roman"/>
          <w:sz w:val="24"/>
          <w:szCs w:val="24"/>
        </w:rPr>
        <w:t xml:space="preserve"> Národnej rady Slovenskej republiky</w:t>
      </w:r>
      <w:r w:rsidRPr="00A172B7">
        <w:rPr>
          <w:rFonts w:ascii="Times New Roman" w:hAnsi="Times New Roman" w:cs="Times New Roman"/>
          <w:sz w:val="24"/>
          <w:szCs w:val="24"/>
        </w:rPr>
        <w:t xml:space="preserve"> v súlade s § 27 ods. 1 zákona č. 400/2015 Z. z. tvorbe </w:t>
      </w:r>
      <w:r w:rsidRPr="00A172B7">
        <w:rPr>
          <w:rFonts w:ascii="Times New Roman" w:hAnsi="Times New Roman" w:cs="Times New Roman"/>
          <w:sz w:val="24"/>
          <w:szCs w:val="24"/>
        </w:rPr>
        <w:lastRenderedPageBreak/>
        <w:t>právnych predpisov a o Zbierke zákonov Slovenskej republiky a o zmene a doplnení niektorých zákonov.</w:t>
      </w:r>
    </w:p>
    <w:p w14:paraId="5ED45319" w14:textId="77777777" w:rsidR="00063F6B" w:rsidRDefault="00063F6B" w:rsidP="00063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8EB0418" w14:textId="64347AD9" w:rsidR="00063F6B" w:rsidRPr="006E60E4" w:rsidRDefault="00063F6B" w:rsidP="00063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</w:t>
      </w:r>
      <w:r w:rsidRPr="00286510">
        <w:rPr>
          <w:rFonts w:ascii="Times New Roman" w:hAnsi="Times New Roman"/>
          <w:sz w:val="24"/>
          <w:szCs w:val="24"/>
          <w:lang w:eastAsia="sk-SK"/>
        </w:rPr>
        <w:t xml:space="preserve">Bratislave </w:t>
      </w:r>
      <w:r w:rsidR="001A5FCD">
        <w:rPr>
          <w:rFonts w:ascii="Times New Roman" w:hAnsi="Times New Roman"/>
          <w:sz w:val="24"/>
          <w:szCs w:val="24"/>
          <w:lang w:eastAsia="sk-SK"/>
        </w:rPr>
        <w:t>6</w:t>
      </w:r>
      <w:r w:rsidRPr="00286510">
        <w:rPr>
          <w:rFonts w:ascii="Times New Roman" w:hAnsi="Times New Roman"/>
          <w:sz w:val="24"/>
          <w:szCs w:val="24"/>
          <w:lang w:eastAsia="sk-SK"/>
        </w:rPr>
        <w:t>.</w:t>
      </w:r>
      <w:r w:rsidR="001A5FCD">
        <w:rPr>
          <w:rFonts w:ascii="Times New Roman" w:hAnsi="Times New Roman"/>
          <w:sz w:val="24"/>
          <w:szCs w:val="24"/>
          <w:lang w:eastAsia="sk-SK"/>
        </w:rPr>
        <w:t xml:space="preserve"> decembra</w:t>
      </w:r>
      <w:r w:rsidRPr="00286510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A5FCD">
        <w:rPr>
          <w:rFonts w:ascii="Times New Roman" w:hAnsi="Times New Roman"/>
          <w:sz w:val="24"/>
          <w:szCs w:val="24"/>
          <w:lang w:eastAsia="sk-SK"/>
        </w:rPr>
        <w:t>2023</w:t>
      </w:r>
    </w:p>
    <w:p w14:paraId="1F77F11D" w14:textId="53CED4CB" w:rsidR="00063F6B" w:rsidRDefault="00063F6B" w:rsidP="00063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769B03D" w14:textId="327DF673" w:rsidR="00063F6B" w:rsidRDefault="00063F6B" w:rsidP="00063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564660E" w14:textId="75C90827" w:rsidR="001A5FCD" w:rsidRDefault="001A5FCD" w:rsidP="00063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3C4ABB47" w14:textId="406CD1AD" w:rsidR="001A5FCD" w:rsidRDefault="001A5FCD" w:rsidP="00063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9B4B27D" w14:textId="4E81D61D" w:rsidR="001A5FCD" w:rsidRDefault="001A5FCD" w:rsidP="00063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65FFF95D" w14:textId="447A9BB4" w:rsidR="001A5FCD" w:rsidRDefault="001A5FCD" w:rsidP="00063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2EB41126" w14:textId="77777777" w:rsidR="001A5FCD" w:rsidRPr="006E60E4" w:rsidRDefault="001A5FCD" w:rsidP="00063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C9AF1AD" w14:textId="4A044A2E" w:rsidR="00063F6B" w:rsidRPr="006E60E4" w:rsidRDefault="00063F6B" w:rsidP="00063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Robert Fico, </w:t>
      </w:r>
      <w:proofErr w:type="spellStart"/>
      <w:r>
        <w:rPr>
          <w:rFonts w:ascii="Times New Roman" w:hAnsi="Times New Roman"/>
          <w:b/>
          <w:sz w:val="24"/>
          <w:szCs w:val="24"/>
          <w:lang w:eastAsia="sk-SK"/>
        </w:rPr>
        <w:t>v.r</w:t>
      </w:r>
      <w:proofErr w:type="spellEnd"/>
      <w:r>
        <w:rPr>
          <w:rFonts w:ascii="Times New Roman" w:hAnsi="Times New Roman"/>
          <w:b/>
          <w:sz w:val="24"/>
          <w:szCs w:val="24"/>
          <w:lang w:eastAsia="sk-SK"/>
        </w:rPr>
        <w:t>.</w:t>
      </w:r>
    </w:p>
    <w:p w14:paraId="2F362156" w14:textId="77777777" w:rsidR="00063F6B" w:rsidRPr="006E60E4" w:rsidRDefault="00063F6B" w:rsidP="00063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6E60E4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  <w:bookmarkStart w:id="0" w:name="_GoBack"/>
      <w:bookmarkEnd w:id="0"/>
    </w:p>
    <w:p w14:paraId="4AA9AF84" w14:textId="77777777" w:rsidR="00063F6B" w:rsidRDefault="00063F6B" w:rsidP="00063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6F25196B" w14:textId="5A88C752" w:rsidR="00063F6B" w:rsidRDefault="00063F6B" w:rsidP="00063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D4D0DD0" w14:textId="2BDCC22C" w:rsidR="00063F6B" w:rsidRDefault="00063F6B" w:rsidP="00063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4F11D50B" w14:textId="16072107" w:rsidR="001A5FCD" w:rsidRDefault="001A5FCD" w:rsidP="00063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2A8AD226" w14:textId="77777777" w:rsidR="001A5FCD" w:rsidRDefault="001A5FCD" w:rsidP="00063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1017CCCA" w14:textId="77777777" w:rsidR="00063F6B" w:rsidRDefault="00063F6B" w:rsidP="00063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14:paraId="7C182E55" w14:textId="13D6360A" w:rsidR="00063F6B" w:rsidRPr="00D03243" w:rsidRDefault="00063F6B" w:rsidP="00063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Boris </w:t>
      </w:r>
      <w:proofErr w:type="spellStart"/>
      <w:r>
        <w:rPr>
          <w:rFonts w:ascii="Times New Roman" w:hAnsi="Times New Roman"/>
          <w:b/>
          <w:sz w:val="24"/>
          <w:szCs w:val="24"/>
          <w:lang w:eastAsia="sk-SK"/>
        </w:rPr>
        <w:t>Susko</w:t>
      </w:r>
      <w:proofErr w:type="spellEnd"/>
      <w:r w:rsidRPr="00D03243">
        <w:rPr>
          <w:rFonts w:ascii="Times New Roman" w:hAnsi="Times New Roman"/>
          <w:b/>
          <w:sz w:val="24"/>
          <w:szCs w:val="24"/>
          <w:lang w:eastAsia="sk-SK"/>
        </w:rPr>
        <w:t xml:space="preserve">, </w:t>
      </w:r>
      <w:proofErr w:type="spellStart"/>
      <w:r w:rsidRPr="00D03243">
        <w:rPr>
          <w:rFonts w:ascii="Times New Roman" w:hAnsi="Times New Roman"/>
          <w:b/>
          <w:sz w:val="24"/>
          <w:szCs w:val="24"/>
          <w:lang w:eastAsia="sk-SK"/>
        </w:rPr>
        <w:t>v.r</w:t>
      </w:r>
      <w:proofErr w:type="spellEnd"/>
      <w:r w:rsidRPr="00D03243">
        <w:rPr>
          <w:rFonts w:ascii="Times New Roman" w:hAnsi="Times New Roman"/>
          <w:b/>
          <w:sz w:val="24"/>
          <w:szCs w:val="24"/>
          <w:lang w:eastAsia="sk-SK"/>
        </w:rPr>
        <w:t>.</w:t>
      </w:r>
    </w:p>
    <w:p w14:paraId="46B6619F" w14:textId="77777777" w:rsidR="00063F6B" w:rsidRPr="006E60E4" w:rsidRDefault="00063F6B" w:rsidP="00063F6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D03243">
        <w:rPr>
          <w:rFonts w:ascii="Times New Roman" w:hAnsi="Times New Roman"/>
          <w:sz w:val="24"/>
          <w:szCs w:val="24"/>
          <w:lang w:eastAsia="sk-SK"/>
        </w:rPr>
        <w:t>minister spravodlivosti Slovenskej republiky</w:t>
      </w:r>
    </w:p>
    <w:p w14:paraId="4E57E4F2" w14:textId="77777777" w:rsidR="00063F6B" w:rsidRDefault="00063F6B" w:rsidP="000945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63F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FBB12" w14:textId="77777777" w:rsidR="005A484D" w:rsidRDefault="005A484D" w:rsidP="0009455C">
      <w:pPr>
        <w:spacing w:after="0" w:line="240" w:lineRule="auto"/>
      </w:pPr>
      <w:r>
        <w:separator/>
      </w:r>
    </w:p>
  </w:endnote>
  <w:endnote w:type="continuationSeparator" w:id="0">
    <w:p w14:paraId="4A39E26D" w14:textId="77777777" w:rsidR="005A484D" w:rsidRDefault="005A484D" w:rsidP="0009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26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E9942E" w14:textId="0CC340EF" w:rsidR="0009455C" w:rsidRPr="0082617E" w:rsidRDefault="0009455C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261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261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261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6AF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261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E6AED6" w14:textId="77777777" w:rsidR="0009455C" w:rsidRDefault="0009455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AE973" w14:textId="77777777" w:rsidR="005A484D" w:rsidRDefault="005A484D" w:rsidP="0009455C">
      <w:pPr>
        <w:spacing w:after="0" w:line="240" w:lineRule="auto"/>
      </w:pPr>
      <w:r>
        <w:separator/>
      </w:r>
    </w:p>
  </w:footnote>
  <w:footnote w:type="continuationSeparator" w:id="0">
    <w:p w14:paraId="6AD53785" w14:textId="77777777" w:rsidR="005A484D" w:rsidRDefault="005A484D" w:rsidP="00094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3A3"/>
    <w:multiLevelType w:val="multilevel"/>
    <w:tmpl w:val="4642B37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6930EC"/>
    <w:multiLevelType w:val="hybridMultilevel"/>
    <w:tmpl w:val="1B422C9E"/>
    <w:lvl w:ilvl="0" w:tplc="7AD242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1F793B"/>
    <w:multiLevelType w:val="hybridMultilevel"/>
    <w:tmpl w:val="A88CB5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5C"/>
    <w:rsid w:val="00051399"/>
    <w:rsid w:val="00063F6B"/>
    <w:rsid w:val="0009455C"/>
    <w:rsid w:val="00100F28"/>
    <w:rsid w:val="00114874"/>
    <w:rsid w:val="00180BD0"/>
    <w:rsid w:val="001A5FCD"/>
    <w:rsid w:val="0023370C"/>
    <w:rsid w:val="002441AC"/>
    <w:rsid w:val="00261C5A"/>
    <w:rsid w:val="00267C12"/>
    <w:rsid w:val="002956B9"/>
    <w:rsid w:val="002E5030"/>
    <w:rsid w:val="00320DA1"/>
    <w:rsid w:val="00366AFC"/>
    <w:rsid w:val="003702FA"/>
    <w:rsid w:val="003D5B7D"/>
    <w:rsid w:val="003D7721"/>
    <w:rsid w:val="00470B03"/>
    <w:rsid w:val="004B3956"/>
    <w:rsid w:val="00510EA4"/>
    <w:rsid w:val="0055722E"/>
    <w:rsid w:val="00561FAE"/>
    <w:rsid w:val="00565148"/>
    <w:rsid w:val="00573E46"/>
    <w:rsid w:val="00597106"/>
    <w:rsid w:val="005A1FE2"/>
    <w:rsid w:val="005A484D"/>
    <w:rsid w:val="005C49A5"/>
    <w:rsid w:val="006D747C"/>
    <w:rsid w:val="00741643"/>
    <w:rsid w:val="0082617E"/>
    <w:rsid w:val="00853566"/>
    <w:rsid w:val="0087246F"/>
    <w:rsid w:val="00892497"/>
    <w:rsid w:val="008942D9"/>
    <w:rsid w:val="00895141"/>
    <w:rsid w:val="00987131"/>
    <w:rsid w:val="009D044E"/>
    <w:rsid w:val="00A172B7"/>
    <w:rsid w:val="00A54C99"/>
    <w:rsid w:val="00A577E7"/>
    <w:rsid w:val="00A97067"/>
    <w:rsid w:val="00AE3FB5"/>
    <w:rsid w:val="00B018AA"/>
    <w:rsid w:val="00B25B07"/>
    <w:rsid w:val="00B77F8F"/>
    <w:rsid w:val="00B82269"/>
    <w:rsid w:val="00BD6CF0"/>
    <w:rsid w:val="00BE2B42"/>
    <w:rsid w:val="00C03EAC"/>
    <w:rsid w:val="00C65CF6"/>
    <w:rsid w:val="00C90332"/>
    <w:rsid w:val="00CB4716"/>
    <w:rsid w:val="00CD4471"/>
    <w:rsid w:val="00D4704A"/>
    <w:rsid w:val="00DB26AB"/>
    <w:rsid w:val="00E9388C"/>
    <w:rsid w:val="00EC7B5D"/>
    <w:rsid w:val="00ED161E"/>
    <w:rsid w:val="00ED67F7"/>
    <w:rsid w:val="00EE41F8"/>
    <w:rsid w:val="00EF34F7"/>
    <w:rsid w:val="00F176FD"/>
    <w:rsid w:val="00F64CFC"/>
    <w:rsid w:val="00F66FBB"/>
    <w:rsid w:val="00F67E4C"/>
    <w:rsid w:val="00F740B4"/>
    <w:rsid w:val="00F77735"/>
    <w:rsid w:val="00FD2DE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5724C"/>
  <w15:chartTrackingRefBased/>
  <w15:docId w15:val="{4D62A604-15F9-42D0-BB8E-0C7B674A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4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55C"/>
  </w:style>
  <w:style w:type="paragraph" w:styleId="Pta">
    <w:name w:val="footer"/>
    <w:basedOn w:val="Normlny"/>
    <w:link w:val="PtaChar"/>
    <w:uiPriority w:val="99"/>
    <w:unhideWhenUsed/>
    <w:rsid w:val="00094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55C"/>
  </w:style>
  <w:style w:type="paragraph" w:styleId="Odsekzoznamu">
    <w:name w:val="List Paragraph"/>
    <w:basedOn w:val="Normlny"/>
    <w:uiPriority w:val="34"/>
    <w:qFormat/>
    <w:rsid w:val="00C9033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7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7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0D83-625C-4D41-836B-7ED914D9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GRACIKOVÁ Anna</cp:lastModifiedBy>
  <cp:revision>45</cp:revision>
  <cp:lastPrinted>2023-12-05T16:24:00Z</cp:lastPrinted>
  <dcterms:created xsi:type="dcterms:W3CDTF">2023-11-29T08:11:00Z</dcterms:created>
  <dcterms:modified xsi:type="dcterms:W3CDTF">2023-12-06T12:30:00Z</dcterms:modified>
</cp:coreProperties>
</file>