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78AAF" w14:textId="77777777" w:rsidR="00F27D69" w:rsidRPr="001D5D51" w:rsidRDefault="0068164E">
      <w:pPr>
        <w:jc w:val="center"/>
        <w:rPr>
          <w:b/>
        </w:rPr>
      </w:pPr>
      <w:r w:rsidRPr="001D5D51">
        <w:rPr>
          <w:b/>
          <w:caps/>
        </w:rPr>
        <w:t xml:space="preserve">Dôvodová správa </w:t>
      </w:r>
    </w:p>
    <w:p w14:paraId="2F10248E" w14:textId="77777777" w:rsidR="00F27D69" w:rsidRPr="001D5D51" w:rsidRDefault="00F27D69">
      <w:pPr>
        <w:rPr>
          <w:b/>
        </w:rPr>
      </w:pPr>
    </w:p>
    <w:p w14:paraId="19573248" w14:textId="77777777" w:rsidR="00F27D69" w:rsidRPr="001D5D51" w:rsidRDefault="0068164E">
      <w:pPr>
        <w:rPr>
          <w:b/>
        </w:rPr>
      </w:pPr>
      <w:r w:rsidRPr="001D5D51">
        <w:rPr>
          <w:b/>
        </w:rPr>
        <w:t>A. Všeobecná časť</w:t>
      </w:r>
    </w:p>
    <w:p w14:paraId="4130ADB4" w14:textId="77777777" w:rsidR="00F27D69" w:rsidRPr="001D5D51" w:rsidRDefault="00F27D69"/>
    <w:p w14:paraId="6B77258C" w14:textId="3DD154AB" w:rsidR="004C390A" w:rsidRDefault="004C390A" w:rsidP="004C390A">
      <w:pPr>
        <w:ind w:firstLine="708"/>
        <w:jc w:val="both"/>
        <w:rPr>
          <w:color w:val="000000" w:themeColor="text1"/>
        </w:rPr>
      </w:pPr>
      <w:r>
        <w:rPr>
          <w:color w:val="000000" w:themeColor="text1"/>
        </w:rPr>
        <w:t>Súčasná platná právna úprava zákona č. 54/2019 Z. z. o ochrane oznamovateľov protispoločenskej činnosti a o zmene a doplnení niektorých zákonov v znení zákona č. 189/2023 Z. z. poskytuje ochranu fyzickej osobe oznamovateľovi, ktorá je v pracovnoprávnom vzťahu alebo v inom obdobnom vzťahu v súvislosti s oznamovaním kriminality alebo inej protispoločenskej činnosti. Úmysel zákonodarcu, ktorý možno odvodiť zo vzájomných prepojení jednotlivých ustanovení zákona č. 54/2019 Z. z. smeroval k tomu, aby oznámenie o protispoločenskej činnosti zamestnanca prispelo k objasneniu protispoločen</w:t>
      </w:r>
      <w:r w:rsidR="00F74B7B">
        <w:rPr>
          <w:color w:val="000000" w:themeColor="text1"/>
        </w:rPr>
        <w:t xml:space="preserve">skej činnosti zamestnávateľa, pričom </w:t>
      </w:r>
      <w:r>
        <w:rPr>
          <w:color w:val="000000" w:themeColor="text1"/>
        </w:rPr>
        <w:t>medzi oznámením a protispoločenskou činnosťou musí existovať podmienka vecného súvisu. Oznamovateľ teda nemôže oznamovať akúkoľvek protispoločenskú činnosť, ale iba takú, ako vyplývalo zo znenia zákona č. 54/2019 Z. z., a to pred jeho rozsiahlou novelo</w:t>
      </w:r>
      <w:r w:rsidR="00F74B7B">
        <w:rPr>
          <w:color w:val="000000" w:themeColor="text1"/>
        </w:rPr>
        <w:t>u č. 189/2023 Z. z. podľa ktorého</w:t>
      </w:r>
      <w:r>
        <w:rPr>
          <w:color w:val="000000" w:themeColor="text1"/>
        </w:rPr>
        <w:t xml:space="preserve"> </w:t>
      </w:r>
      <w:r w:rsidRPr="00B14CCA">
        <w:rPr>
          <w:i/>
          <w:iCs/>
          <w:color w:val="000000" w:themeColor="text1"/>
        </w:rPr>
        <w:t>„cieľom zákona o ochrane oznamovateľov protispoločenskej činnosti je motivácia fyzickej osoby oznamovať protispoločensk</w:t>
      </w:r>
      <w:r w:rsidR="00F74B7B">
        <w:rPr>
          <w:i/>
          <w:iCs/>
          <w:color w:val="000000" w:themeColor="text1"/>
        </w:rPr>
        <w:t>ú činnosť, o ktorej sa dozvedela</w:t>
      </w:r>
      <w:r w:rsidRPr="00B14CCA">
        <w:rPr>
          <w:i/>
          <w:iCs/>
          <w:color w:val="000000" w:themeColor="text1"/>
        </w:rPr>
        <w:t xml:space="preserve"> v súvislosti s výkonom svojho zamestnania, povolania, postavenia, funkcie alebo v súvislosti s činnosťou vo verejnom záujme.“</w:t>
      </w:r>
      <w:r>
        <w:rPr>
          <w:color w:val="000000" w:themeColor="text1"/>
        </w:rPr>
        <w:t xml:space="preserve"> Ochrana sa poskytuje oznamovateľovi vo dvoch rovinách, a to smerom navonok – vo forme trestného oznámenia alebo podnetu na začatie konania o správnom delikte – alebo dovnútra zamestnávateľa, a to v rámci vnútorného systému preverovania oznámení. Ďalším podporným argumentom na existenciu vecného súvisu je § 7 ods. 1 platného znenia zákona č. 54/2019 Z. z., podľa ktorého zamestnávateľ je povinný znášať obrátené dôkazné bremeno a v rámci schvaľovania právneho úkonu, </w:t>
      </w:r>
      <w:r w:rsidR="00F74B7B">
        <w:rPr>
          <w:color w:val="000000" w:themeColor="text1"/>
        </w:rPr>
        <w:t>na ktorý je povinný dať súhlas Ú</w:t>
      </w:r>
      <w:r>
        <w:rPr>
          <w:color w:val="000000" w:themeColor="text1"/>
        </w:rPr>
        <w:t>rad na ochranu oznamovateľov</w:t>
      </w:r>
      <w:r w:rsidR="00F74B7B">
        <w:rPr>
          <w:color w:val="000000" w:themeColor="text1"/>
        </w:rPr>
        <w:t xml:space="preserve"> </w:t>
      </w:r>
      <w:r w:rsidR="00F74B7B">
        <w:rPr>
          <w:color w:val="000000"/>
        </w:rPr>
        <w:t>(ďalej len „úrad“)</w:t>
      </w:r>
      <w:r>
        <w:rPr>
          <w:color w:val="000000" w:themeColor="text1"/>
        </w:rPr>
        <w:t>, musí zamestnávateľ preukázať, že medzi kvalifikovaným oznámením a pracovnoprávnym úkonom nie je príčinná súvislosť. Z uvedeného teda vyplýva, že ochranu má požívať iba také oznámenie, z ktorého je evidentný vecný súvis s činnosťou zamestnávateľa</w:t>
      </w:r>
      <w:r w:rsidRPr="004C390A">
        <w:rPr>
          <w:color w:val="000000" w:themeColor="text1"/>
        </w:rPr>
        <w:t>.</w:t>
      </w:r>
      <w:r w:rsidR="00F2598B">
        <w:rPr>
          <w:color w:val="000000" w:themeColor="text1"/>
        </w:rPr>
        <w:t xml:space="preserve"> Poznatky z praxe naznačujú, že inštitút </w:t>
      </w:r>
      <w:r w:rsidR="00F2598B">
        <w:t xml:space="preserve">chráneného oznamovateľa je nadmerne využívaný, respektíve zneužívaný, a to v rozpore s pôvodným úmyslom zákonodarcu pri prijímaní zákona č. 54/2019 Z. z. </w:t>
      </w:r>
      <w:r w:rsidR="00F2598B">
        <w:rPr>
          <w:color w:val="000000" w:themeColor="text1"/>
        </w:rPr>
        <w:t>o ochrane oznamovateľov protispoločenskej činnosti a o zmene a doplnení niektorých zákonov.</w:t>
      </w:r>
    </w:p>
    <w:p w14:paraId="68ECAE04" w14:textId="77777777" w:rsidR="004C390A" w:rsidRDefault="004C390A">
      <w:pPr>
        <w:jc w:val="both"/>
        <w:rPr>
          <w:color w:val="000000" w:themeColor="text1"/>
        </w:rPr>
      </w:pPr>
    </w:p>
    <w:p w14:paraId="0A8F48F6" w14:textId="13375002" w:rsidR="004C7F7B" w:rsidRDefault="004C7F7B" w:rsidP="004C7F7B">
      <w:pPr>
        <w:ind w:firstLine="708"/>
        <w:jc w:val="both"/>
      </w:pPr>
      <w:r>
        <w:t xml:space="preserve">Cieľom predkladaného návrhu zákona je reagovať na pretrvávajúce problémy spojené s nadmerným využívaním, respektíve zneužívaním inštitútu chráneného oznamovateľa. Z tohto dôvodu sa v predloženom návrhu zákona navrhuje vzhľadom na skúsenosti spojené s takýmto nadmerným využívaním, respektíve zneužívaním spomenutého inštitútu vykonať v zákone č. </w:t>
      </w:r>
      <w:r w:rsidRPr="00555370">
        <w:t>54/2019 Z. z. o ochrane oznamovateľov protispoločenskej činnosti a o zmene a doplnení niektorých zákonov v znení zákona č. 189/2023 Z. z.</w:t>
      </w:r>
      <w:r>
        <w:t xml:space="preserve"> niekoľko nevyhnutných zmien.</w:t>
      </w:r>
    </w:p>
    <w:p w14:paraId="7F8178AB" w14:textId="77777777" w:rsidR="004C7F7B" w:rsidRDefault="004C7F7B" w:rsidP="004C7F7B">
      <w:pPr>
        <w:ind w:firstLine="708"/>
        <w:jc w:val="both"/>
      </w:pPr>
    </w:p>
    <w:p w14:paraId="35EEB8B2" w14:textId="28C85459" w:rsidR="004C7F7B" w:rsidRDefault="00A10C34" w:rsidP="004C7F7B">
      <w:pPr>
        <w:ind w:firstLine="708"/>
        <w:jc w:val="both"/>
      </w:pPr>
      <w:r>
        <w:t>Predovšetkým</w:t>
      </w:r>
      <w:r w:rsidR="004C7F7B">
        <w:t xml:space="preserve"> sa navrhuje upresnenie definícií niektorých zákonných pojmov tak, aby ich nebolo možné vykladať v rozpore so zámerom, s ktorým bol tento zákon zákonodarcom prijímaný. Obdobný cieľ sledujú aj ďalšie zmeny v predloženom návrhu zákona, ktorými sa napríklad špecifikujú okolnosti a</w:t>
      </w:r>
      <w:r>
        <w:t> </w:t>
      </w:r>
      <w:r w:rsidR="004C7F7B">
        <w:t>podmienky</w:t>
      </w:r>
      <w:r>
        <w:t xml:space="preserve"> poskytnutia</w:t>
      </w:r>
      <w:r w:rsidR="004C7F7B">
        <w:t xml:space="preserve"> ochrany oznamovateľ</w:t>
      </w:r>
      <w:r>
        <w:t>ovi</w:t>
      </w:r>
      <w:r w:rsidR="004C7F7B">
        <w:t xml:space="preserve"> pri oznamovaní závažnej protispoločenskej činnosti. </w:t>
      </w:r>
    </w:p>
    <w:p w14:paraId="18611508" w14:textId="77777777" w:rsidR="004C7F7B" w:rsidRDefault="004C7F7B" w:rsidP="004C7F7B">
      <w:pPr>
        <w:ind w:firstLine="708"/>
        <w:jc w:val="both"/>
      </w:pPr>
    </w:p>
    <w:p w14:paraId="22304867" w14:textId="4F91AC12" w:rsidR="004C7F7B" w:rsidRDefault="004C7F7B" w:rsidP="000778D3">
      <w:pPr>
        <w:ind w:firstLine="708"/>
        <w:jc w:val="both"/>
      </w:pPr>
      <w:r>
        <w:t xml:space="preserve">Taktiež sa navrhuje v súvislosti s poskytnutím ochrany v rámci trestného konania zavedenie možnosti preskúmania rozhodnutia prokurátora o udelení ochrany zamestnancovi na žiadosť zamestnávateľa. Obdobná úprava sa navrhuje aj v rámci konania o správnom delikte. </w:t>
      </w:r>
      <w:r w:rsidR="000778D3" w:rsidRPr="00456644">
        <w:rPr>
          <w:color w:val="000000"/>
        </w:rPr>
        <w:t>Týmto legislatívnym krokom sa odstráni zjavne neproporcionálne obmedzenie práv zamestnávateľa</w:t>
      </w:r>
      <w:r w:rsidR="000778D3">
        <w:rPr>
          <w:color w:val="000000"/>
        </w:rPr>
        <w:t xml:space="preserve">, keďže súčasná právna úprava umožňuje, aby oznamovateľ, ktorému nebola </w:t>
      </w:r>
      <w:r w:rsidR="000778D3">
        <w:rPr>
          <w:color w:val="000000"/>
        </w:rPr>
        <w:lastRenderedPageBreak/>
        <w:t xml:space="preserve">poskytnutá ochrana prokurátorom, mal možnosť do 15 dní sám alebo prostredníctvom </w:t>
      </w:r>
      <w:r w:rsidR="00F74B7B">
        <w:rPr>
          <w:color w:val="000000"/>
        </w:rPr>
        <w:t>ú</w:t>
      </w:r>
      <w:r w:rsidR="000778D3">
        <w:rPr>
          <w:color w:val="000000"/>
        </w:rPr>
        <w:t>radu požiadať nadriadeného prokurátora, aby preskúmal dôvody</w:t>
      </w:r>
      <w:r w:rsidR="00F72ADD">
        <w:rPr>
          <w:color w:val="000000"/>
        </w:rPr>
        <w:t xml:space="preserve"> neposkytnutia ochrany, </w:t>
      </w:r>
      <w:r w:rsidR="00192657" w:rsidRPr="00BC3ACD">
        <w:t>avšak v prípade zamestnávateľa obdobný inštitút v súčasnom platnom znení zákona absentuje</w:t>
      </w:r>
      <w:r w:rsidR="00192657" w:rsidRPr="00E43D9F">
        <w:t>.</w:t>
      </w:r>
    </w:p>
    <w:p w14:paraId="6E56704D" w14:textId="77777777" w:rsidR="004C7F7B" w:rsidRDefault="004C7F7B" w:rsidP="004C7F7B">
      <w:pPr>
        <w:ind w:firstLine="708"/>
        <w:jc w:val="both"/>
      </w:pPr>
    </w:p>
    <w:p w14:paraId="1455061C" w14:textId="2E50DE07" w:rsidR="00236D13" w:rsidRDefault="004C7F7B" w:rsidP="00236D13">
      <w:pPr>
        <w:ind w:firstLine="708"/>
        <w:jc w:val="both"/>
      </w:pPr>
      <w:r>
        <w:t xml:space="preserve">Tretí a posledný okruh navrhovaných zmien sa týka doplnenia výnimky spod pôsobnosti </w:t>
      </w:r>
      <w:r w:rsidR="00FF0046">
        <w:t xml:space="preserve">niektorých ustanovení </w:t>
      </w:r>
      <w:r>
        <w:t xml:space="preserve">zákona o ochrane oznamovateľov </w:t>
      </w:r>
      <w:r w:rsidRPr="00315AD9">
        <w:t>aj vo vzťahu k Policajnému zboru a jeho príslušníkom</w:t>
      </w:r>
      <w:r>
        <w:t xml:space="preserve"> obdobne, ako je tomu už v súčasnosti v prípade Slovenskej informačnej služby, Vojenského spravodajstva</w:t>
      </w:r>
      <w:r w:rsidRPr="00E93574">
        <w:t xml:space="preserve"> a Národného bezpečnostného úradu</w:t>
      </w:r>
      <w:r>
        <w:t xml:space="preserve"> a ich príslušníkov.</w:t>
      </w:r>
      <w:r w:rsidR="00CD247B">
        <w:t xml:space="preserve"> </w:t>
      </w:r>
      <w:r w:rsidR="00236D13" w:rsidRPr="003E1B76">
        <w:t>Táto zmena je v súlade s ustanovením článku 4 ods. 1 písm. a) smernice EP a Rady (EÚ) 2019/1937 z 23. októbra 2019 o ochrane osôb, ktoré nahlasujú porušenia práva Únie v platnom znení, podľa ktorého je osobná pôsobnosť obmedzená okrem iného na „osoby, ktoré majú postavenie pracovníka v zmysle článku 45 ods. 1 Zmluvy o fungovaní EÚ vrátane štátnych zamestnancov“. Dôvetok „vrátane štátnych zamestnancov“, je potrebné vnímať s ohľadom na vylúčené pracovné pozície, ktoré predstavujú výkon verejnej služby tak, ako ich definoval vo svojej judikatúre Súdny dvor EÚ. Daný záver potvrdzuje aj znenie článku 3 ods. 2 smernice (EÚ) 2019/1937, ktorý ustanovuje „Touto smernicou nie je dotknutá zodpovednosť členských štátov zaistiť národnú bezpečnosť ani ich právomoc chrániť svoje základné bezpečnostné záujmy“.</w:t>
      </w:r>
    </w:p>
    <w:p w14:paraId="3281D3A7" w14:textId="77777777" w:rsidR="00F27D69" w:rsidRPr="001D5D51" w:rsidRDefault="00F27D69">
      <w:pPr>
        <w:jc w:val="both"/>
        <w:rPr>
          <w:rStyle w:val="Zstupntext"/>
          <w:color w:val="000000" w:themeColor="text1"/>
        </w:rPr>
      </w:pPr>
    </w:p>
    <w:p w14:paraId="39A1826A" w14:textId="5F3DBD2A" w:rsidR="00F27D69" w:rsidRPr="001D5D51" w:rsidRDefault="0068164E">
      <w:pPr>
        <w:ind w:firstLine="708"/>
        <w:jc w:val="both"/>
        <w:rPr>
          <w:color w:val="000000" w:themeColor="text1"/>
        </w:rPr>
      </w:pPr>
      <w:r w:rsidRPr="001D5D51">
        <w:rPr>
          <w:color w:val="000000"/>
          <w:lang w:eastAsia="en-US"/>
        </w:rPr>
        <w:t>Návrh zákona</w:t>
      </w:r>
      <w:r w:rsidR="006B1844">
        <w:rPr>
          <w:color w:val="000000" w:themeColor="text1"/>
        </w:rPr>
        <w:t xml:space="preserve"> </w:t>
      </w:r>
      <w:r w:rsidR="00DF2E3B">
        <w:rPr>
          <w:color w:val="000000" w:themeColor="text1"/>
        </w:rPr>
        <w:t>ne</w:t>
      </w:r>
      <w:r w:rsidRPr="001D5D51">
        <w:rPr>
          <w:color w:val="000000" w:themeColor="text1"/>
        </w:rPr>
        <w:t xml:space="preserve">má </w:t>
      </w:r>
      <w:r w:rsidR="00DF2E3B">
        <w:rPr>
          <w:color w:val="000000" w:themeColor="text1"/>
        </w:rPr>
        <w:t>žiadne</w:t>
      </w:r>
      <w:r w:rsidRPr="001D5D51">
        <w:rPr>
          <w:color w:val="000000" w:themeColor="text1"/>
        </w:rPr>
        <w:t xml:space="preserve"> vplyvy na rozpočet verejnej správy</w:t>
      </w:r>
      <w:r w:rsidR="00DF2E3B">
        <w:rPr>
          <w:color w:val="000000" w:themeColor="text1"/>
        </w:rPr>
        <w:t>,</w:t>
      </w:r>
      <w:r w:rsidR="006B1844">
        <w:rPr>
          <w:color w:val="000000" w:themeColor="text1"/>
        </w:rPr>
        <w:t xml:space="preserve"> </w:t>
      </w:r>
      <w:r w:rsidRPr="001D5D51">
        <w:rPr>
          <w:color w:val="000000"/>
          <w:lang w:eastAsia="en-US"/>
        </w:rPr>
        <w:t xml:space="preserve">na podnikateľské prostredie, sociálne vplyvy, </w:t>
      </w:r>
      <w:r w:rsidRPr="001D5D51">
        <w:rPr>
          <w:color w:val="000000"/>
        </w:rPr>
        <w:t>vplyvy na životné prostredie, vplyvy na informatizáciu spoločnosti, vplyvy na sl</w:t>
      </w:r>
      <w:r w:rsidR="006B1844">
        <w:rPr>
          <w:color w:val="000000"/>
        </w:rPr>
        <w:t>užby verejnej správy pre občana a</w:t>
      </w:r>
      <w:r w:rsidRPr="001D5D51">
        <w:rPr>
          <w:color w:val="000000"/>
        </w:rPr>
        <w:t xml:space="preserve"> ani vplyvy na manželstvo, rodičovstvo a rodinu</w:t>
      </w:r>
      <w:r w:rsidRPr="001D5D51">
        <w:rPr>
          <w:rStyle w:val="Zstupntext"/>
          <w:color w:val="000000"/>
        </w:rPr>
        <w:t>.</w:t>
      </w:r>
    </w:p>
    <w:p w14:paraId="0414E0B2" w14:textId="77777777" w:rsidR="00F27D69" w:rsidRPr="001D5D51" w:rsidRDefault="00F27D69">
      <w:pPr>
        <w:jc w:val="both"/>
        <w:rPr>
          <w:rStyle w:val="Zstupntext"/>
          <w:color w:val="000000" w:themeColor="text1"/>
        </w:rPr>
      </w:pPr>
    </w:p>
    <w:p w14:paraId="2FFCCB61" w14:textId="77777777" w:rsidR="00F27D69" w:rsidRPr="001D5D51" w:rsidRDefault="0068164E">
      <w:pPr>
        <w:ind w:firstLine="708"/>
        <w:jc w:val="both"/>
        <w:rPr>
          <w:rStyle w:val="Zstupntext"/>
          <w:color w:val="000000" w:themeColor="text1"/>
        </w:rPr>
      </w:pPr>
      <w:r w:rsidRPr="001D5D51">
        <w:rPr>
          <w:color w:val="000000" w:themeColor="text1"/>
        </w:rPr>
        <w:t xml:space="preserve">Návrh zákona je v súlade s Ústavou SR, ústavnými zákonmi SR a nálezmi Ústavného súdu SR, platným právnym poriadkom SR, medzinárodnými zmluvami a inými medzinárodnými dokumentmi, ktorými je Slovenská republika viazaná, ako aj s právom Európskej únie. </w:t>
      </w:r>
    </w:p>
    <w:p w14:paraId="57B9D970" w14:textId="77777777" w:rsidR="00F27D69" w:rsidRPr="001D5D51" w:rsidRDefault="00F27D69"/>
    <w:p w14:paraId="0FD77A4D" w14:textId="77777777" w:rsidR="00F27D69" w:rsidRPr="001D5D51" w:rsidRDefault="0068164E">
      <w:pPr>
        <w:spacing w:after="200" w:line="276" w:lineRule="auto"/>
      </w:pPr>
      <w:r w:rsidRPr="001D5D51">
        <w:br w:type="page"/>
      </w:r>
    </w:p>
    <w:p w14:paraId="569CEFF9" w14:textId="77777777" w:rsidR="007760EC" w:rsidRPr="00612E08" w:rsidRDefault="007760EC" w:rsidP="007760EC">
      <w:pPr>
        <w:jc w:val="center"/>
        <w:rPr>
          <w:b/>
          <w:sz w:val="28"/>
          <w:szCs w:val="28"/>
        </w:rPr>
      </w:pPr>
      <w:r w:rsidRPr="00612E08">
        <w:rPr>
          <w:b/>
          <w:sz w:val="28"/>
          <w:szCs w:val="28"/>
        </w:rPr>
        <w:lastRenderedPageBreak/>
        <w:t>Doložka vybraných vplyvov</w:t>
      </w:r>
    </w:p>
    <w:p w14:paraId="5DAF0DC7" w14:textId="77777777" w:rsidR="007760EC" w:rsidRPr="00612E08" w:rsidRDefault="007760EC" w:rsidP="007760EC">
      <w:pPr>
        <w:jc w:val="center"/>
        <w:rPr>
          <w:b/>
          <w:sz w:val="28"/>
          <w:szCs w:val="28"/>
        </w:rPr>
      </w:pPr>
    </w:p>
    <w:p w14:paraId="1FB081D5" w14:textId="77777777" w:rsidR="007760EC" w:rsidRPr="00612E08" w:rsidRDefault="007760EC" w:rsidP="007760EC">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7760EC" w:rsidRPr="00612E08" w14:paraId="0BB47AB2" w14:textId="77777777" w:rsidTr="00FC5213">
        <w:tc>
          <w:tcPr>
            <w:tcW w:w="9180" w:type="dxa"/>
            <w:gridSpan w:val="11"/>
            <w:tcBorders>
              <w:bottom w:val="single" w:sz="4" w:space="0" w:color="FFFFFF"/>
            </w:tcBorders>
            <w:shd w:val="clear" w:color="auto" w:fill="E2E2E2"/>
          </w:tcPr>
          <w:p w14:paraId="5171897E" w14:textId="77777777" w:rsidR="007760EC" w:rsidRPr="00612E08" w:rsidRDefault="007760EC" w:rsidP="00FC5213">
            <w:pPr>
              <w:numPr>
                <w:ilvl w:val="0"/>
                <w:numId w:val="1"/>
              </w:numPr>
              <w:ind w:left="426"/>
              <w:contextualSpacing/>
              <w:rPr>
                <w:rFonts w:eastAsia="Calibri"/>
                <w:b/>
              </w:rPr>
            </w:pPr>
            <w:r w:rsidRPr="00612E08">
              <w:rPr>
                <w:rFonts w:eastAsia="Calibri"/>
                <w:b/>
              </w:rPr>
              <w:t>Základné údaje</w:t>
            </w:r>
          </w:p>
        </w:tc>
      </w:tr>
      <w:tr w:rsidR="007760EC" w:rsidRPr="00612E08" w14:paraId="47E9C3C8" w14:textId="77777777" w:rsidTr="00FC5213">
        <w:tc>
          <w:tcPr>
            <w:tcW w:w="9180" w:type="dxa"/>
            <w:gridSpan w:val="11"/>
            <w:tcBorders>
              <w:bottom w:val="single" w:sz="4" w:space="0" w:color="FFFFFF"/>
            </w:tcBorders>
            <w:shd w:val="clear" w:color="auto" w:fill="E2E2E2"/>
          </w:tcPr>
          <w:p w14:paraId="25D3C2ED" w14:textId="77777777" w:rsidR="007760EC" w:rsidRPr="00612E08" w:rsidRDefault="007760EC" w:rsidP="00FC5213">
            <w:pPr>
              <w:spacing w:after="200" w:line="276" w:lineRule="auto"/>
              <w:ind w:left="142"/>
              <w:contextualSpacing/>
              <w:rPr>
                <w:rFonts w:eastAsia="Calibri"/>
                <w:b/>
              </w:rPr>
            </w:pPr>
            <w:r w:rsidRPr="00612E08">
              <w:rPr>
                <w:rFonts w:eastAsia="Calibri"/>
                <w:b/>
              </w:rPr>
              <w:t>Názov materiálu</w:t>
            </w:r>
          </w:p>
        </w:tc>
      </w:tr>
      <w:tr w:rsidR="007760EC" w:rsidRPr="00612E08" w14:paraId="3211ACBF" w14:textId="77777777" w:rsidTr="00FC5213">
        <w:tc>
          <w:tcPr>
            <w:tcW w:w="9180" w:type="dxa"/>
            <w:gridSpan w:val="11"/>
            <w:tcBorders>
              <w:top w:val="single" w:sz="4" w:space="0" w:color="FFFFFF"/>
              <w:bottom w:val="single" w:sz="4" w:space="0" w:color="auto"/>
            </w:tcBorders>
          </w:tcPr>
          <w:p w14:paraId="6E08A6A5" w14:textId="77777777" w:rsidR="007760EC" w:rsidRPr="00612E08" w:rsidRDefault="007760EC" w:rsidP="00FC5213">
            <w:pPr>
              <w:rPr>
                <w:sz w:val="20"/>
                <w:szCs w:val="20"/>
              </w:rPr>
            </w:pPr>
            <w:r w:rsidRPr="004E1EE7">
              <w:rPr>
                <w:color w:val="000000" w:themeColor="text1"/>
                <w:sz w:val="20"/>
                <w:lang w:eastAsia="cs-CZ"/>
              </w:rPr>
              <w:t>Návrh zákona</w:t>
            </w:r>
            <w:r w:rsidRPr="004E1EE7">
              <w:rPr>
                <w:color w:val="000000" w:themeColor="text1"/>
                <w:sz w:val="20"/>
              </w:rPr>
              <w:t xml:space="preserve">, </w:t>
            </w:r>
            <w:r w:rsidRPr="004E1EE7">
              <w:rPr>
                <w:color w:val="000000" w:themeColor="text1"/>
                <w:sz w:val="20"/>
                <w:lang w:eastAsia="cs-CZ"/>
              </w:rPr>
              <w:t>ktorým sa mení a dopĺňa zákon č. 54/2019 Z. z. o ochrane oznamovateľov protispoločenskej činnosti a o zmene a doplnení niektorých zákonov v znení zákona č. 189/2023 Z. z</w:t>
            </w:r>
            <w:r w:rsidRPr="00AC3D30">
              <w:rPr>
                <w:color w:val="000000" w:themeColor="text1"/>
                <w:lang w:eastAsia="cs-CZ"/>
              </w:rPr>
              <w:t>.</w:t>
            </w:r>
          </w:p>
          <w:p w14:paraId="5CEE03B9" w14:textId="77777777" w:rsidR="007760EC" w:rsidRPr="00612E08" w:rsidRDefault="007760EC" w:rsidP="00FC5213">
            <w:pPr>
              <w:rPr>
                <w:sz w:val="20"/>
                <w:szCs w:val="20"/>
              </w:rPr>
            </w:pPr>
          </w:p>
        </w:tc>
      </w:tr>
      <w:tr w:rsidR="007760EC" w:rsidRPr="00612E08" w14:paraId="4D18D05C" w14:textId="77777777" w:rsidTr="00FC5213">
        <w:tc>
          <w:tcPr>
            <w:tcW w:w="9180" w:type="dxa"/>
            <w:gridSpan w:val="11"/>
            <w:tcBorders>
              <w:top w:val="single" w:sz="4" w:space="0" w:color="auto"/>
              <w:left w:val="single" w:sz="4" w:space="0" w:color="auto"/>
              <w:bottom w:val="single" w:sz="4" w:space="0" w:color="FFFFFF"/>
            </w:tcBorders>
            <w:shd w:val="clear" w:color="auto" w:fill="E2E2E2"/>
          </w:tcPr>
          <w:p w14:paraId="6B1CDB60" w14:textId="77777777" w:rsidR="007760EC" w:rsidRPr="00612E08" w:rsidRDefault="007760EC" w:rsidP="00FC5213">
            <w:pPr>
              <w:spacing w:after="200" w:line="276" w:lineRule="auto"/>
              <w:ind w:left="142"/>
              <w:contextualSpacing/>
              <w:rPr>
                <w:rFonts w:eastAsia="Calibri"/>
                <w:b/>
              </w:rPr>
            </w:pPr>
            <w:r w:rsidRPr="00612E08">
              <w:rPr>
                <w:rFonts w:eastAsia="Calibri"/>
                <w:b/>
              </w:rPr>
              <w:t>Predkladateľ (a spolupredkladateľ)</w:t>
            </w:r>
          </w:p>
        </w:tc>
      </w:tr>
      <w:tr w:rsidR="007760EC" w:rsidRPr="00612E08" w14:paraId="6D6704A2" w14:textId="77777777" w:rsidTr="00FC5213">
        <w:tc>
          <w:tcPr>
            <w:tcW w:w="9180" w:type="dxa"/>
            <w:gridSpan w:val="11"/>
            <w:tcBorders>
              <w:top w:val="single" w:sz="4" w:space="0" w:color="FFFFFF"/>
              <w:left w:val="single" w:sz="4" w:space="0" w:color="auto"/>
              <w:bottom w:val="single" w:sz="4" w:space="0" w:color="auto"/>
            </w:tcBorders>
            <w:shd w:val="clear" w:color="auto" w:fill="FFFFFF"/>
          </w:tcPr>
          <w:p w14:paraId="4BFE3535" w14:textId="77777777" w:rsidR="007760EC" w:rsidRPr="004E1EE7" w:rsidRDefault="007760EC" w:rsidP="00FC5213">
            <w:pPr>
              <w:rPr>
                <w:color w:val="000000" w:themeColor="text1"/>
                <w:sz w:val="20"/>
                <w:lang w:eastAsia="cs-CZ"/>
              </w:rPr>
            </w:pPr>
            <w:r w:rsidRPr="004E1EE7">
              <w:rPr>
                <w:color w:val="000000" w:themeColor="text1"/>
                <w:sz w:val="20"/>
                <w:lang w:eastAsia="cs-CZ"/>
              </w:rPr>
              <w:t>Úrad vlády Slovenskej republiky</w:t>
            </w:r>
          </w:p>
          <w:p w14:paraId="724C1FA5" w14:textId="77777777" w:rsidR="007760EC" w:rsidRPr="00612E08" w:rsidRDefault="007760EC" w:rsidP="00FC5213">
            <w:pPr>
              <w:rPr>
                <w:sz w:val="20"/>
                <w:szCs w:val="20"/>
              </w:rPr>
            </w:pPr>
          </w:p>
        </w:tc>
      </w:tr>
      <w:tr w:rsidR="007760EC" w:rsidRPr="00612E08" w14:paraId="18C9B80D" w14:textId="77777777" w:rsidTr="00FC521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429B942" w14:textId="77777777" w:rsidR="007760EC" w:rsidRPr="00612E08" w:rsidRDefault="007760EC" w:rsidP="00FC5213">
            <w:pPr>
              <w:spacing w:after="200" w:line="276" w:lineRule="auto"/>
              <w:ind w:left="142"/>
              <w:contextualSpacing/>
              <w:rPr>
                <w:rFonts w:eastAsia="Calibri"/>
                <w:b/>
              </w:rPr>
            </w:pPr>
            <w:r w:rsidRPr="00612E08">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6FB4DCEF"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88CB35D" w14:textId="77777777" w:rsidR="007760EC" w:rsidRPr="00612E08" w:rsidRDefault="007760EC" w:rsidP="00FC5213">
            <w:pPr>
              <w:rPr>
                <w:sz w:val="20"/>
                <w:szCs w:val="20"/>
              </w:rPr>
            </w:pPr>
            <w:r w:rsidRPr="00612E08">
              <w:rPr>
                <w:sz w:val="20"/>
                <w:szCs w:val="20"/>
              </w:rPr>
              <w:t>Materiál nelegislatívnej povahy</w:t>
            </w:r>
          </w:p>
        </w:tc>
      </w:tr>
      <w:tr w:rsidR="007760EC" w:rsidRPr="00612E08" w14:paraId="75F4104A" w14:textId="77777777" w:rsidTr="00FC5213">
        <w:tc>
          <w:tcPr>
            <w:tcW w:w="4212" w:type="dxa"/>
            <w:gridSpan w:val="2"/>
            <w:vMerge/>
            <w:tcBorders>
              <w:top w:val="nil"/>
              <w:left w:val="single" w:sz="4" w:space="0" w:color="auto"/>
              <w:bottom w:val="single" w:sz="4" w:space="0" w:color="FFFFFF"/>
            </w:tcBorders>
            <w:shd w:val="clear" w:color="auto" w:fill="E2E2E2"/>
          </w:tcPr>
          <w:p w14:paraId="0DA68638" w14:textId="77777777" w:rsidR="007760EC" w:rsidRPr="00612E08" w:rsidRDefault="007760EC" w:rsidP="00FC5213">
            <w:pPr>
              <w:rPr>
                <w:sz w:val="20"/>
                <w:szCs w:val="20"/>
              </w:rPr>
            </w:pPr>
          </w:p>
        </w:tc>
        <w:sdt>
          <w:sdtPr>
            <w:rPr>
              <w:sz w:val="20"/>
              <w:szCs w:val="20"/>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4877CE5C" w14:textId="77777777" w:rsidR="007760EC" w:rsidRPr="00612E08" w:rsidRDefault="007760EC" w:rsidP="00FC5213">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37348C38" w14:textId="77777777" w:rsidR="007760EC" w:rsidRPr="00612E08" w:rsidRDefault="007760EC" w:rsidP="00FC5213">
            <w:pPr>
              <w:ind w:left="175" w:hanging="175"/>
              <w:rPr>
                <w:sz w:val="20"/>
                <w:szCs w:val="20"/>
              </w:rPr>
            </w:pPr>
            <w:r w:rsidRPr="00612E08">
              <w:rPr>
                <w:sz w:val="20"/>
                <w:szCs w:val="20"/>
              </w:rPr>
              <w:t>Materiál legislatívnej povahy</w:t>
            </w:r>
          </w:p>
        </w:tc>
      </w:tr>
      <w:tr w:rsidR="007760EC" w:rsidRPr="00612E08" w14:paraId="5A245F24" w14:textId="77777777" w:rsidTr="00FC5213">
        <w:tc>
          <w:tcPr>
            <w:tcW w:w="4212" w:type="dxa"/>
            <w:gridSpan w:val="2"/>
            <w:vMerge/>
            <w:tcBorders>
              <w:top w:val="nil"/>
              <w:left w:val="single" w:sz="4" w:space="0" w:color="auto"/>
              <w:bottom w:val="single" w:sz="4" w:space="0" w:color="auto"/>
            </w:tcBorders>
            <w:shd w:val="clear" w:color="auto" w:fill="E2E2E2"/>
          </w:tcPr>
          <w:p w14:paraId="2F21DFD2" w14:textId="77777777" w:rsidR="007760EC" w:rsidRPr="00612E08" w:rsidRDefault="007760EC" w:rsidP="00FC5213">
            <w:pPr>
              <w:rPr>
                <w:sz w:val="20"/>
                <w:szCs w:val="20"/>
              </w:rPr>
            </w:pPr>
          </w:p>
        </w:tc>
        <w:sdt>
          <w:sdtPr>
            <w:rPr>
              <w:sz w:val="20"/>
              <w:szCs w:val="20"/>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4194355C"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6DCFDB7E" w14:textId="77777777" w:rsidR="007760EC" w:rsidRPr="00612E08" w:rsidRDefault="007760EC" w:rsidP="00FC5213">
            <w:pPr>
              <w:rPr>
                <w:sz w:val="20"/>
                <w:szCs w:val="20"/>
              </w:rPr>
            </w:pPr>
            <w:r w:rsidRPr="00612E08">
              <w:rPr>
                <w:sz w:val="20"/>
                <w:szCs w:val="20"/>
              </w:rPr>
              <w:t>Transpozícia/ implementácia práva EÚ</w:t>
            </w:r>
          </w:p>
        </w:tc>
      </w:tr>
      <w:tr w:rsidR="007760EC" w:rsidRPr="00612E08" w14:paraId="44889A1E" w14:textId="77777777" w:rsidTr="00FC5213">
        <w:tc>
          <w:tcPr>
            <w:tcW w:w="9180" w:type="dxa"/>
            <w:gridSpan w:val="11"/>
            <w:tcBorders>
              <w:top w:val="single" w:sz="4" w:space="0" w:color="auto"/>
              <w:left w:val="single" w:sz="4" w:space="0" w:color="auto"/>
              <w:bottom w:val="single" w:sz="4" w:space="0" w:color="FFFFFF"/>
            </w:tcBorders>
            <w:shd w:val="clear" w:color="auto" w:fill="FFFFFF"/>
          </w:tcPr>
          <w:p w14:paraId="4062D759" w14:textId="77777777" w:rsidR="007760EC" w:rsidRPr="00612E08" w:rsidRDefault="007760EC" w:rsidP="00FC5213">
            <w:pPr>
              <w:rPr>
                <w:i/>
                <w:sz w:val="20"/>
                <w:szCs w:val="20"/>
              </w:rPr>
            </w:pPr>
            <w:r w:rsidRPr="00612E08">
              <w:rPr>
                <w:i/>
                <w:sz w:val="20"/>
                <w:szCs w:val="20"/>
              </w:rPr>
              <w:t>V prípade transpozície/implementácie uveďte zoznam transponovaných/implementovaných predpisov:</w:t>
            </w:r>
          </w:p>
          <w:p w14:paraId="2AEC410F" w14:textId="77777777" w:rsidR="007760EC" w:rsidRPr="00612E08" w:rsidRDefault="007760EC" w:rsidP="00FC5213">
            <w:pPr>
              <w:rPr>
                <w:sz w:val="20"/>
                <w:szCs w:val="20"/>
              </w:rPr>
            </w:pPr>
          </w:p>
        </w:tc>
      </w:tr>
      <w:tr w:rsidR="007760EC" w:rsidRPr="00612E08" w14:paraId="5A2ACECE" w14:textId="77777777" w:rsidTr="00FC521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78D372E" w14:textId="77777777" w:rsidR="007760EC" w:rsidRPr="00612E08" w:rsidRDefault="007760EC" w:rsidP="00FC5213">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0F8AC817" w14:textId="77777777" w:rsidR="007760EC" w:rsidRPr="00612E08" w:rsidRDefault="007760EC" w:rsidP="00FC5213">
            <w:pPr>
              <w:rPr>
                <w:i/>
                <w:sz w:val="20"/>
                <w:szCs w:val="20"/>
              </w:rPr>
            </w:pPr>
          </w:p>
        </w:tc>
      </w:tr>
      <w:tr w:rsidR="007760EC" w:rsidRPr="00612E08" w14:paraId="5740BB65" w14:textId="77777777" w:rsidTr="00FC521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74C945F" w14:textId="77777777" w:rsidR="007760EC" w:rsidRPr="00612E08" w:rsidRDefault="007760EC" w:rsidP="00FC5213">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FE4CAB2" w14:textId="77777777" w:rsidR="007760EC" w:rsidRPr="00612E08" w:rsidRDefault="007760EC" w:rsidP="00FC5213">
            <w:pPr>
              <w:rPr>
                <w:i/>
                <w:sz w:val="20"/>
                <w:szCs w:val="20"/>
              </w:rPr>
            </w:pPr>
          </w:p>
        </w:tc>
      </w:tr>
      <w:tr w:rsidR="007760EC" w:rsidRPr="00612E08" w14:paraId="2CF4F40E" w14:textId="77777777" w:rsidTr="00FC5213">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961FC63" w14:textId="77777777" w:rsidR="007760EC" w:rsidRPr="00612E08" w:rsidRDefault="007760EC" w:rsidP="00FC5213">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6F1C54FA" w14:textId="77777777" w:rsidR="007760EC" w:rsidRPr="00612E08" w:rsidRDefault="007760EC" w:rsidP="00FC5213">
            <w:pPr>
              <w:rPr>
                <w:i/>
                <w:sz w:val="20"/>
                <w:szCs w:val="20"/>
              </w:rPr>
            </w:pPr>
          </w:p>
        </w:tc>
      </w:tr>
      <w:tr w:rsidR="007760EC" w:rsidRPr="00612E08" w14:paraId="72D883A3" w14:textId="77777777" w:rsidTr="00FC521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C439307" w14:textId="77777777" w:rsidR="007760EC" w:rsidRPr="00612E08" w:rsidRDefault="007760EC" w:rsidP="00FC5213">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576C5A7E" w14:textId="77777777" w:rsidR="007760EC" w:rsidRPr="00612E08" w:rsidRDefault="007760EC" w:rsidP="00FC5213">
            <w:pPr>
              <w:rPr>
                <w:i/>
                <w:sz w:val="20"/>
                <w:szCs w:val="20"/>
              </w:rPr>
            </w:pPr>
          </w:p>
        </w:tc>
      </w:tr>
      <w:tr w:rsidR="007760EC" w:rsidRPr="00612E08" w14:paraId="48B02200" w14:textId="77777777" w:rsidTr="00FC5213">
        <w:tc>
          <w:tcPr>
            <w:tcW w:w="9180" w:type="dxa"/>
            <w:gridSpan w:val="11"/>
            <w:tcBorders>
              <w:top w:val="single" w:sz="4" w:space="0" w:color="auto"/>
              <w:left w:val="nil"/>
              <w:bottom w:val="single" w:sz="4" w:space="0" w:color="auto"/>
              <w:right w:val="nil"/>
            </w:tcBorders>
            <w:shd w:val="clear" w:color="auto" w:fill="FFFFFF"/>
          </w:tcPr>
          <w:p w14:paraId="773F0BAF" w14:textId="77777777" w:rsidR="007760EC" w:rsidRPr="00612E08" w:rsidRDefault="007760EC" w:rsidP="00FC5213">
            <w:pPr>
              <w:rPr>
                <w:sz w:val="20"/>
                <w:szCs w:val="20"/>
              </w:rPr>
            </w:pPr>
          </w:p>
        </w:tc>
      </w:tr>
      <w:tr w:rsidR="007760EC" w:rsidRPr="00612E08" w14:paraId="4DFA2D3A" w14:textId="77777777" w:rsidTr="00FC521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815235B" w14:textId="77777777" w:rsidR="007760EC" w:rsidRPr="00612E08" w:rsidRDefault="007760EC" w:rsidP="00FC5213">
            <w:pPr>
              <w:numPr>
                <w:ilvl w:val="0"/>
                <w:numId w:val="1"/>
              </w:numPr>
              <w:ind w:left="426"/>
              <w:contextualSpacing/>
              <w:rPr>
                <w:rFonts w:eastAsia="Calibri"/>
                <w:b/>
              </w:rPr>
            </w:pPr>
            <w:r w:rsidRPr="00612E08">
              <w:rPr>
                <w:rFonts w:eastAsia="Calibri"/>
                <w:b/>
              </w:rPr>
              <w:t>Definovanie problému</w:t>
            </w:r>
          </w:p>
        </w:tc>
      </w:tr>
      <w:tr w:rsidR="007760EC" w:rsidRPr="004E1EE7" w14:paraId="3DA60D0C" w14:textId="77777777" w:rsidTr="00FC5213">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1A5FBBD" w14:textId="77777777" w:rsidR="007760EC" w:rsidRPr="004E1EE7" w:rsidRDefault="007760EC" w:rsidP="00FC5213">
            <w:pPr>
              <w:rPr>
                <w:color w:val="000000" w:themeColor="text1"/>
                <w:sz w:val="20"/>
                <w:lang w:eastAsia="cs-CZ"/>
              </w:rPr>
            </w:pPr>
            <w:r w:rsidRPr="004E1EE7">
              <w:rPr>
                <w:color w:val="000000" w:themeColor="text1"/>
                <w:sz w:val="20"/>
                <w:lang w:eastAsia="cs-CZ"/>
              </w:rPr>
              <w:t>Pretrvávajúce problémy spojené s nadmerným využívaním, respektíve zneužívaním inštitútu chráneného oznamovateľa. Z tohto dôvodu sa v predloženom návrhu zákona navrhuje vzhľadom na skúsenosti spojené s takýmto nadmerným využívaním, respektíve zneužívaním spomenutého inštitútu vykonať v zákone č. 54/2019 Z. z. o ochrane oznamovateľov protispoločenskej činnosti a o zmene a doplnení niektorých zákonov v znení zákona č. 189/2023 Z. z. niekoľko nevyhnutných zmien.</w:t>
            </w:r>
          </w:p>
          <w:p w14:paraId="27B74A31" w14:textId="77777777" w:rsidR="007760EC" w:rsidRPr="004E1EE7" w:rsidRDefault="007760EC" w:rsidP="00FC5213">
            <w:pPr>
              <w:rPr>
                <w:color w:val="000000" w:themeColor="text1"/>
                <w:sz w:val="20"/>
                <w:lang w:eastAsia="cs-CZ"/>
              </w:rPr>
            </w:pPr>
          </w:p>
        </w:tc>
      </w:tr>
      <w:tr w:rsidR="007760EC" w:rsidRPr="00612E08" w14:paraId="4CE1A643" w14:textId="77777777" w:rsidTr="00FC5213">
        <w:tc>
          <w:tcPr>
            <w:tcW w:w="9180" w:type="dxa"/>
            <w:gridSpan w:val="11"/>
            <w:tcBorders>
              <w:top w:val="single" w:sz="4" w:space="0" w:color="auto"/>
              <w:left w:val="single" w:sz="4" w:space="0" w:color="auto"/>
              <w:bottom w:val="nil"/>
              <w:right w:val="single" w:sz="4" w:space="0" w:color="auto"/>
            </w:tcBorders>
            <w:shd w:val="clear" w:color="auto" w:fill="E2E2E2"/>
          </w:tcPr>
          <w:p w14:paraId="264F57A2" w14:textId="77777777" w:rsidR="007760EC" w:rsidRPr="00612E08" w:rsidRDefault="007760EC" w:rsidP="00FC5213">
            <w:pPr>
              <w:numPr>
                <w:ilvl w:val="0"/>
                <w:numId w:val="1"/>
              </w:numPr>
              <w:ind w:left="426"/>
              <w:contextualSpacing/>
              <w:rPr>
                <w:rFonts w:eastAsia="Calibri"/>
                <w:b/>
              </w:rPr>
            </w:pPr>
            <w:r w:rsidRPr="00612E08">
              <w:rPr>
                <w:rFonts w:eastAsia="Calibri"/>
                <w:b/>
              </w:rPr>
              <w:t>Ciele a výsledný stav</w:t>
            </w:r>
          </w:p>
        </w:tc>
      </w:tr>
      <w:tr w:rsidR="007760EC" w:rsidRPr="00612E08" w14:paraId="00D99412" w14:textId="77777777" w:rsidTr="00FC5213">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7B42BF7" w14:textId="77777777" w:rsidR="007760EC" w:rsidRPr="004E1EE7" w:rsidRDefault="007760EC" w:rsidP="00FC5213">
            <w:pPr>
              <w:rPr>
                <w:color w:val="000000" w:themeColor="text1"/>
                <w:sz w:val="20"/>
                <w:lang w:eastAsia="cs-CZ"/>
              </w:rPr>
            </w:pPr>
            <w:r w:rsidRPr="004E1EE7">
              <w:rPr>
                <w:color w:val="000000" w:themeColor="text1"/>
                <w:sz w:val="20"/>
                <w:lang w:eastAsia="cs-CZ"/>
              </w:rPr>
              <w:t xml:space="preserve">Cieľom predkladaného návrhu zákona je reagovať na pretrvávajúce problémy spojené s nadmerným využívaním, respektíve zneužívaním inštitútu chráneného oznamovateľa. Z tohto dôvodu sa v predloženom návrhu zákona navrhuje vzhľadom na skúsenosti spojené s takýmto nadmerným využívaním, respektíve zneužívaním spomenutého inštitútu vykonať v zákone č. 54/2019 Z. z. o ochrane oznamovateľov protispoločenskej činnosti a o zmene a doplnení niektorých zákonov v znení zákona č. 189/2023 Z. z. niekoľko nevyhnutných zmien. </w:t>
            </w:r>
          </w:p>
          <w:p w14:paraId="26074B1E" w14:textId="77777777" w:rsidR="007760EC" w:rsidRPr="00612E08" w:rsidRDefault="007760EC" w:rsidP="00FC5213">
            <w:pPr>
              <w:rPr>
                <w:sz w:val="20"/>
                <w:szCs w:val="20"/>
              </w:rPr>
            </w:pPr>
          </w:p>
        </w:tc>
      </w:tr>
      <w:tr w:rsidR="007760EC" w:rsidRPr="00612E08" w14:paraId="713BF4A0" w14:textId="77777777" w:rsidTr="00FC5213">
        <w:tc>
          <w:tcPr>
            <w:tcW w:w="9180" w:type="dxa"/>
            <w:gridSpan w:val="11"/>
            <w:tcBorders>
              <w:top w:val="single" w:sz="4" w:space="0" w:color="auto"/>
              <w:left w:val="single" w:sz="4" w:space="0" w:color="auto"/>
              <w:bottom w:val="nil"/>
              <w:right w:val="single" w:sz="4" w:space="0" w:color="auto"/>
            </w:tcBorders>
            <w:shd w:val="clear" w:color="auto" w:fill="E2E2E2"/>
          </w:tcPr>
          <w:p w14:paraId="361225AB" w14:textId="77777777" w:rsidR="007760EC" w:rsidRPr="00612E08" w:rsidRDefault="007760EC" w:rsidP="00FC5213">
            <w:pPr>
              <w:numPr>
                <w:ilvl w:val="0"/>
                <w:numId w:val="1"/>
              </w:numPr>
              <w:ind w:left="426"/>
              <w:contextualSpacing/>
              <w:rPr>
                <w:rFonts w:eastAsia="Calibri"/>
                <w:b/>
              </w:rPr>
            </w:pPr>
            <w:r w:rsidRPr="00612E08">
              <w:rPr>
                <w:rFonts w:eastAsia="Calibri"/>
                <w:b/>
              </w:rPr>
              <w:t>Dotknuté subjekty</w:t>
            </w:r>
          </w:p>
        </w:tc>
      </w:tr>
      <w:tr w:rsidR="007760EC" w:rsidRPr="00612E08" w14:paraId="1E34B5D6" w14:textId="77777777" w:rsidTr="00FC5213">
        <w:tc>
          <w:tcPr>
            <w:tcW w:w="9180" w:type="dxa"/>
            <w:gridSpan w:val="11"/>
            <w:tcBorders>
              <w:top w:val="nil"/>
              <w:left w:val="single" w:sz="4" w:space="0" w:color="auto"/>
              <w:bottom w:val="single" w:sz="4" w:space="0" w:color="auto"/>
              <w:right w:val="single" w:sz="4" w:space="0" w:color="auto"/>
            </w:tcBorders>
            <w:shd w:val="clear" w:color="auto" w:fill="FFFFFF"/>
          </w:tcPr>
          <w:p w14:paraId="24248BD2" w14:textId="77777777" w:rsidR="007760EC" w:rsidRPr="004E1EE7" w:rsidRDefault="007760EC" w:rsidP="00FC5213">
            <w:pPr>
              <w:rPr>
                <w:color w:val="000000" w:themeColor="text1"/>
                <w:sz w:val="20"/>
                <w:lang w:eastAsia="cs-CZ"/>
              </w:rPr>
            </w:pPr>
            <w:r w:rsidRPr="004E1EE7">
              <w:rPr>
                <w:color w:val="000000" w:themeColor="text1"/>
                <w:sz w:val="20"/>
                <w:lang w:eastAsia="cs-CZ"/>
              </w:rPr>
              <w:t>Štátne orgány, právnické osoby, fyzické osoby</w:t>
            </w:r>
          </w:p>
          <w:p w14:paraId="2914CE22" w14:textId="77777777" w:rsidR="007760EC" w:rsidRPr="00612E08" w:rsidRDefault="007760EC" w:rsidP="00FC5213">
            <w:pPr>
              <w:rPr>
                <w:i/>
                <w:sz w:val="20"/>
                <w:szCs w:val="20"/>
              </w:rPr>
            </w:pPr>
          </w:p>
        </w:tc>
      </w:tr>
      <w:tr w:rsidR="007760EC" w:rsidRPr="00612E08" w14:paraId="4D3D9122" w14:textId="77777777" w:rsidTr="00FC5213">
        <w:tc>
          <w:tcPr>
            <w:tcW w:w="9180" w:type="dxa"/>
            <w:gridSpan w:val="11"/>
            <w:tcBorders>
              <w:top w:val="single" w:sz="4" w:space="0" w:color="auto"/>
              <w:left w:val="single" w:sz="4" w:space="0" w:color="auto"/>
              <w:bottom w:val="nil"/>
              <w:right w:val="single" w:sz="4" w:space="0" w:color="auto"/>
            </w:tcBorders>
            <w:shd w:val="clear" w:color="auto" w:fill="E2E2E2"/>
          </w:tcPr>
          <w:p w14:paraId="67309128" w14:textId="77777777" w:rsidR="007760EC" w:rsidRPr="00612E08" w:rsidRDefault="007760EC" w:rsidP="00FC5213">
            <w:pPr>
              <w:numPr>
                <w:ilvl w:val="0"/>
                <w:numId w:val="1"/>
              </w:numPr>
              <w:ind w:left="426"/>
              <w:contextualSpacing/>
              <w:rPr>
                <w:rFonts w:eastAsia="Calibri"/>
                <w:b/>
              </w:rPr>
            </w:pPr>
            <w:r w:rsidRPr="00612E08">
              <w:rPr>
                <w:rFonts w:eastAsia="Calibri"/>
                <w:b/>
              </w:rPr>
              <w:t>Alternatívne riešenia</w:t>
            </w:r>
          </w:p>
        </w:tc>
      </w:tr>
      <w:tr w:rsidR="007760EC" w:rsidRPr="00612E08" w14:paraId="64A9584C" w14:textId="77777777" w:rsidTr="00FC5213">
        <w:trPr>
          <w:trHeight w:val="756"/>
        </w:trPr>
        <w:tc>
          <w:tcPr>
            <w:tcW w:w="9180" w:type="dxa"/>
            <w:gridSpan w:val="11"/>
            <w:tcBorders>
              <w:top w:val="nil"/>
              <w:left w:val="single" w:sz="4" w:space="0" w:color="auto"/>
              <w:bottom w:val="single" w:sz="4" w:space="0" w:color="auto"/>
              <w:right w:val="single" w:sz="4" w:space="0" w:color="auto"/>
            </w:tcBorders>
            <w:shd w:val="clear" w:color="auto" w:fill="FFFFFF"/>
          </w:tcPr>
          <w:p w14:paraId="4DF5AAE1" w14:textId="77777777" w:rsidR="007760EC" w:rsidRPr="004E1EE7" w:rsidRDefault="007760EC" w:rsidP="00FC5213">
            <w:pPr>
              <w:jc w:val="both"/>
              <w:rPr>
                <w:sz w:val="20"/>
                <w:szCs w:val="20"/>
              </w:rPr>
            </w:pPr>
            <w:r w:rsidRPr="004E1EE7">
              <w:rPr>
                <w:sz w:val="20"/>
                <w:szCs w:val="20"/>
              </w:rPr>
              <w:t>Bezpredmetné</w:t>
            </w:r>
          </w:p>
        </w:tc>
      </w:tr>
      <w:tr w:rsidR="007760EC" w:rsidRPr="00612E08" w14:paraId="443B7F30" w14:textId="77777777" w:rsidTr="00FC521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FAD3E4A" w14:textId="77777777" w:rsidR="007760EC" w:rsidRPr="00612E08" w:rsidRDefault="007760EC" w:rsidP="00FC5213">
            <w:pPr>
              <w:numPr>
                <w:ilvl w:val="0"/>
                <w:numId w:val="1"/>
              </w:numPr>
              <w:ind w:left="426"/>
              <w:contextualSpacing/>
              <w:rPr>
                <w:rFonts w:eastAsia="Calibri"/>
                <w:b/>
              </w:rPr>
            </w:pPr>
            <w:r w:rsidRPr="00612E08">
              <w:rPr>
                <w:rFonts w:eastAsia="Calibri"/>
                <w:b/>
              </w:rPr>
              <w:t>Vykonávacie predpisy</w:t>
            </w:r>
          </w:p>
        </w:tc>
      </w:tr>
      <w:tr w:rsidR="007760EC" w:rsidRPr="00612E08" w14:paraId="3A43BB6E" w14:textId="77777777" w:rsidTr="00FC5213">
        <w:tc>
          <w:tcPr>
            <w:tcW w:w="6203" w:type="dxa"/>
            <w:gridSpan w:val="7"/>
            <w:tcBorders>
              <w:top w:val="single" w:sz="4" w:space="0" w:color="FFFFFF"/>
              <w:left w:val="single" w:sz="4" w:space="0" w:color="auto"/>
              <w:bottom w:val="nil"/>
              <w:right w:val="nil"/>
            </w:tcBorders>
            <w:shd w:val="clear" w:color="auto" w:fill="FFFFFF"/>
          </w:tcPr>
          <w:p w14:paraId="398B3A44" w14:textId="77777777" w:rsidR="007760EC" w:rsidRPr="00612E08" w:rsidRDefault="007760EC" w:rsidP="00FC5213">
            <w:pPr>
              <w:rPr>
                <w:i/>
                <w:sz w:val="20"/>
                <w:szCs w:val="20"/>
              </w:rPr>
            </w:pPr>
            <w:r w:rsidRPr="00612E08">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D4716C6" w14:textId="77777777" w:rsidR="007760EC" w:rsidRPr="00612E08" w:rsidRDefault="007760EC" w:rsidP="00FC5213">
            <w:pPr>
              <w:jc w:val="center"/>
              <w:rPr>
                <w:b/>
                <w:sz w:val="20"/>
                <w:szCs w:val="20"/>
              </w:rPr>
            </w:pPr>
            <w:sdt>
              <w:sdtPr>
                <w:rPr>
                  <w:b/>
                  <w:sz w:val="20"/>
                  <w:szCs w:val="20"/>
                </w:rPr>
                <w:id w:val="1929613764"/>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B417C21" w14:textId="77777777" w:rsidR="007760EC" w:rsidRPr="00612E08" w:rsidRDefault="007760EC" w:rsidP="00FC5213">
            <w:pPr>
              <w:jc w:val="center"/>
              <w:rPr>
                <w:b/>
                <w:sz w:val="20"/>
                <w:szCs w:val="20"/>
              </w:rPr>
            </w:pPr>
            <w:sdt>
              <w:sdtPr>
                <w:rPr>
                  <w:b/>
                  <w:sz w:val="20"/>
                  <w:szCs w:val="20"/>
                </w:rPr>
                <w:id w:val="-1594626508"/>
                <w14:checkbox>
                  <w14:checked w14:val="1"/>
                  <w14:checkedState w14:val="2612" w14:font="MS Gothic"/>
                  <w14:uncheckedState w14:val="2610" w14:font="MS Gothic"/>
                </w14:checkbox>
              </w:sdtPr>
              <w:sdtContent>
                <w:r>
                  <w:rPr>
                    <w:rFonts w:ascii="MS Gothic" w:eastAsia="MS Gothic" w:hAnsi="MS Gothic" w:hint="eastAsia"/>
                    <w:b/>
                    <w:sz w:val="20"/>
                    <w:szCs w:val="20"/>
                  </w:rPr>
                  <w:t>☒</w:t>
                </w:r>
              </w:sdtContent>
            </w:sdt>
            <w:r w:rsidRPr="00612E08">
              <w:rPr>
                <w:b/>
                <w:sz w:val="20"/>
                <w:szCs w:val="20"/>
              </w:rPr>
              <w:t xml:space="preserve">  Nie</w:t>
            </w:r>
          </w:p>
        </w:tc>
      </w:tr>
      <w:tr w:rsidR="007760EC" w:rsidRPr="00612E08" w14:paraId="6BDF55E4" w14:textId="77777777" w:rsidTr="00FC5213">
        <w:tc>
          <w:tcPr>
            <w:tcW w:w="9180" w:type="dxa"/>
            <w:gridSpan w:val="11"/>
            <w:tcBorders>
              <w:top w:val="nil"/>
              <w:left w:val="single" w:sz="4" w:space="0" w:color="auto"/>
              <w:bottom w:val="single" w:sz="4" w:space="0" w:color="auto"/>
              <w:right w:val="single" w:sz="4" w:space="0" w:color="auto"/>
            </w:tcBorders>
            <w:shd w:val="clear" w:color="auto" w:fill="FFFFFF"/>
          </w:tcPr>
          <w:p w14:paraId="537A42B3" w14:textId="77777777" w:rsidR="007760EC" w:rsidRPr="00612E08" w:rsidRDefault="007760EC" w:rsidP="00FC5213">
            <w:pPr>
              <w:rPr>
                <w:i/>
                <w:sz w:val="20"/>
                <w:szCs w:val="20"/>
              </w:rPr>
            </w:pPr>
            <w:r w:rsidRPr="00612E08">
              <w:rPr>
                <w:i/>
                <w:sz w:val="20"/>
                <w:szCs w:val="20"/>
              </w:rPr>
              <w:t>Ak áno, uveďte ktoré oblasti budú nimi upravené, resp. ktorých vykonávacích predpisov sa zmena dotkne:</w:t>
            </w:r>
          </w:p>
          <w:p w14:paraId="145DC1C5" w14:textId="77777777" w:rsidR="007760EC" w:rsidRPr="00612E08" w:rsidRDefault="007760EC" w:rsidP="00FC5213">
            <w:pPr>
              <w:rPr>
                <w:sz w:val="20"/>
                <w:szCs w:val="20"/>
              </w:rPr>
            </w:pPr>
          </w:p>
        </w:tc>
      </w:tr>
      <w:tr w:rsidR="007760EC" w:rsidRPr="00612E08" w14:paraId="775D66BA" w14:textId="77777777" w:rsidTr="00FC521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1EEF5ED" w14:textId="77777777" w:rsidR="007760EC" w:rsidRPr="00612E08" w:rsidRDefault="007760EC" w:rsidP="00FC5213">
            <w:pPr>
              <w:numPr>
                <w:ilvl w:val="0"/>
                <w:numId w:val="1"/>
              </w:numPr>
              <w:ind w:left="426"/>
              <w:contextualSpacing/>
              <w:rPr>
                <w:rFonts w:eastAsia="Calibri"/>
                <w:b/>
              </w:rPr>
            </w:pPr>
            <w:r w:rsidRPr="00612E08">
              <w:rPr>
                <w:rFonts w:eastAsia="Calibri"/>
                <w:b/>
              </w:rPr>
              <w:t xml:space="preserve">Transpozícia/implementácia práva EÚ </w:t>
            </w:r>
          </w:p>
        </w:tc>
      </w:tr>
      <w:tr w:rsidR="007760EC" w:rsidRPr="00612E08" w14:paraId="0AA1E631" w14:textId="77777777" w:rsidTr="00FC5213">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7760EC" w:rsidRPr="00612E08" w14:paraId="4EE92BE3" w14:textId="77777777" w:rsidTr="00FC5213">
              <w:trPr>
                <w:trHeight w:val="90"/>
              </w:trPr>
              <w:tc>
                <w:tcPr>
                  <w:tcW w:w="8643" w:type="dxa"/>
                </w:tcPr>
                <w:p w14:paraId="553AE17C" w14:textId="77777777" w:rsidR="007760EC" w:rsidRPr="00612E08" w:rsidRDefault="007760EC" w:rsidP="00FC5213">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7760EC" w:rsidRPr="00612E08" w14:paraId="13397806" w14:textId="77777777" w:rsidTr="00FC5213">
              <w:trPr>
                <w:trHeight w:val="296"/>
              </w:trPr>
              <w:tc>
                <w:tcPr>
                  <w:tcW w:w="8643" w:type="dxa"/>
                </w:tcPr>
                <w:p w14:paraId="62457523" w14:textId="77777777" w:rsidR="007760EC" w:rsidRPr="00612E08" w:rsidRDefault="007760EC" w:rsidP="00FC5213">
                  <w:pPr>
                    <w:pStyle w:val="Default"/>
                    <w:rPr>
                      <w:b/>
                      <w:iCs/>
                      <w:color w:val="auto"/>
                      <w:sz w:val="20"/>
                      <w:szCs w:val="20"/>
                    </w:rPr>
                  </w:pPr>
                  <w:r w:rsidRPr="00612E08">
                    <w:rPr>
                      <w:b/>
                      <w:iCs/>
                      <w:color w:val="auto"/>
                      <w:sz w:val="20"/>
                      <w:szCs w:val="20"/>
                    </w:rPr>
                    <w:lastRenderedPageBreak/>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1DAB991B" w14:textId="77777777" w:rsidR="007760EC" w:rsidRPr="00612E08" w:rsidRDefault="007760EC" w:rsidP="00FC5213">
                  <w:pPr>
                    <w:pStyle w:val="Default"/>
                    <w:rPr>
                      <w:i/>
                      <w:iCs/>
                      <w:color w:val="auto"/>
                      <w:sz w:val="20"/>
                      <w:szCs w:val="20"/>
                    </w:rPr>
                  </w:pPr>
                </w:p>
                <w:p w14:paraId="5B1D6F08" w14:textId="77777777" w:rsidR="007760EC" w:rsidRPr="00612E08" w:rsidRDefault="007760EC" w:rsidP="00FC5213">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7760EC" w:rsidRPr="00612E08" w14:paraId="052FC16B" w14:textId="77777777" w:rsidTr="00FC5213">
              <w:trPr>
                <w:trHeight w:val="296"/>
              </w:trPr>
              <w:tc>
                <w:tcPr>
                  <w:tcW w:w="8643" w:type="dxa"/>
                </w:tcPr>
                <w:p w14:paraId="1EBE4A29" w14:textId="77777777" w:rsidR="007760EC" w:rsidRPr="00612E08" w:rsidRDefault="007760EC" w:rsidP="00FC5213">
                  <w:pPr>
                    <w:pStyle w:val="Default"/>
                    <w:rPr>
                      <w:rFonts w:ascii="Segoe UI Symbol" w:hAnsi="Segoe UI Symbol" w:cs="Segoe UI Symbol"/>
                      <w:color w:val="auto"/>
                      <w:sz w:val="20"/>
                      <w:szCs w:val="20"/>
                    </w:rPr>
                  </w:pPr>
                </w:p>
              </w:tc>
            </w:tr>
          </w:tbl>
          <w:p w14:paraId="141BD408" w14:textId="77777777" w:rsidR="007760EC" w:rsidRPr="00612E08" w:rsidRDefault="007760EC" w:rsidP="00FC5213">
            <w:pPr>
              <w:jc w:val="both"/>
              <w:rPr>
                <w:i/>
                <w:sz w:val="20"/>
                <w:szCs w:val="20"/>
              </w:rPr>
            </w:pPr>
          </w:p>
        </w:tc>
      </w:tr>
      <w:tr w:rsidR="007760EC" w:rsidRPr="00612E08" w14:paraId="62B6C3F1" w14:textId="77777777" w:rsidTr="00FC5213">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0088A85" w14:textId="77777777" w:rsidR="007760EC" w:rsidRPr="00612E08" w:rsidRDefault="007760EC" w:rsidP="00FC5213">
            <w:pPr>
              <w:jc w:val="center"/>
              <w:rPr>
                <w:sz w:val="20"/>
                <w:szCs w:val="20"/>
              </w:rPr>
            </w:pPr>
          </w:p>
        </w:tc>
      </w:tr>
      <w:tr w:rsidR="007760EC" w:rsidRPr="00612E08" w14:paraId="2DE307AE" w14:textId="77777777" w:rsidTr="00FC521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887D42A" w14:textId="77777777" w:rsidR="007760EC" w:rsidRPr="00612E08" w:rsidRDefault="007760EC" w:rsidP="00FC5213">
            <w:pPr>
              <w:numPr>
                <w:ilvl w:val="0"/>
                <w:numId w:val="1"/>
              </w:numPr>
              <w:ind w:left="426"/>
              <w:contextualSpacing/>
              <w:rPr>
                <w:rFonts w:eastAsia="Calibri"/>
                <w:b/>
              </w:rPr>
            </w:pPr>
            <w:r w:rsidRPr="00612E08">
              <w:rPr>
                <w:rFonts w:eastAsia="Calibri"/>
                <w:b/>
              </w:rPr>
              <w:t>Preskúmanie účelnosti</w:t>
            </w:r>
          </w:p>
        </w:tc>
      </w:tr>
      <w:tr w:rsidR="007760EC" w:rsidRPr="00612E08" w14:paraId="005FD6BC" w14:textId="77777777" w:rsidTr="00FC5213">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9AA6F6E" w14:textId="77777777" w:rsidR="007760EC" w:rsidRPr="004E1EE7" w:rsidRDefault="007760EC" w:rsidP="00FC5213">
            <w:pPr>
              <w:rPr>
                <w:sz w:val="20"/>
                <w:szCs w:val="20"/>
              </w:rPr>
            </w:pPr>
            <w:r w:rsidRPr="004E1EE7">
              <w:rPr>
                <w:sz w:val="20"/>
                <w:szCs w:val="20"/>
              </w:rPr>
              <w:t>Priebežne</w:t>
            </w:r>
          </w:p>
          <w:p w14:paraId="1A81CB45" w14:textId="77777777" w:rsidR="007760EC" w:rsidRPr="00612E08" w:rsidRDefault="007760EC" w:rsidP="00FC5213">
            <w:pPr>
              <w:rPr>
                <w:i/>
                <w:sz w:val="20"/>
                <w:szCs w:val="20"/>
              </w:rPr>
            </w:pPr>
          </w:p>
        </w:tc>
      </w:tr>
      <w:tr w:rsidR="007760EC" w:rsidRPr="00612E08" w14:paraId="379F3A34" w14:textId="77777777" w:rsidTr="00FC5213">
        <w:tc>
          <w:tcPr>
            <w:tcW w:w="9180" w:type="dxa"/>
            <w:gridSpan w:val="11"/>
            <w:tcBorders>
              <w:top w:val="nil"/>
              <w:left w:val="nil"/>
              <w:bottom w:val="single" w:sz="4" w:space="0" w:color="auto"/>
              <w:right w:val="nil"/>
            </w:tcBorders>
            <w:shd w:val="clear" w:color="auto" w:fill="FFFFFF"/>
          </w:tcPr>
          <w:p w14:paraId="77BD9467" w14:textId="77777777" w:rsidR="007760EC" w:rsidRPr="00612E08" w:rsidRDefault="007760EC" w:rsidP="00FC5213">
            <w:pPr>
              <w:jc w:val="both"/>
              <w:rPr>
                <w:b/>
                <w:sz w:val="20"/>
                <w:szCs w:val="20"/>
              </w:rPr>
            </w:pPr>
          </w:p>
          <w:p w14:paraId="3EF336C5" w14:textId="77777777" w:rsidR="007760EC" w:rsidRPr="00612E08" w:rsidRDefault="007760EC" w:rsidP="00FC5213">
            <w:pPr>
              <w:jc w:val="both"/>
              <w:rPr>
                <w:b/>
                <w:sz w:val="20"/>
                <w:szCs w:val="20"/>
              </w:rPr>
            </w:pPr>
          </w:p>
          <w:p w14:paraId="1388F577" w14:textId="77777777" w:rsidR="007760EC" w:rsidRPr="00612E08" w:rsidRDefault="007760EC" w:rsidP="00FC5213">
            <w:pPr>
              <w:ind w:left="142" w:hanging="142"/>
              <w:jc w:val="both"/>
              <w:rPr>
                <w:sz w:val="20"/>
                <w:szCs w:val="20"/>
              </w:rPr>
            </w:pPr>
            <w:r w:rsidRPr="00612E08">
              <w:rPr>
                <w:sz w:val="20"/>
                <w:szCs w:val="20"/>
              </w:rPr>
              <w:t xml:space="preserve">* vyplniť iba v prípade, ak materiál nie je zahrnutý do Plánu práce vlády Slovenskej republiky alebo Plánu        legislatívnych úloh vlády Slovenskej republiky. </w:t>
            </w:r>
          </w:p>
          <w:p w14:paraId="083D9E2A" w14:textId="77777777" w:rsidR="007760EC" w:rsidRPr="00612E08" w:rsidRDefault="007760EC" w:rsidP="00FC5213">
            <w:pPr>
              <w:jc w:val="both"/>
              <w:rPr>
                <w:sz w:val="20"/>
                <w:szCs w:val="20"/>
              </w:rPr>
            </w:pPr>
            <w:r w:rsidRPr="00612E08">
              <w:rPr>
                <w:sz w:val="20"/>
                <w:szCs w:val="20"/>
              </w:rPr>
              <w:t>** vyplniť iba v prípade, ak sa záverečné posúdenie vybraných vplyvov uskutočnilo v zmysle bodu 9.1. jednotnej metodiky.</w:t>
            </w:r>
          </w:p>
          <w:p w14:paraId="3EE9731F" w14:textId="77777777" w:rsidR="007760EC" w:rsidRPr="00612E08" w:rsidRDefault="007760EC" w:rsidP="00FC5213">
            <w:pPr>
              <w:jc w:val="both"/>
              <w:rPr>
                <w:sz w:val="20"/>
                <w:szCs w:val="20"/>
              </w:rPr>
            </w:pPr>
            <w:r w:rsidRPr="00612E08">
              <w:rPr>
                <w:sz w:val="20"/>
                <w:szCs w:val="20"/>
              </w:rPr>
              <w:t>*** posudzovanie sa týka len zmien v I. a II. pilieri univerzálneho systému dôchodkového zabezpečenia s identifikovaným dopadom od 0,1 % HDP (vrátane) na dlhodobom horizonte.</w:t>
            </w:r>
          </w:p>
          <w:p w14:paraId="1CF23924" w14:textId="77777777" w:rsidR="007760EC" w:rsidRPr="00612E08" w:rsidRDefault="007760EC" w:rsidP="00FC5213">
            <w:pPr>
              <w:jc w:val="both"/>
              <w:rPr>
                <w:sz w:val="20"/>
                <w:szCs w:val="20"/>
              </w:rPr>
            </w:pPr>
          </w:p>
          <w:p w14:paraId="1386DB7E" w14:textId="77777777" w:rsidR="007760EC" w:rsidRPr="00612E08" w:rsidRDefault="007760EC" w:rsidP="00FC5213">
            <w:pPr>
              <w:jc w:val="both"/>
              <w:rPr>
                <w:b/>
                <w:sz w:val="20"/>
                <w:szCs w:val="20"/>
              </w:rPr>
            </w:pPr>
          </w:p>
        </w:tc>
      </w:tr>
      <w:tr w:rsidR="007760EC" w:rsidRPr="00612E08" w14:paraId="01E27518" w14:textId="77777777" w:rsidTr="00FC5213">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288B707" w14:textId="77777777" w:rsidR="007760EC" w:rsidRPr="00612E08" w:rsidRDefault="007760EC" w:rsidP="00FC5213">
            <w:pPr>
              <w:numPr>
                <w:ilvl w:val="0"/>
                <w:numId w:val="1"/>
              </w:numPr>
              <w:ind w:left="426"/>
              <w:contextualSpacing/>
              <w:rPr>
                <w:rFonts w:eastAsia="Calibri"/>
                <w:b/>
              </w:rPr>
            </w:pPr>
            <w:r w:rsidRPr="00612E08">
              <w:rPr>
                <w:rFonts w:eastAsia="Calibri"/>
                <w:b/>
              </w:rPr>
              <w:t>Vybrané vplyvy  materiálu</w:t>
            </w:r>
          </w:p>
        </w:tc>
      </w:tr>
      <w:tr w:rsidR="007760EC" w:rsidRPr="00612E08" w14:paraId="48D85E02" w14:textId="77777777" w:rsidTr="00FC5213">
        <w:tc>
          <w:tcPr>
            <w:tcW w:w="3812" w:type="dxa"/>
            <w:tcBorders>
              <w:top w:val="single" w:sz="4" w:space="0" w:color="auto"/>
              <w:left w:val="single" w:sz="4" w:space="0" w:color="auto"/>
              <w:bottom w:val="nil"/>
              <w:right w:val="single" w:sz="4" w:space="0" w:color="auto"/>
            </w:tcBorders>
            <w:shd w:val="clear" w:color="auto" w:fill="E2E2E2"/>
          </w:tcPr>
          <w:p w14:paraId="67B2BC69" w14:textId="77777777" w:rsidR="007760EC" w:rsidRPr="00612E08" w:rsidRDefault="007760EC" w:rsidP="00FC5213">
            <w:pPr>
              <w:rPr>
                <w:b/>
                <w:sz w:val="20"/>
                <w:szCs w:val="20"/>
              </w:rPr>
            </w:pPr>
            <w:r w:rsidRPr="00612E08">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4EF2E5CF"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14:paraId="576702A0" w14:textId="77777777" w:rsidR="007760EC" w:rsidRPr="00612E08" w:rsidRDefault="007760EC" w:rsidP="00FC5213">
            <w:pPr>
              <w:rPr>
                <w:b/>
                <w:sz w:val="20"/>
                <w:szCs w:val="20"/>
              </w:rPr>
            </w:pPr>
            <w:r w:rsidRPr="00612E08">
              <w:rPr>
                <w:b/>
                <w:sz w:val="20"/>
                <w:szCs w:val="20"/>
              </w:rPr>
              <w:t>Pozitívne</w:t>
            </w:r>
          </w:p>
        </w:tc>
        <w:sdt>
          <w:sdtPr>
            <w:rPr>
              <w:b/>
              <w:sz w:val="20"/>
              <w:szCs w:val="20"/>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25DC9875" w14:textId="77777777" w:rsidR="007760EC" w:rsidRPr="00612E08" w:rsidRDefault="007760EC" w:rsidP="00FC5213">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1AD17C4D" w14:textId="77777777" w:rsidR="007760EC" w:rsidRPr="00612E08" w:rsidRDefault="007760EC" w:rsidP="00FC5213">
            <w:pPr>
              <w:rPr>
                <w:b/>
                <w:sz w:val="20"/>
                <w:szCs w:val="20"/>
              </w:rPr>
            </w:pPr>
            <w:r w:rsidRPr="00612E08">
              <w:rPr>
                <w:b/>
                <w:sz w:val="20"/>
                <w:szCs w:val="20"/>
              </w:rPr>
              <w:t>Žiadne</w:t>
            </w:r>
          </w:p>
        </w:tc>
        <w:sdt>
          <w:sdtPr>
            <w:rPr>
              <w:b/>
              <w:sz w:val="20"/>
              <w:szCs w:val="20"/>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719A477F" w14:textId="77777777" w:rsidR="007760EC" w:rsidRPr="00612E08" w:rsidRDefault="007760EC" w:rsidP="00FC5213">
                <w:pPr>
                  <w:ind w:left="-107" w:right="-108"/>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46B5D5D0" w14:textId="77777777" w:rsidR="007760EC" w:rsidRPr="00612E08" w:rsidRDefault="007760EC" w:rsidP="00FC5213">
            <w:pPr>
              <w:ind w:left="34"/>
              <w:rPr>
                <w:b/>
                <w:sz w:val="20"/>
                <w:szCs w:val="20"/>
              </w:rPr>
            </w:pPr>
            <w:r w:rsidRPr="00612E08">
              <w:rPr>
                <w:b/>
                <w:sz w:val="20"/>
                <w:szCs w:val="20"/>
              </w:rPr>
              <w:t>Negatívne</w:t>
            </w:r>
          </w:p>
        </w:tc>
      </w:tr>
      <w:tr w:rsidR="007760EC" w:rsidRPr="00612E08" w14:paraId="7B8EAE00" w14:textId="77777777" w:rsidTr="00FC5213">
        <w:tc>
          <w:tcPr>
            <w:tcW w:w="3812" w:type="dxa"/>
            <w:tcBorders>
              <w:top w:val="nil"/>
              <w:left w:val="single" w:sz="4" w:space="0" w:color="auto"/>
              <w:bottom w:val="nil"/>
              <w:right w:val="single" w:sz="4" w:space="0" w:color="auto"/>
            </w:tcBorders>
            <w:shd w:val="clear" w:color="auto" w:fill="E2E2E2"/>
          </w:tcPr>
          <w:p w14:paraId="2F9B5D93" w14:textId="77777777" w:rsidR="007760EC" w:rsidRPr="00612E08" w:rsidRDefault="007760EC" w:rsidP="00FC5213">
            <w:pPr>
              <w:rPr>
                <w:sz w:val="20"/>
                <w:szCs w:val="20"/>
              </w:rPr>
            </w:pPr>
            <w:r w:rsidRPr="00612E08">
              <w:rPr>
                <w:sz w:val="20"/>
                <w:szCs w:val="20"/>
              </w:rPr>
              <w:t xml:space="preserve">    z toho rozpočtovo zabezpečené vplyvy,         </w:t>
            </w:r>
          </w:p>
          <w:p w14:paraId="7661AAFD" w14:textId="77777777" w:rsidR="007760EC" w:rsidRPr="00612E08" w:rsidRDefault="007760EC" w:rsidP="00FC5213">
            <w:pPr>
              <w:rPr>
                <w:sz w:val="20"/>
                <w:szCs w:val="20"/>
              </w:rPr>
            </w:pPr>
            <w:r w:rsidRPr="00612E08">
              <w:rPr>
                <w:sz w:val="20"/>
                <w:szCs w:val="20"/>
              </w:rPr>
              <w:t xml:space="preserve">    v prípade identifikovaného negatívneho </w:t>
            </w:r>
          </w:p>
          <w:p w14:paraId="1BE99CE8" w14:textId="77777777" w:rsidR="007760EC" w:rsidRPr="00612E08" w:rsidRDefault="007760EC" w:rsidP="00FC5213">
            <w:pPr>
              <w:rPr>
                <w:sz w:val="20"/>
                <w:szCs w:val="20"/>
              </w:rPr>
            </w:pPr>
            <w:r w:rsidRPr="00612E08">
              <w:rPr>
                <w:sz w:val="20"/>
                <w:szCs w:val="20"/>
              </w:rPr>
              <w:t xml:space="preserve">    vplyvu</w:t>
            </w:r>
          </w:p>
        </w:tc>
        <w:sdt>
          <w:sdtPr>
            <w:rPr>
              <w:sz w:val="20"/>
              <w:szCs w:val="20"/>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6C352075"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4D2B20D7" w14:textId="77777777" w:rsidR="007760EC" w:rsidRPr="00612E08" w:rsidRDefault="007760EC" w:rsidP="00FC5213">
            <w:pPr>
              <w:rPr>
                <w:sz w:val="20"/>
                <w:szCs w:val="20"/>
              </w:rPr>
            </w:pPr>
            <w:r w:rsidRPr="00612E08">
              <w:rPr>
                <w:sz w:val="20"/>
                <w:szCs w:val="20"/>
              </w:rPr>
              <w:t>Áno</w:t>
            </w:r>
          </w:p>
        </w:tc>
        <w:sdt>
          <w:sdtPr>
            <w:rPr>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0A97A729"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76F47535" w14:textId="77777777" w:rsidR="007760EC" w:rsidRPr="00612E08" w:rsidRDefault="007760EC" w:rsidP="00FC5213">
            <w:pPr>
              <w:rPr>
                <w:sz w:val="20"/>
                <w:szCs w:val="20"/>
              </w:rPr>
            </w:pPr>
            <w:r w:rsidRPr="00612E08">
              <w:rPr>
                <w:sz w:val="20"/>
                <w:szCs w:val="20"/>
              </w:rPr>
              <w:t>Nie</w:t>
            </w:r>
          </w:p>
        </w:tc>
        <w:sdt>
          <w:sdtPr>
            <w:rPr>
              <w:sz w:val="20"/>
              <w:szCs w:val="20"/>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1B415DA1" w14:textId="77777777" w:rsidR="007760EC" w:rsidRPr="00612E08" w:rsidRDefault="007760EC" w:rsidP="00FC5213">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35B1A834" w14:textId="77777777" w:rsidR="007760EC" w:rsidRPr="00612E08" w:rsidRDefault="007760EC" w:rsidP="00FC5213">
            <w:pPr>
              <w:ind w:left="34"/>
              <w:rPr>
                <w:sz w:val="20"/>
                <w:szCs w:val="20"/>
              </w:rPr>
            </w:pPr>
            <w:r w:rsidRPr="00612E08">
              <w:rPr>
                <w:sz w:val="20"/>
                <w:szCs w:val="20"/>
              </w:rPr>
              <w:t>Čiastočne</w:t>
            </w:r>
          </w:p>
        </w:tc>
      </w:tr>
      <w:tr w:rsidR="007760EC" w:rsidRPr="00612E08" w14:paraId="4FC630BF" w14:textId="77777777" w:rsidTr="00FC5213">
        <w:tc>
          <w:tcPr>
            <w:tcW w:w="3812" w:type="dxa"/>
            <w:tcBorders>
              <w:top w:val="nil"/>
              <w:left w:val="single" w:sz="4" w:space="0" w:color="auto"/>
              <w:bottom w:val="nil"/>
              <w:right w:val="single" w:sz="4" w:space="0" w:color="auto"/>
            </w:tcBorders>
            <w:shd w:val="clear" w:color="auto" w:fill="E2E2E2"/>
          </w:tcPr>
          <w:p w14:paraId="2BB63169" w14:textId="77777777" w:rsidR="007760EC" w:rsidRPr="00612E08" w:rsidRDefault="007760EC" w:rsidP="00FC5213">
            <w:pPr>
              <w:rPr>
                <w:b/>
                <w:sz w:val="20"/>
                <w:szCs w:val="20"/>
              </w:rPr>
            </w:pPr>
            <w:r w:rsidRPr="00612E08">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079242EB"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tcPr>
          <w:p w14:paraId="111DE693" w14:textId="77777777" w:rsidR="007760EC" w:rsidRPr="00612E08" w:rsidRDefault="007760EC" w:rsidP="00FC5213">
            <w:pPr>
              <w:rPr>
                <w:b/>
                <w:sz w:val="20"/>
                <w:szCs w:val="20"/>
              </w:rPr>
            </w:pPr>
            <w:r w:rsidRPr="00612E08">
              <w:rPr>
                <w:b/>
                <w:sz w:val="20"/>
                <w:szCs w:val="20"/>
              </w:rPr>
              <w:t>Pozitívne</w:t>
            </w:r>
          </w:p>
        </w:tc>
        <w:sdt>
          <w:sdtPr>
            <w:rPr>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43234788" w14:textId="77777777" w:rsidR="007760EC" w:rsidRPr="00612E08" w:rsidRDefault="007760EC" w:rsidP="00FC5213">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3B7BF3BD" w14:textId="77777777" w:rsidR="007760EC" w:rsidRPr="00612E08" w:rsidRDefault="007760EC" w:rsidP="00FC5213">
            <w:pPr>
              <w:rPr>
                <w:b/>
                <w:sz w:val="20"/>
                <w:szCs w:val="20"/>
              </w:rPr>
            </w:pPr>
            <w:r w:rsidRPr="00612E08">
              <w:rPr>
                <w:b/>
                <w:sz w:val="20"/>
                <w:szCs w:val="20"/>
              </w:rPr>
              <w:t>Žiadne</w:t>
            </w:r>
          </w:p>
        </w:tc>
        <w:sdt>
          <w:sdtPr>
            <w:rPr>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1D427081" w14:textId="77777777" w:rsidR="007760EC" w:rsidRPr="00612E08" w:rsidRDefault="007760EC" w:rsidP="00FC5213">
                <w:pPr>
                  <w:ind w:left="-107" w:right="-108"/>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18E2CC59" w14:textId="77777777" w:rsidR="007760EC" w:rsidRPr="00612E08" w:rsidRDefault="007760EC" w:rsidP="00FC5213">
            <w:pPr>
              <w:ind w:left="34"/>
              <w:rPr>
                <w:b/>
                <w:sz w:val="20"/>
                <w:szCs w:val="20"/>
              </w:rPr>
            </w:pPr>
            <w:r w:rsidRPr="00612E08">
              <w:rPr>
                <w:b/>
                <w:sz w:val="20"/>
                <w:szCs w:val="20"/>
              </w:rPr>
              <w:t>Negatívne</w:t>
            </w:r>
          </w:p>
        </w:tc>
      </w:tr>
      <w:tr w:rsidR="007760EC" w:rsidRPr="00612E08" w14:paraId="2030FB96" w14:textId="77777777" w:rsidTr="00FC5213">
        <w:tc>
          <w:tcPr>
            <w:tcW w:w="3812" w:type="dxa"/>
            <w:tcBorders>
              <w:top w:val="nil"/>
              <w:left w:val="single" w:sz="4" w:space="0" w:color="auto"/>
              <w:bottom w:val="single" w:sz="4" w:space="0" w:color="auto"/>
              <w:right w:val="single" w:sz="4" w:space="0" w:color="auto"/>
            </w:tcBorders>
            <w:shd w:val="clear" w:color="auto" w:fill="E2E2E2"/>
          </w:tcPr>
          <w:p w14:paraId="0148F4FE" w14:textId="77777777" w:rsidR="007760EC" w:rsidRPr="00612E08" w:rsidRDefault="007760EC" w:rsidP="00FC5213">
            <w:pPr>
              <w:ind w:left="171"/>
              <w:rPr>
                <w:sz w:val="20"/>
                <w:szCs w:val="20"/>
              </w:rPr>
            </w:pPr>
            <w:r w:rsidRPr="00612E08">
              <w:rPr>
                <w:sz w:val="20"/>
                <w:szCs w:val="20"/>
              </w:rPr>
              <w:t>z toho rozpočtovo zabezpečené vplyvy,</w:t>
            </w:r>
          </w:p>
          <w:p w14:paraId="66EB7370" w14:textId="77777777" w:rsidR="007760EC" w:rsidRPr="00612E08" w:rsidRDefault="007760EC" w:rsidP="00FC5213">
            <w:pPr>
              <w:ind w:left="171"/>
              <w:rPr>
                <w:sz w:val="20"/>
                <w:szCs w:val="20"/>
              </w:rPr>
            </w:pPr>
            <w:r w:rsidRPr="00612E08">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71B86E3F"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4B6A5508" w14:textId="77777777" w:rsidR="007760EC" w:rsidRPr="00612E08" w:rsidRDefault="007760EC" w:rsidP="00FC5213">
            <w:pPr>
              <w:rPr>
                <w:sz w:val="20"/>
                <w:szCs w:val="20"/>
              </w:rPr>
            </w:pPr>
            <w:r w:rsidRPr="00612E08">
              <w:rPr>
                <w:sz w:val="20"/>
                <w:szCs w:val="20"/>
              </w:rPr>
              <w:t>Áno</w:t>
            </w:r>
          </w:p>
        </w:tc>
        <w:sdt>
          <w:sdtPr>
            <w:rPr>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494CEE58"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14:paraId="27608907" w14:textId="77777777" w:rsidR="007760EC" w:rsidRPr="00612E08" w:rsidRDefault="007760EC" w:rsidP="00FC5213">
            <w:pPr>
              <w:rPr>
                <w:sz w:val="20"/>
                <w:szCs w:val="20"/>
              </w:rPr>
            </w:pPr>
            <w:r w:rsidRPr="00612E08">
              <w:rPr>
                <w:sz w:val="20"/>
                <w:szCs w:val="20"/>
              </w:rPr>
              <w:t>Nie</w:t>
            </w:r>
          </w:p>
        </w:tc>
        <w:sdt>
          <w:sdtPr>
            <w:rPr>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3D7589F7" w14:textId="77777777" w:rsidR="007760EC" w:rsidRPr="00612E08" w:rsidRDefault="007760EC" w:rsidP="00FC5213">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613A99F3" w14:textId="77777777" w:rsidR="007760EC" w:rsidRPr="00612E08" w:rsidRDefault="007760EC" w:rsidP="00FC5213">
            <w:pPr>
              <w:ind w:left="34"/>
              <w:rPr>
                <w:sz w:val="20"/>
                <w:szCs w:val="20"/>
              </w:rPr>
            </w:pPr>
            <w:r w:rsidRPr="00612E08">
              <w:rPr>
                <w:sz w:val="20"/>
                <w:szCs w:val="20"/>
              </w:rPr>
              <w:t>Čiastočne</w:t>
            </w:r>
          </w:p>
        </w:tc>
      </w:tr>
      <w:tr w:rsidR="007760EC" w:rsidRPr="00612E08" w14:paraId="24DC5F13" w14:textId="77777777" w:rsidTr="00FC5213">
        <w:tc>
          <w:tcPr>
            <w:tcW w:w="3812" w:type="dxa"/>
            <w:tcBorders>
              <w:top w:val="single" w:sz="4" w:space="0" w:color="auto"/>
              <w:left w:val="single" w:sz="4" w:space="0" w:color="auto"/>
              <w:bottom w:val="single" w:sz="4" w:space="0" w:color="auto"/>
              <w:right w:val="single" w:sz="4" w:space="0" w:color="auto"/>
            </w:tcBorders>
            <w:shd w:val="clear" w:color="auto" w:fill="E2E2E2"/>
          </w:tcPr>
          <w:p w14:paraId="12306A15" w14:textId="77777777" w:rsidR="007760EC" w:rsidRPr="00612E08" w:rsidRDefault="007760EC" w:rsidP="00FC5213">
            <w:pPr>
              <w:ind w:left="171"/>
              <w:rPr>
                <w:sz w:val="20"/>
                <w:szCs w:val="20"/>
              </w:rPr>
            </w:pPr>
            <w:r w:rsidRPr="00612E08">
              <w:rPr>
                <w:sz w:val="20"/>
                <w:szCs w:val="20"/>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66627122"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699B0675" w14:textId="77777777" w:rsidR="007760EC" w:rsidRPr="00612E08" w:rsidRDefault="007760EC" w:rsidP="00FC5213">
            <w:pPr>
              <w:rPr>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14:paraId="7B539FED" w14:textId="77777777" w:rsidR="007760EC" w:rsidRPr="00612E08" w:rsidRDefault="007760EC" w:rsidP="00FC5213">
            <w:pPr>
              <w:jc w:val="center"/>
              <w:rPr>
                <w:sz w:val="20"/>
                <w:szCs w:val="20"/>
              </w:rPr>
            </w:pPr>
          </w:p>
        </w:tc>
        <w:tc>
          <w:tcPr>
            <w:tcW w:w="1133" w:type="dxa"/>
            <w:tcBorders>
              <w:top w:val="single" w:sz="4" w:space="0" w:color="auto"/>
              <w:left w:val="nil"/>
              <w:bottom w:val="single" w:sz="4" w:space="0" w:color="auto"/>
              <w:right w:val="nil"/>
            </w:tcBorders>
            <w:vAlign w:val="center"/>
          </w:tcPr>
          <w:p w14:paraId="522B36BD" w14:textId="77777777" w:rsidR="007760EC" w:rsidRPr="00612E08" w:rsidRDefault="007760EC" w:rsidP="00FC5213">
            <w:pPr>
              <w:rPr>
                <w:sz w:val="20"/>
                <w:szCs w:val="20"/>
              </w:rPr>
            </w:pPr>
          </w:p>
        </w:tc>
        <w:sdt>
          <w:sdtPr>
            <w:rPr>
              <w:sz w:val="20"/>
              <w:szCs w:val="20"/>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5EDFE360" w14:textId="77777777" w:rsidR="007760EC" w:rsidRPr="00612E08" w:rsidRDefault="007760EC" w:rsidP="00FC5213">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4E22B73C" w14:textId="77777777" w:rsidR="007760EC" w:rsidRPr="00612E08" w:rsidRDefault="007760EC" w:rsidP="00FC5213">
            <w:pPr>
              <w:ind w:left="34"/>
              <w:rPr>
                <w:sz w:val="20"/>
                <w:szCs w:val="20"/>
              </w:rPr>
            </w:pPr>
            <w:r w:rsidRPr="00612E08">
              <w:rPr>
                <w:sz w:val="20"/>
                <w:szCs w:val="20"/>
              </w:rPr>
              <w:t>Nie</w:t>
            </w:r>
          </w:p>
        </w:tc>
      </w:tr>
      <w:tr w:rsidR="007760EC" w:rsidRPr="00612E08" w14:paraId="463C4760" w14:textId="77777777" w:rsidTr="00FC5213">
        <w:tc>
          <w:tcPr>
            <w:tcW w:w="3812" w:type="dxa"/>
            <w:tcBorders>
              <w:top w:val="single" w:sz="4" w:space="0" w:color="auto"/>
              <w:left w:val="single" w:sz="4" w:space="0" w:color="auto"/>
              <w:bottom w:val="single" w:sz="4" w:space="0" w:color="auto"/>
              <w:right w:val="single" w:sz="4" w:space="0" w:color="auto"/>
            </w:tcBorders>
            <w:shd w:val="clear" w:color="auto" w:fill="E2E2E2"/>
          </w:tcPr>
          <w:p w14:paraId="3538336B" w14:textId="77777777" w:rsidR="007760EC" w:rsidRPr="00612E08" w:rsidRDefault="007760EC" w:rsidP="00FC5213">
            <w:pPr>
              <w:rPr>
                <w:b/>
                <w:sz w:val="20"/>
                <w:szCs w:val="20"/>
              </w:rPr>
            </w:pPr>
            <w:r w:rsidRPr="00612E08">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48196FB4" w14:textId="77777777" w:rsidR="007760EC" w:rsidRPr="00612E08" w:rsidRDefault="007760EC" w:rsidP="00FC5213">
                <w:pPr>
                  <w:jc w:val="center"/>
                  <w:rPr>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12DF3272" w14:textId="77777777" w:rsidR="007760EC" w:rsidRPr="00612E08" w:rsidRDefault="007760EC" w:rsidP="00FC5213">
            <w:pPr>
              <w:rPr>
                <w:sz w:val="20"/>
                <w:szCs w:val="20"/>
              </w:rPr>
            </w:pPr>
            <w:r w:rsidRPr="00612E08">
              <w:rPr>
                <w:b/>
                <w:sz w:val="20"/>
                <w:szCs w:val="20"/>
              </w:rPr>
              <w:t>Pozitívne</w:t>
            </w:r>
          </w:p>
        </w:tc>
        <w:sdt>
          <w:sdtPr>
            <w:rPr>
              <w:b/>
              <w:sz w:val="20"/>
              <w:szCs w:val="20"/>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179F0207" w14:textId="77777777" w:rsidR="007760EC" w:rsidRPr="00612E08" w:rsidRDefault="007760EC" w:rsidP="00FC5213">
                <w:pPr>
                  <w:jc w:val="center"/>
                  <w:rPr>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4A1D8C60" w14:textId="77777777" w:rsidR="007760EC" w:rsidRPr="00612E08" w:rsidRDefault="007760EC" w:rsidP="00FC5213">
            <w:pPr>
              <w:rPr>
                <w:sz w:val="20"/>
                <w:szCs w:val="20"/>
              </w:rPr>
            </w:pPr>
            <w:r w:rsidRPr="00612E08">
              <w:rPr>
                <w:b/>
                <w:sz w:val="20"/>
                <w:szCs w:val="20"/>
              </w:rPr>
              <w:t>Žiadne</w:t>
            </w:r>
          </w:p>
        </w:tc>
        <w:sdt>
          <w:sdtPr>
            <w:rPr>
              <w:b/>
              <w:sz w:val="20"/>
              <w:szCs w:val="20"/>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6A9F23CD" w14:textId="77777777" w:rsidR="007760EC" w:rsidRPr="00612E08" w:rsidRDefault="007760EC" w:rsidP="00FC5213">
                <w:pPr>
                  <w:ind w:left="-107" w:right="-108"/>
                  <w:jc w:val="center"/>
                  <w:rPr>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762D6302" w14:textId="77777777" w:rsidR="007760EC" w:rsidRPr="00612E08" w:rsidRDefault="007760EC" w:rsidP="00FC5213">
            <w:pPr>
              <w:ind w:left="34"/>
              <w:rPr>
                <w:sz w:val="20"/>
                <w:szCs w:val="20"/>
              </w:rPr>
            </w:pPr>
            <w:r w:rsidRPr="00612E08">
              <w:rPr>
                <w:b/>
                <w:sz w:val="20"/>
                <w:szCs w:val="20"/>
              </w:rPr>
              <w:t>Negatívne</w:t>
            </w:r>
          </w:p>
        </w:tc>
      </w:tr>
      <w:tr w:rsidR="007760EC" w:rsidRPr="00612E08" w14:paraId="1559E523" w14:textId="77777777" w:rsidTr="00FC5213">
        <w:tc>
          <w:tcPr>
            <w:tcW w:w="3812" w:type="dxa"/>
            <w:tcBorders>
              <w:top w:val="single" w:sz="4" w:space="0" w:color="auto"/>
              <w:left w:val="single" w:sz="4" w:space="0" w:color="auto"/>
              <w:bottom w:val="nil"/>
              <w:right w:val="single" w:sz="4" w:space="0" w:color="auto"/>
            </w:tcBorders>
            <w:shd w:val="clear" w:color="auto" w:fill="E2E2E2"/>
          </w:tcPr>
          <w:p w14:paraId="118B0D43" w14:textId="77777777" w:rsidR="007760EC" w:rsidRPr="00612E08" w:rsidRDefault="007760EC" w:rsidP="00FC5213">
            <w:pPr>
              <w:rPr>
                <w:b/>
                <w:sz w:val="20"/>
                <w:szCs w:val="20"/>
              </w:rPr>
            </w:pPr>
            <w:r w:rsidRPr="00612E08">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1E887F96"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75935277" w14:textId="77777777" w:rsidR="007760EC" w:rsidRPr="00612E08" w:rsidRDefault="007760EC" w:rsidP="00FC5213">
            <w:pPr>
              <w:ind w:right="-108"/>
              <w:rPr>
                <w:b/>
                <w:sz w:val="20"/>
                <w:szCs w:val="20"/>
              </w:rPr>
            </w:pPr>
            <w:r w:rsidRPr="00612E08">
              <w:rPr>
                <w:b/>
                <w:sz w:val="20"/>
                <w:szCs w:val="20"/>
              </w:rPr>
              <w:t>Pozitívne</w:t>
            </w:r>
          </w:p>
        </w:tc>
        <w:sdt>
          <w:sdtPr>
            <w:rPr>
              <w:b/>
              <w:sz w:val="20"/>
              <w:szCs w:val="20"/>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2FCF892E" w14:textId="77777777" w:rsidR="007760EC" w:rsidRPr="00612E08" w:rsidRDefault="007760EC" w:rsidP="00FC5213">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47CE7D8E" w14:textId="77777777" w:rsidR="007760EC" w:rsidRPr="00612E08" w:rsidRDefault="007760EC" w:rsidP="00FC5213">
            <w:pPr>
              <w:rPr>
                <w:b/>
                <w:sz w:val="20"/>
                <w:szCs w:val="20"/>
              </w:rPr>
            </w:pPr>
            <w:r w:rsidRPr="00612E08">
              <w:rPr>
                <w:b/>
                <w:sz w:val="20"/>
                <w:szCs w:val="20"/>
              </w:rPr>
              <w:t>Žiadne</w:t>
            </w:r>
          </w:p>
        </w:tc>
        <w:sdt>
          <w:sdtPr>
            <w:rPr>
              <w:b/>
              <w:sz w:val="20"/>
              <w:szCs w:val="20"/>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57B3943D"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1F4AD855" w14:textId="77777777" w:rsidR="007760EC" w:rsidRPr="00612E08" w:rsidRDefault="007760EC" w:rsidP="00FC5213">
            <w:pPr>
              <w:ind w:left="54"/>
              <w:rPr>
                <w:b/>
                <w:sz w:val="20"/>
                <w:szCs w:val="20"/>
              </w:rPr>
            </w:pPr>
            <w:r w:rsidRPr="00612E08">
              <w:rPr>
                <w:b/>
                <w:sz w:val="20"/>
                <w:szCs w:val="20"/>
              </w:rPr>
              <w:t>Negatívne</w:t>
            </w:r>
          </w:p>
        </w:tc>
      </w:tr>
      <w:tr w:rsidR="007760EC" w:rsidRPr="00612E08" w14:paraId="7A3878AA" w14:textId="77777777" w:rsidTr="00FC5213">
        <w:tc>
          <w:tcPr>
            <w:tcW w:w="3812" w:type="dxa"/>
            <w:tcBorders>
              <w:top w:val="nil"/>
              <w:left w:val="single" w:sz="4" w:space="0" w:color="000000"/>
              <w:bottom w:val="nil"/>
              <w:right w:val="single" w:sz="4" w:space="0" w:color="000000"/>
            </w:tcBorders>
            <w:shd w:val="clear" w:color="auto" w:fill="E2E2E2"/>
          </w:tcPr>
          <w:p w14:paraId="34B8224B" w14:textId="77777777" w:rsidR="007760EC" w:rsidRPr="00612E08" w:rsidRDefault="007760EC" w:rsidP="00FC5213">
            <w:pPr>
              <w:rPr>
                <w:sz w:val="20"/>
                <w:szCs w:val="20"/>
              </w:rPr>
            </w:pPr>
            <w:r w:rsidRPr="00612E08">
              <w:rPr>
                <w:sz w:val="20"/>
                <w:szCs w:val="20"/>
              </w:rPr>
              <w:t xml:space="preserve">    z toho vplyvy na MSP</w:t>
            </w:r>
          </w:p>
          <w:p w14:paraId="17086207" w14:textId="77777777" w:rsidR="007760EC" w:rsidRPr="00612E08" w:rsidRDefault="007760EC" w:rsidP="00FC5213">
            <w:pPr>
              <w:rPr>
                <w:sz w:val="20"/>
                <w:szCs w:val="20"/>
              </w:rPr>
            </w:pPr>
          </w:p>
        </w:tc>
        <w:sdt>
          <w:sdtPr>
            <w:rPr>
              <w:sz w:val="20"/>
              <w:szCs w:val="20"/>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37A564A9"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5F13711F" w14:textId="77777777" w:rsidR="007760EC" w:rsidRPr="00612E08" w:rsidRDefault="007760EC" w:rsidP="00FC5213">
            <w:pPr>
              <w:ind w:right="-108"/>
              <w:rPr>
                <w:sz w:val="20"/>
                <w:szCs w:val="20"/>
              </w:rPr>
            </w:pPr>
            <w:r w:rsidRPr="00612E08">
              <w:rPr>
                <w:sz w:val="20"/>
                <w:szCs w:val="20"/>
              </w:rPr>
              <w:t>Pozitívne</w:t>
            </w:r>
          </w:p>
        </w:tc>
        <w:sdt>
          <w:sdtPr>
            <w:rPr>
              <w:sz w:val="20"/>
              <w:szCs w:val="20"/>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07E7A847"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5D2F627D" w14:textId="77777777" w:rsidR="007760EC" w:rsidRPr="00612E08" w:rsidRDefault="007760EC" w:rsidP="00FC5213">
            <w:pPr>
              <w:rPr>
                <w:sz w:val="20"/>
                <w:szCs w:val="20"/>
              </w:rPr>
            </w:pPr>
            <w:r w:rsidRPr="00612E08">
              <w:rPr>
                <w:sz w:val="20"/>
                <w:szCs w:val="20"/>
              </w:rPr>
              <w:t>Žiadne</w:t>
            </w:r>
          </w:p>
        </w:tc>
        <w:sdt>
          <w:sdtPr>
            <w:rPr>
              <w:sz w:val="20"/>
              <w:szCs w:val="20"/>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7DE2462C" w14:textId="77777777" w:rsidR="007760EC" w:rsidRPr="00612E08" w:rsidRDefault="007760EC" w:rsidP="00FC5213">
                <w:pPr>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6CAB1459" w14:textId="77777777" w:rsidR="007760EC" w:rsidRPr="00612E08" w:rsidRDefault="007760EC" w:rsidP="00FC5213">
            <w:pPr>
              <w:ind w:left="54"/>
              <w:rPr>
                <w:sz w:val="20"/>
                <w:szCs w:val="20"/>
              </w:rPr>
            </w:pPr>
            <w:r w:rsidRPr="00612E08">
              <w:rPr>
                <w:sz w:val="20"/>
                <w:szCs w:val="20"/>
              </w:rPr>
              <w:t>Negatívne</w:t>
            </w:r>
          </w:p>
        </w:tc>
      </w:tr>
      <w:tr w:rsidR="007760EC" w:rsidRPr="00612E08" w14:paraId="167DAD69" w14:textId="77777777" w:rsidTr="00FC5213">
        <w:tc>
          <w:tcPr>
            <w:tcW w:w="3812" w:type="dxa"/>
            <w:tcBorders>
              <w:top w:val="nil"/>
              <w:left w:val="single" w:sz="4" w:space="0" w:color="auto"/>
              <w:bottom w:val="single" w:sz="4" w:space="0" w:color="auto"/>
              <w:right w:val="single" w:sz="4" w:space="0" w:color="auto"/>
            </w:tcBorders>
            <w:shd w:val="clear" w:color="auto" w:fill="E2E2E2"/>
          </w:tcPr>
          <w:p w14:paraId="637A05F8" w14:textId="77777777" w:rsidR="007760EC" w:rsidRPr="00612E08" w:rsidRDefault="007760EC" w:rsidP="00FC5213">
            <w:pPr>
              <w:rPr>
                <w:sz w:val="20"/>
                <w:szCs w:val="20"/>
              </w:rPr>
            </w:pPr>
            <w:r w:rsidRPr="00612E08">
              <w:rPr>
                <w:sz w:val="20"/>
                <w:szCs w:val="20"/>
              </w:rPr>
              <w:t xml:space="preserve">    Mechanizmus znižovania byrokracie    </w:t>
            </w:r>
          </w:p>
          <w:p w14:paraId="5B43F0CE" w14:textId="77777777" w:rsidR="007760EC" w:rsidRPr="00612E08" w:rsidRDefault="007760EC" w:rsidP="00FC5213">
            <w:pPr>
              <w:rPr>
                <w:b/>
                <w:sz w:val="20"/>
                <w:szCs w:val="20"/>
              </w:rPr>
            </w:pPr>
            <w:r w:rsidRPr="00612E08">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5879F663"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59EE0EDA" w14:textId="77777777" w:rsidR="007760EC" w:rsidRPr="00612E08" w:rsidRDefault="007760EC" w:rsidP="00FC5213">
            <w:pPr>
              <w:ind w:right="-108"/>
              <w:rPr>
                <w:b/>
                <w:sz w:val="20"/>
                <w:szCs w:val="20"/>
              </w:rPr>
            </w:pPr>
            <w:r w:rsidRPr="00612E08">
              <w:rPr>
                <w:sz w:val="20"/>
                <w:szCs w:val="20"/>
              </w:rPr>
              <w:t>Áno</w:t>
            </w:r>
          </w:p>
        </w:tc>
        <w:tc>
          <w:tcPr>
            <w:tcW w:w="254" w:type="dxa"/>
            <w:tcBorders>
              <w:top w:val="dotted" w:sz="4" w:space="0" w:color="auto"/>
              <w:left w:val="nil"/>
              <w:bottom w:val="single" w:sz="4" w:space="0" w:color="auto"/>
              <w:right w:val="nil"/>
            </w:tcBorders>
            <w:vAlign w:val="center"/>
          </w:tcPr>
          <w:p w14:paraId="1CBCA7B3" w14:textId="77777777" w:rsidR="007760EC" w:rsidRPr="00612E08" w:rsidRDefault="007760EC" w:rsidP="00FC5213">
            <w:pPr>
              <w:jc w:val="center"/>
              <w:rPr>
                <w:b/>
                <w:sz w:val="20"/>
                <w:szCs w:val="20"/>
              </w:rPr>
            </w:pPr>
          </w:p>
        </w:tc>
        <w:tc>
          <w:tcPr>
            <w:tcW w:w="1133" w:type="dxa"/>
            <w:tcBorders>
              <w:top w:val="dotted" w:sz="4" w:space="0" w:color="auto"/>
              <w:left w:val="nil"/>
              <w:bottom w:val="single" w:sz="4" w:space="0" w:color="auto"/>
              <w:right w:val="nil"/>
            </w:tcBorders>
            <w:vAlign w:val="center"/>
          </w:tcPr>
          <w:p w14:paraId="0C7A4417" w14:textId="77777777" w:rsidR="007760EC" w:rsidRPr="00612E08" w:rsidRDefault="007760EC" w:rsidP="00FC5213">
            <w:pPr>
              <w:jc w:val="center"/>
              <w:rPr>
                <w:b/>
                <w:sz w:val="20"/>
                <w:szCs w:val="20"/>
              </w:rPr>
            </w:pPr>
          </w:p>
        </w:tc>
        <w:sdt>
          <w:sdtPr>
            <w:rPr>
              <w:b/>
              <w:sz w:val="20"/>
              <w:szCs w:val="20"/>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4992D376"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20C73D0C" w14:textId="77777777" w:rsidR="007760EC" w:rsidRPr="00612E08" w:rsidRDefault="007760EC" w:rsidP="00FC5213">
            <w:pPr>
              <w:ind w:left="54"/>
              <w:rPr>
                <w:b/>
                <w:sz w:val="20"/>
                <w:szCs w:val="20"/>
              </w:rPr>
            </w:pPr>
            <w:r w:rsidRPr="00612E08">
              <w:rPr>
                <w:sz w:val="20"/>
                <w:szCs w:val="20"/>
              </w:rPr>
              <w:t>Nie</w:t>
            </w:r>
          </w:p>
        </w:tc>
      </w:tr>
      <w:tr w:rsidR="007760EC" w:rsidRPr="00612E08" w14:paraId="1B746AE6" w14:textId="77777777" w:rsidTr="00FC5213">
        <w:tc>
          <w:tcPr>
            <w:tcW w:w="3812" w:type="dxa"/>
            <w:tcBorders>
              <w:top w:val="single" w:sz="4" w:space="0" w:color="000000"/>
              <w:left w:val="single" w:sz="4" w:space="0" w:color="auto"/>
              <w:bottom w:val="single" w:sz="4" w:space="0" w:color="auto"/>
              <w:right w:val="single" w:sz="4" w:space="0" w:color="auto"/>
            </w:tcBorders>
            <w:shd w:val="clear" w:color="auto" w:fill="E2E2E2"/>
          </w:tcPr>
          <w:p w14:paraId="6E724386" w14:textId="77777777" w:rsidR="007760EC" w:rsidRPr="00612E08" w:rsidRDefault="007760EC" w:rsidP="00FC5213">
            <w:pPr>
              <w:rPr>
                <w:b/>
                <w:sz w:val="20"/>
                <w:szCs w:val="20"/>
              </w:rPr>
            </w:pPr>
            <w:r w:rsidRPr="00612E08">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3095563B"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6C19D44C" w14:textId="77777777" w:rsidR="007760EC" w:rsidRPr="00612E08" w:rsidRDefault="007760EC" w:rsidP="00FC5213">
            <w:pPr>
              <w:ind w:right="-108"/>
              <w:rPr>
                <w:b/>
                <w:sz w:val="20"/>
                <w:szCs w:val="20"/>
              </w:rPr>
            </w:pPr>
            <w:r w:rsidRPr="00612E08">
              <w:rPr>
                <w:b/>
                <w:sz w:val="20"/>
                <w:szCs w:val="20"/>
              </w:rPr>
              <w:t>Pozitívne</w:t>
            </w:r>
          </w:p>
        </w:tc>
        <w:sdt>
          <w:sdtPr>
            <w:rPr>
              <w:b/>
              <w:sz w:val="20"/>
              <w:szCs w:val="20"/>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35F250A9" w14:textId="77777777" w:rsidR="007760EC" w:rsidRPr="00612E08" w:rsidRDefault="007760EC" w:rsidP="00FC5213">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2C0D3059" w14:textId="77777777" w:rsidR="007760EC" w:rsidRPr="00612E08" w:rsidRDefault="007760EC" w:rsidP="00FC5213">
            <w:pPr>
              <w:rPr>
                <w:b/>
                <w:sz w:val="20"/>
                <w:szCs w:val="20"/>
              </w:rPr>
            </w:pPr>
            <w:r w:rsidRPr="00612E08">
              <w:rPr>
                <w:b/>
                <w:sz w:val="20"/>
                <w:szCs w:val="20"/>
              </w:rPr>
              <w:t>Žiadne</w:t>
            </w:r>
          </w:p>
        </w:tc>
        <w:sdt>
          <w:sdtPr>
            <w:rPr>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11048EB7"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76E3C7C9" w14:textId="77777777" w:rsidR="007760EC" w:rsidRPr="00612E08" w:rsidRDefault="007760EC" w:rsidP="00FC5213">
            <w:pPr>
              <w:ind w:left="54"/>
              <w:rPr>
                <w:b/>
                <w:sz w:val="20"/>
                <w:szCs w:val="20"/>
              </w:rPr>
            </w:pPr>
            <w:r w:rsidRPr="00612E08">
              <w:rPr>
                <w:b/>
                <w:sz w:val="20"/>
                <w:szCs w:val="20"/>
              </w:rPr>
              <w:t>Negatívne</w:t>
            </w:r>
          </w:p>
        </w:tc>
      </w:tr>
      <w:tr w:rsidR="007760EC" w:rsidRPr="00612E08" w14:paraId="1BFC7E32" w14:textId="77777777" w:rsidTr="00FC5213">
        <w:tc>
          <w:tcPr>
            <w:tcW w:w="3812" w:type="dxa"/>
            <w:tcBorders>
              <w:top w:val="single" w:sz="4" w:space="0" w:color="auto"/>
              <w:left w:val="single" w:sz="4" w:space="0" w:color="auto"/>
              <w:bottom w:val="nil"/>
              <w:right w:val="single" w:sz="4" w:space="0" w:color="auto"/>
            </w:tcBorders>
            <w:shd w:val="clear" w:color="auto" w:fill="E2E2E2"/>
          </w:tcPr>
          <w:p w14:paraId="5C35BD37" w14:textId="77777777" w:rsidR="007760EC" w:rsidRPr="00612E08" w:rsidRDefault="007760EC" w:rsidP="00FC5213">
            <w:pPr>
              <w:rPr>
                <w:b/>
                <w:sz w:val="20"/>
                <w:szCs w:val="20"/>
              </w:rPr>
            </w:pPr>
            <w:r w:rsidRPr="00612E08">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14A8C1A6"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2919A88A" w14:textId="77777777" w:rsidR="007760EC" w:rsidRPr="00612E08" w:rsidRDefault="007760EC" w:rsidP="00FC5213">
            <w:pPr>
              <w:ind w:right="-108"/>
              <w:rPr>
                <w:b/>
                <w:sz w:val="20"/>
                <w:szCs w:val="20"/>
              </w:rPr>
            </w:pPr>
            <w:r w:rsidRPr="00612E08">
              <w:rPr>
                <w:b/>
                <w:sz w:val="20"/>
                <w:szCs w:val="20"/>
              </w:rPr>
              <w:t>Pozitívne</w:t>
            </w:r>
          </w:p>
        </w:tc>
        <w:sdt>
          <w:sdtPr>
            <w:rPr>
              <w:b/>
              <w:sz w:val="20"/>
              <w:szCs w:val="20"/>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5863888E" w14:textId="77777777" w:rsidR="007760EC" w:rsidRPr="00612E08" w:rsidRDefault="007760EC" w:rsidP="00FC5213">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7D7A81EE" w14:textId="77777777" w:rsidR="007760EC" w:rsidRPr="00612E08" w:rsidRDefault="007760EC" w:rsidP="00FC5213">
            <w:pPr>
              <w:rPr>
                <w:b/>
                <w:sz w:val="20"/>
                <w:szCs w:val="20"/>
              </w:rPr>
            </w:pPr>
            <w:r w:rsidRPr="00612E08">
              <w:rPr>
                <w:b/>
                <w:sz w:val="20"/>
                <w:szCs w:val="20"/>
              </w:rPr>
              <w:t>Žiadne</w:t>
            </w:r>
          </w:p>
        </w:tc>
        <w:sdt>
          <w:sdtPr>
            <w:rPr>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5FD77933"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68518F8A" w14:textId="77777777" w:rsidR="007760EC" w:rsidRPr="00612E08" w:rsidRDefault="007760EC" w:rsidP="00FC5213">
            <w:pPr>
              <w:ind w:left="54"/>
              <w:rPr>
                <w:b/>
                <w:sz w:val="20"/>
                <w:szCs w:val="20"/>
              </w:rPr>
            </w:pPr>
            <w:r w:rsidRPr="00612E08">
              <w:rPr>
                <w:b/>
                <w:sz w:val="20"/>
                <w:szCs w:val="20"/>
              </w:rPr>
              <w:t>Negatívne</w:t>
            </w:r>
          </w:p>
        </w:tc>
      </w:tr>
      <w:tr w:rsidR="007760EC" w:rsidRPr="00612E08" w14:paraId="3BC890B3" w14:textId="77777777" w:rsidTr="00FC5213">
        <w:tc>
          <w:tcPr>
            <w:tcW w:w="3812" w:type="dxa"/>
            <w:tcBorders>
              <w:top w:val="nil"/>
              <w:left w:val="single" w:sz="4" w:space="0" w:color="auto"/>
              <w:bottom w:val="single" w:sz="4" w:space="0" w:color="auto"/>
              <w:right w:val="single" w:sz="4" w:space="0" w:color="auto"/>
            </w:tcBorders>
            <w:shd w:val="clear" w:color="auto" w:fill="E2E2E2"/>
          </w:tcPr>
          <w:p w14:paraId="40820E91" w14:textId="77777777" w:rsidR="007760EC" w:rsidRPr="00612E08" w:rsidRDefault="007760EC" w:rsidP="00FC5213">
            <w:pPr>
              <w:rPr>
                <w:sz w:val="20"/>
                <w:szCs w:val="20"/>
              </w:rPr>
            </w:pPr>
          </w:p>
          <w:p w14:paraId="5875B8AD" w14:textId="77777777" w:rsidR="007760EC" w:rsidRPr="00612E08" w:rsidRDefault="007760EC" w:rsidP="00FC5213">
            <w:pPr>
              <w:ind w:left="164"/>
              <w:rPr>
                <w:b/>
                <w:sz w:val="20"/>
                <w:szCs w:val="20"/>
              </w:rPr>
            </w:pPr>
            <w:r w:rsidRPr="00612E08">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373AA32F"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5F930FD9" w14:textId="77777777" w:rsidR="007760EC" w:rsidRPr="00612E08" w:rsidRDefault="007760EC" w:rsidP="00FC5213">
            <w:pPr>
              <w:ind w:right="-108"/>
              <w:rPr>
                <w:b/>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14:paraId="27D3E681" w14:textId="77777777" w:rsidR="007760EC" w:rsidRPr="00612E08" w:rsidRDefault="007760EC" w:rsidP="00FC5213">
            <w:pPr>
              <w:jc w:val="center"/>
              <w:rPr>
                <w:b/>
                <w:sz w:val="20"/>
                <w:szCs w:val="20"/>
              </w:rPr>
            </w:pPr>
          </w:p>
        </w:tc>
        <w:tc>
          <w:tcPr>
            <w:tcW w:w="1133" w:type="dxa"/>
            <w:tcBorders>
              <w:top w:val="single" w:sz="4" w:space="0" w:color="auto"/>
              <w:left w:val="nil"/>
              <w:bottom w:val="single" w:sz="4" w:space="0" w:color="auto"/>
              <w:right w:val="nil"/>
            </w:tcBorders>
            <w:vAlign w:val="center"/>
          </w:tcPr>
          <w:p w14:paraId="073EA135" w14:textId="77777777" w:rsidR="007760EC" w:rsidRPr="00612E08" w:rsidRDefault="007760EC" w:rsidP="00FC5213">
            <w:pPr>
              <w:jc w:val="center"/>
              <w:rPr>
                <w:b/>
                <w:sz w:val="20"/>
                <w:szCs w:val="20"/>
              </w:rPr>
            </w:pPr>
          </w:p>
        </w:tc>
        <w:sdt>
          <w:sdtPr>
            <w:rPr>
              <w:b/>
              <w:sz w:val="20"/>
              <w:szCs w:val="20"/>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08BB2687"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0EC1CC55" w14:textId="77777777" w:rsidR="007760EC" w:rsidRPr="00612E08" w:rsidRDefault="007760EC" w:rsidP="00FC5213">
            <w:pPr>
              <w:ind w:left="54"/>
              <w:rPr>
                <w:b/>
                <w:sz w:val="20"/>
                <w:szCs w:val="20"/>
              </w:rPr>
            </w:pPr>
            <w:r w:rsidRPr="00612E08">
              <w:rPr>
                <w:sz w:val="20"/>
                <w:szCs w:val="20"/>
              </w:rPr>
              <w:t>Nie</w:t>
            </w:r>
          </w:p>
        </w:tc>
      </w:tr>
      <w:tr w:rsidR="007760EC" w:rsidRPr="00612E08" w14:paraId="1346E1EF" w14:textId="77777777" w:rsidTr="00FC5213">
        <w:tc>
          <w:tcPr>
            <w:tcW w:w="3812" w:type="dxa"/>
            <w:tcBorders>
              <w:top w:val="single" w:sz="4" w:space="0" w:color="auto"/>
              <w:left w:val="single" w:sz="4" w:space="0" w:color="auto"/>
              <w:bottom w:val="single" w:sz="4" w:space="0" w:color="auto"/>
              <w:right w:val="single" w:sz="4" w:space="0" w:color="auto"/>
            </w:tcBorders>
            <w:shd w:val="clear" w:color="auto" w:fill="E2E2E2"/>
          </w:tcPr>
          <w:p w14:paraId="1864093B" w14:textId="77777777" w:rsidR="007760EC" w:rsidRPr="00612E08" w:rsidRDefault="007760EC" w:rsidP="00FC5213">
            <w:pPr>
              <w:rPr>
                <w:b/>
                <w:sz w:val="20"/>
                <w:szCs w:val="20"/>
              </w:rPr>
            </w:pPr>
            <w:r w:rsidRPr="00612E08">
              <w:rPr>
                <w:b/>
                <w:sz w:val="20"/>
                <w:szCs w:val="20"/>
              </w:rPr>
              <w:t>Vplyvy na informatizáciu spoločnosti</w:t>
            </w:r>
          </w:p>
        </w:tc>
        <w:sdt>
          <w:sdtPr>
            <w:rPr>
              <w:b/>
              <w:sz w:val="20"/>
              <w:szCs w:val="20"/>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50C2ECFB"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610A3D23" w14:textId="77777777" w:rsidR="007760EC" w:rsidRPr="00612E08" w:rsidRDefault="007760EC" w:rsidP="00FC5213">
            <w:pPr>
              <w:ind w:right="-108"/>
              <w:rPr>
                <w:b/>
                <w:sz w:val="20"/>
                <w:szCs w:val="20"/>
              </w:rPr>
            </w:pPr>
            <w:r w:rsidRPr="00612E08">
              <w:rPr>
                <w:b/>
                <w:sz w:val="20"/>
                <w:szCs w:val="20"/>
              </w:rPr>
              <w:t>Pozitívne</w:t>
            </w:r>
          </w:p>
        </w:tc>
        <w:sdt>
          <w:sdtPr>
            <w:rPr>
              <w:b/>
              <w:sz w:val="20"/>
              <w:szCs w:val="20"/>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60D84D64" w14:textId="77777777" w:rsidR="007760EC" w:rsidRPr="00612E08" w:rsidRDefault="007760EC" w:rsidP="00FC5213">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651DE1D3" w14:textId="77777777" w:rsidR="007760EC" w:rsidRPr="00612E08" w:rsidRDefault="007760EC" w:rsidP="00FC5213">
            <w:pPr>
              <w:rPr>
                <w:b/>
                <w:sz w:val="20"/>
                <w:szCs w:val="20"/>
              </w:rPr>
            </w:pPr>
            <w:r w:rsidRPr="00612E08">
              <w:rPr>
                <w:b/>
                <w:sz w:val="20"/>
                <w:szCs w:val="20"/>
              </w:rPr>
              <w:t>Žiadne</w:t>
            </w:r>
          </w:p>
        </w:tc>
        <w:sdt>
          <w:sdtPr>
            <w:rPr>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466D3617"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66C0F369" w14:textId="77777777" w:rsidR="007760EC" w:rsidRPr="00612E08" w:rsidRDefault="007760EC" w:rsidP="00FC5213">
            <w:pPr>
              <w:ind w:left="54"/>
              <w:rPr>
                <w:b/>
                <w:sz w:val="20"/>
                <w:szCs w:val="20"/>
              </w:rPr>
            </w:pPr>
            <w:r w:rsidRPr="00612E08">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7760EC" w:rsidRPr="00612E08" w14:paraId="779F9DB6" w14:textId="77777777" w:rsidTr="00FC5213">
        <w:tc>
          <w:tcPr>
            <w:tcW w:w="3812" w:type="dxa"/>
            <w:tcBorders>
              <w:top w:val="single" w:sz="4" w:space="0" w:color="auto"/>
              <w:left w:val="single" w:sz="4" w:space="0" w:color="auto"/>
              <w:bottom w:val="nil"/>
              <w:right w:val="single" w:sz="4" w:space="0" w:color="auto"/>
            </w:tcBorders>
            <w:shd w:val="clear" w:color="auto" w:fill="E2E2E2"/>
          </w:tcPr>
          <w:p w14:paraId="215638AF" w14:textId="77777777" w:rsidR="007760EC" w:rsidRPr="00612E08" w:rsidRDefault="007760EC" w:rsidP="00FC5213">
            <w:pPr>
              <w:rPr>
                <w:b/>
                <w:sz w:val="20"/>
                <w:szCs w:val="20"/>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3C96785" w14:textId="77777777" w:rsidR="007760EC" w:rsidRPr="00612E08" w:rsidRDefault="007760EC" w:rsidP="00FC5213">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609519E7" w14:textId="77777777" w:rsidR="007760EC" w:rsidRPr="00612E08" w:rsidRDefault="007760EC" w:rsidP="00FC5213">
            <w:pPr>
              <w:ind w:right="-108"/>
              <w:rPr>
                <w:b/>
                <w:sz w:val="20"/>
                <w:szCs w:val="20"/>
              </w:rPr>
            </w:pPr>
          </w:p>
        </w:tc>
        <w:tc>
          <w:tcPr>
            <w:tcW w:w="569" w:type="dxa"/>
            <w:gridSpan w:val="2"/>
            <w:tcBorders>
              <w:top w:val="single" w:sz="4" w:space="0" w:color="auto"/>
              <w:left w:val="nil"/>
              <w:bottom w:val="nil"/>
              <w:right w:val="nil"/>
            </w:tcBorders>
            <w:shd w:val="clear" w:color="auto" w:fill="auto"/>
          </w:tcPr>
          <w:p w14:paraId="530FA2C9" w14:textId="77777777" w:rsidR="007760EC" w:rsidRPr="00612E08" w:rsidRDefault="007760EC" w:rsidP="00FC5213">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19E4DA21" w14:textId="77777777" w:rsidR="007760EC" w:rsidRPr="00612E08" w:rsidRDefault="007760EC" w:rsidP="00FC5213">
            <w:pPr>
              <w:rPr>
                <w:b/>
                <w:sz w:val="20"/>
                <w:szCs w:val="20"/>
              </w:rPr>
            </w:pPr>
          </w:p>
        </w:tc>
        <w:tc>
          <w:tcPr>
            <w:tcW w:w="547" w:type="dxa"/>
            <w:tcBorders>
              <w:top w:val="single" w:sz="4" w:space="0" w:color="auto"/>
              <w:left w:val="nil"/>
              <w:bottom w:val="nil"/>
              <w:right w:val="nil"/>
            </w:tcBorders>
            <w:shd w:val="clear" w:color="auto" w:fill="auto"/>
          </w:tcPr>
          <w:p w14:paraId="7B90E70C" w14:textId="77777777" w:rsidR="007760EC" w:rsidRPr="00612E08" w:rsidRDefault="007760EC" w:rsidP="00FC5213">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00FCA702" w14:textId="77777777" w:rsidR="007760EC" w:rsidRPr="00612E08" w:rsidRDefault="007760EC" w:rsidP="00FC5213">
            <w:pPr>
              <w:ind w:left="54"/>
              <w:rPr>
                <w:b/>
                <w:sz w:val="20"/>
                <w:szCs w:val="20"/>
              </w:rPr>
            </w:pPr>
          </w:p>
        </w:tc>
      </w:tr>
      <w:tr w:rsidR="007760EC" w:rsidRPr="00612E08" w14:paraId="1C276B4F" w14:textId="77777777" w:rsidTr="00FC5213">
        <w:tc>
          <w:tcPr>
            <w:tcW w:w="3812" w:type="dxa"/>
            <w:tcBorders>
              <w:top w:val="nil"/>
              <w:left w:val="single" w:sz="4" w:space="0" w:color="auto"/>
              <w:bottom w:val="nil"/>
              <w:right w:val="single" w:sz="4" w:space="0" w:color="auto"/>
            </w:tcBorders>
            <w:shd w:val="clear" w:color="auto" w:fill="E2E2E2"/>
          </w:tcPr>
          <w:p w14:paraId="417252D8" w14:textId="77777777" w:rsidR="007760EC" w:rsidRPr="00612E08" w:rsidRDefault="007760EC" w:rsidP="00FC5213">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59E0F3EC"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25FA7B34" w14:textId="77777777" w:rsidR="007760EC" w:rsidRPr="00612E08" w:rsidRDefault="007760EC" w:rsidP="00FC5213">
            <w:pPr>
              <w:ind w:right="-108"/>
              <w:rPr>
                <w:b/>
                <w:sz w:val="20"/>
                <w:szCs w:val="20"/>
              </w:rPr>
            </w:pPr>
            <w:r w:rsidRPr="00612E08">
              <w:rPr>
                <w:b/>
                <w:sz w:val="20"/>
                <w:szCs w:val="20"/>
              </w:rPr>
              <w:t>Pozitívne</w:t>
            </w:r>
          </w:p>
        </w:tc>
        <w:sdt>
          <w:sdtPr>
            <w:rPr>
              <w:b/>
              <w:sz w:val="20"/>
              <w:szCs w:val="20"/>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155544E6" w14:textId="77777777" w:rsidR="007760EC" w:rsidRPr="00612E08" w:rsidRDefault="007760EC" w:rsidP="00FC5213">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0340D837" w14:textId="77777777" w:rsidR="007760EC" w:rsidRPr="00612E08" w:rsidRDefault="007760EC" w:rsidP="00FC5213">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69B37358"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245CEE1C" w14:textId="77777777" w:rsidR="007760EC" w:rsidRPr="00612E08" w:rsidRDefault="007760EC" w:rsidP="00FC5213">
            <w:pPr>
              <w:ind w:left="54"/>
              <w:rPr>
                <w:b/>
                <w:sz w:val="20"/>
                <w:szCs w:val="20"/>
              </w:rPr>
            </w:pPr>
            <w:r w:rsidRPr="00612E08">
              <w:rPr>
                <w:b/>
                <w:sz w:val="20"/>
                <w:szCs w:val="20"/>
              </w:rPr>
              <w:t>Negatívne</w:t>
            </w:r>
          </w:p>
        </w:tc>
      </w:tr>
      <w:tr w:rsidR="007760EC" w:rsidRPr="00612E08" w14:paraId="32AD1392" w14:textId="77777777" w:rsidTr="00FC5213">
        <w:tc>
          <w:tcPr>
            <w:tcW w:w="3812" w:type="dxa"/>
            <w:tcBorders>
              <w:top w:val="nil"/>
              <w:left w:val="single" w:sz="4" w:space="0" w:color="auto"/>
              <w:bottom w:val="nil"/>
              <w:right w:val="single" w:sz="4" w:space="0" w:color="auto"/>
            </w:tcBorders>
            <w:shd w:val="clear" w:color="auto" w:fill="E2E2E2"/>
          </w:tcPr>
          <w:p w14:paraId="2F4C85F3" w14:textId="77777777" w:rsidR="007760EC" w:rsidRPr="00612E08" w:rsidRDefault="007760EC" w:rsidP="00FC5213">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5BB835C"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25AB3039" w14:textId="77777777" w:rsidR="007760EC" w:rsidRPr="00612E08" w:rsidRDefault="007760EC" w:rsidP="00FC5213">
            <w:pPr>
              <w:ind w:right="-108"/>
              <w:rPr>
                <w:b/>
                <w:sz w:val="20"/>
                <w:szCs w:val="20"/>
              </w:rPr>
            </w:pPr>
            <w:r w:rsidRPr="00612E08">
              <w:rPr>
                <w:b/>
                <w:sz w:val="20"/>
                <w:szCs w:val="20"/>
              </w:rPr>
              <w:t>Pozitívne</w:t>
            </w:r>
          </w:p>
        </w:tc>
        <w:sdt>
          <w:sdtPr>
            <w:rPr>
              <w:b/>
              <w:sz w:val="20"/>
              <w:szCs w:val="20"/>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3365BF58" w14:textId="77777777" w:rsidR="007760EC" w:rsidRPr="00612E08" w:rsidRDefault="007760EC" w:rsidP="00FC5213">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616A5521" w14:textId="77777777" w:rsidR="007760EC" w:rsidRPr="00612E08" w:rsidRDefault="007760EC" w:rsidP="00FC5213">
            <w:pPr>
              <w:rPr>
                <w:b/>
                <w:sz w:val="20"/>
                <w:szCs w:val="20"/>
              </w:rPr>
            </w:pPr>
            <w:r w:rsidRPr="00612E08">
              <w:rPr>
                <w:b/>
                <w:sz w:val="20"/>
                <w:szCs w:val="20"/>
              </w:rPr>
              <w:t>Žiadne</w:t>
            </w:r>
          </w:p>
        </w:tc>
        <w:sdt>
          <w:sdtPr>
            <w:rPr>
              <w:b/>
              <w:sz w:val="20"/>
              <w:szCs w:val="20"/>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4750BBBD"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F3F18F3" w14:textId="77777777" w:rsidR="007760EC" w:rsidRPr="00612E08" w:rsidRDefault="007760EC" w:rsidP="00FC5213">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7760EC" w:rsidRPr="00612E08" w14:paraId="53919A03" w14:textId="77777777" w:rsidTr="00FC5213">
        <w:tc>
          <w:tcPr>
            <w:tcW w:w="3812" w:type="dxa"/>
            <w:tcBorders>
              <w:top w:val="single" w:sz="4" w:space="0" w:color="000000"/>
              <w:left w:val="single" w:sz="4" w:space="0" w:color="auto"/>
              <w:bottom w:val="single" w:sz="4" w:space="0" w:color="auto"/>
              <w:right w:val="single" w:sz="4" w:space="0" w:color="auto"/>
            </w:tcBorders>
            <w:shd w:val="clear" w:color="auto" w:fill="E2E2E2"/>
          </w:tcPr>
          <w:p w14:paraId="34D49418" w14:textId="77777777" w:rsidR="007760EC" w:rsidRPr="00612E08" w:rsidRDefault="007760EC" w:rsidP="00FC5213">
            <w:pPr>
              <w:rPr>
                <w:b/>
                <w:sz w:val="20"/>
                <w:szCs w:val="20"/>
              </w:rPr>
            </w:pPr>
            <w:r w:rsidRPr="00612E08">
              <w:rPr>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5A421E34"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358DA7A7" w14:textId="77777777" w:rsidR="007760EC" w:rsidRPr="00612E08" w:rsidRDefault="007760EC" w:rsidP="00FC5213">
            <w:pPr>
              <w:ind w:right="-108"/>
              <w:rPr>
                <w:b/>
                <w:sz w:val="20"/>
                <w:szCs w:val="20"/>
              </w:rPr>
            </w:pPr>
            <w:r w:rsidRPr="00612E08">
              <w:rPr>
                <w:b/>
                <w:sz w:val="20"/>
                <w:szCs w:val="20"/>
              </w:rPr>
              <w:t>Pozitívne</w:t>
            </w:r>
          </w:p>
        </w:tc>
        <w:sdt>
          <w:sdtPr>
            <w:rPr>
              <w:b/>
              <w:sz w:val="20"/>
              <w:szCs w:val="20"/>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166587B0" w14:textId="77777777" w:rsidR="007760EC" w:rsidRPr="00612E08" w:rsidRDefault="007760EC" w:rsidP="00FC5213">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5013327E" w14:textId="77777777" w:rsidR="007760EC" w:rsidRPr="00612E08" w:rsidRDefault="007760EC" w:rsidP="00FC5213">
            <w:pPr>
              <w:rPr>
                <w:b/>
                <w:sz w:val="20"/>
                <w:szCs w:val="20"/>
              </w:rPr>
            </w:pPr>
            <w:r w:rsidRPr="00612E08">
              <w:rPr>
                <w:b/>
                <w:sz w:val="20"/>
                <w:szCs w:val="20"/>
              </w:rPr>
              <w:t>Žiadne</w:t>
            </w:r>
          </w:p>
        </w:tc>
        <w:sdt>
          <w:sdtPr>
            <w:rPr>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0B84F786" w14:textId="77777777" w:rsidR="007760EC" w:rsidRPr="00612E08" w:rsidRDefault="007760EC" w:rsidP="00FC5213">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07188ACD" w14:textId="77777777" w:rsidR="007760EC" w:rsidRPr="00612E08" w:rsidRDefault="007760EC" w:rsidP="00FC5213">
            <w:pPr>
              <w:ind w:left="54"/>
              <w:rPr>
                <w:b/>
                <w:sz w:val="20"/>
                <w:szCs w:val="20"/>
              </w:rPr>
            </w:pPr>
            <w:r w:rsidRPr="00612E08">
              <w:rPr>
                <w:b/>
                <w:sz w:val="20"/>
                <w:szCs w:val="20"/>
              </w:rPr>
              <w:t>Negatívne</w:t>
            </w:r>
          </w:p>
        </w:tc>
      </w:tr>
    </w:tbl>
    <w:p w14:paraId="13CE4021" w14:textId="77777777" w:rsidR="007760EC" w:rsidRPr="00612E08" w:rsidRDefault="007760EC" w:rsidP="007760EC">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7760EC" w:rsidRPr="00612E08" w14:paraId="253249FE" w14:textId="77777777" w:rsidTr="00FC5213">
        <w:tc>
          <w:tcPr>
            <w:tcW w:w="9176" w:type="dxa"/>
            <w:tcBorders>
              <w:top w:val="single" w:sz="4" w:space="0" w:color="auto"/>
              <w:left w:val="single" w:sz="4" w:space="0" w:color="auto"/>
              <w:bottom w:val="nil"/>
              <w:right w:val="single" w:sz="4" w:space="0" w:color="auto"/>
            </w:tcBorders>
            <w:shd w:val="clear" w:color="auto" w:fill="E2E2E2"/>
          </w:tcPr>
          <w:p w14:paraId="6A7F0010" w14:textId="77777777" w:rsidR="007760EC" w:rsidRPr="00612E08" w:rsidRDefault="007760EC" w:rsidP="00FC5213">
            <w:pPr>
              <w:numPr>
                <w:ilvl w:val="0"/>
                <w:numId w:val="1"/>
              </w:numPr>
              <w:ind w:left="426"/>
              <w:contextualSpacing/>
              <w:rPr>
                <w:rFonts w:eastAsia="Calibri"/>
                <w:b/>
              </w:rPr>
            </w:pPr>
            <w:r w:rsidRPr="00612E08">
              <w:rPr>
                <w:rFonts w:eastAsia="Calibri"/>
                <w:b/>
              </w:rPr>
              <w:t>Poznámky</w:t>
            </w:r>
          </w:p>
        </w:tc>
      </w:tr>
      <w:tr w:rsidR="007760EC" w:rsidRPr="00612E08" w14:paraId="1E83C60E" w14:textId="77777777" w:rsidTr="00FC5213">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54D697F" w14:textId="77777777" w:rsidR="007760EC" w:rsidRPr="00612E08" w:rsidRDefault="007760EC" w:rsidP="00FC5213">
            <w:pPr>
              <w:jc w:val="both"/>
              <w:rPr>
                <w:i/>
                <w:sz w:val="20"/>
                <w:szCs w:val="20"/>
              </w:rPr>
            </w:pPr>
            <w:r w:rsidRPr="00612E08">
              <w:rPr>
                <w:i/>
                <w:sz w:val="20"/>
                <w:szCs w:val="20"/>
              </w:rPr>
              <w:lastRenderedPageBreak/>
              <w:t xml:space="preserve">V prípade potreby uveďte doplňujúce informácie k identifikovaným vplyvom a ich analýzam. </w:t>
            </w:r>
          </w:p>
          <w:p w14:paraId="55D4E6E8" w14:textId="77777777" w:rsidR="007760EC" w:rsidRPr="00612E08" w:rsidRDefault="007760EC" w:rsidP="00FC5213">
            <w:pPr>
              <w:jc w:val="both"/>
              <w:rPr>
                <w:i/>
                <w:sz w:val="20"/>
                <w:szCs w:val="20"/>
              </w:rPr>
            </w:pPr>
          </w:p>
          <w:p w14:paraId="63AB2DD7" w14:textId="77777777" w:rsidR="007760EC" w:rsidRPr="00612E08" w:rsidRDefault="007760EC" w:rsidP="00FC5213">
            <w:pPr>
              <w:jc w:val="both"/>
              <w:rPr>
                <w:i/>
                <w:sz w:val="20"/>
                <w:szCs w:val="20"/>
              </w:rPr>
            </w:pPr>
            <w:r w:rsidRPr="00612E08">
              <w:rPr>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390A8FF6" w14:textId="77777777" w:rsidR="007760EC" w:rsidRPr="00612E08" w:rsidRDefault="007760EC" w:rsidP="00FC5213">
            <w:pPr>
              <w:jc w:val="both"/>
              <w:rPr>
                <w:i/>
                <w:sz w:val="20"/>
                <w:szCs w:val="20"/>
              </w:rPr>
            </w:pPr>
          </w:p>
          <w:p w14:paraId="654197B2" w14:textId="77777777" w:rsidR="007760EC" w:rsidRPr="00612E08" w:rsidRDefault="007760EC" w:rsidP="00FC5213">
            <w:pPr>
              <w:jc w:val="both"/>
              <w:rPr>
                <w:i/>
                <w:sz w:val="20"/>
                <w:szCs w:val="20"/>
              </w:rPr>
            </w:pPr>
            <w:r w:rsidRPr="00612E08">
              <w:rPr>
                <w:i/>
                <w:sz w:val="20"/>
                <w:szCs w:val="20"/>
              </w:rPr>
              <w:t>Informácie v tejto časti slúžia na zhrnutie vplyvov alebo aj na vyjadrenie sa k marginálnym vplyvom a nie ako náhrada za vypracovanie príslušných analýz vybraných vplyvov.</w:t>
            </w:r>
          </w:p>
          <w:p w14:paraId="206584DF" w14:textId="77777777" w:rsidR="007760EC" w:rsidRPr="00612E08" w:rsidRDefault="007760EC" w:rsidP="00FC5213">
            <w:pPr>
              <w:jc w:val="both"/>
              <w:rPr>
                <w:i/>
                <w:sz w:val="20"/>
                <w:szCs w:val="20"/>
              </w:rPr>
            </w:pPr>
          </w:p>
          <w:p w14:paraId="71A7267E" w14:textId="77777777" w:rsidR="007760EC" w:rsidRPr="00612E08" w:rsidRDefault="007760EC" w:rsidP="00FC5213">
            <w:pPr>
              <w:jc w:val="both"/>
              <w:rPr>
                <w:i/>
                <w:sz w:val="20"/>
                <w:szCs w:val="20"/>
              </w:rPr>
            </w:pPr>
            <w:r w:rsidRPr="00612E08">
              <w:rPr>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14:paraId="347C948E" w14:textId="77777777" w:rsidR="007760EC" w:rsidRPr="00612E08" w:rsidRDefault="007760EC" w:rsidP="00FC5213">
            <w:pPr>
              <w:jc w:val="both"/>
              <w:rPr>
                <w:i/>
                <w:sz w:val="20"/>
                <w:szCs w:val="20"/>
              </w:rPr>
            </w:pPr>
          </w:p>
          <w:p w14:paraId="2A5BCAE7" w14:textId="77777777" w:rsidR="007760EC" w:rsidRPr="00612E08" w:rsidRDefault="007760EC" w:rsidP="00FC5213">
            <w:pPr>
              <w:ind w:left="426"/>
              <w:contextualSpacing/>
              <w:rPr>
                <w:rFonts w:eastAsia="Calibri"/>
                <w:b/>
              </w:rPr>
            </w:pPr>
          </w:p>
        </w:tc>
      </w:tr>
      <w:tr w:rsidR="007760EC" w:rsidRPr="00612E08" w14:paraId="1A85F6F4" w14:textId="77777777" w:rsidTr="00FC5213">
        <w:tc>
          <w:tcPr>
            <w:tcW w:w="9176" w:type="dxa"/>
            <w:tcBorders>
              <w:top w:val="single" w:sz="4" w:space="0" w:color="auto"/>
              <w:left w:val="single" w:sz="4" w:space="0" w:color="auto"/>
              <w:bottom w:val="single" w:sz="4" w:space="0" w:color="FFFFFF"/>
              <w:right w:val="single" w:sz="4" w:space="0" w:color="auto"/>
            </w:tcBorders>
            <w:shd w:val="clear" w:color="auto" w:fill="E2E2E2"/>
          </w:tcPr>
          <w:p w14:paraId="4051BB29" w14:textId="77777777" w:rsidR="007760EC" w:rsidRPr="00612E08" w:rsidRDefault="007760EC" w:rsidP="00FC5213">
            <w:pPr>
              <w:numPr>
                <w:ilvl w:val="0"/>
                <w:numId w:val="1"/>
              </w:numPr>
              <w:ind w:left="426"/>
              <w:contextualSpacing/>
              <w:rPr>
                <w:rFonts w:eastAsia="Calibri"/>
                <w:b/>
              </w:rPr>
            </w:pPr>
            <w:r w:rsidRPr="00612E08">
              <w:rPr>
                <w:rFonts w:eastAsia="Calibri"/>
                <w:b/>
              </w:rPr>
              <w:t>Kontakt na spracovateľa</w:t>
            </w:r>
          </w:p>
        </w:tc>
      </w:tr>
      <w:tr w:rsidR="007760EC" w:rsidRPr="00612E08" w14:paraId="1098E20A" w14:textId="77777777" w:rsidTr="00FC521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05FA710" w14:textId="77777777" w:rsidR="007760EC" w:rsidRPr="00612E08" w:rsidRDefault="007760EC" w:rsidP="00FC5213">
            <w:pPr>
              <w:rPr>
                <w:i/>
                <w:sz w:val="20"/>
                <w:szCs w:val="20"/>
              </w:rPr>
            </w:pPr>
            <w:r w:rsidRPr="00612E08">
              <w:rPr>
                <w:i/>
                <w:sz w:val="20"/>
                <w:szCs w:val="20"/>
              </w:rPr>
              <w:t>Uveďte údaje na kontaktnú osobu, ktorú je možné kontaktovať v súvislosti s posúdením vybraných vplyvov.</w:t>
            </w:r>
          </w:p>
        </w:tc>
      </w:tr>
      <w:tr w:rsidR="007760EC" w:rsidRPr="00612E08" w14:paraId="0F198392" w14:textId="77777777" w:rsidTr="00FC5213">
        <w:tc>
          <w:tcPr>
            <w:tcW w:w="9176" w:type="dxa"/>
            <w:tcBorders>
              <w:top w:val="single" w:sz="4" w:space="0" w:color="auto"/>
              <w:left w:val="single" w:sz="4" w:space="0" w:color="auto"/>
              <w:bottom w:val="single" w:sz="4" w:space="0" w:color="FFFFFF"/>
              <w:right w:val="single" w:sz="4" w:space="0" w:color="auto"/>
            </w:tcBorders>
            <w:shd w:val="clear" w:color="auto" w:fill="E2E2E2"/>
          </w:tcPr>
          <w:p w14:paraId="54244936" w14:textId="77777777" w:rsidR="007760EC" w:rsidRPr="00612E08" w:rsidRDefault="007760EC" w:rsidP="00FC5213">
            <w:pPr>
              <w:numPr>
                <w:ilvl w:val="0"/>
                <w:numId w:val="1"/>
              </w:numPr>
              <w:ind w:left="426"/>
              <w:contextualSpacing/>
              <w:rPr>
                <w:rFonts w:eastAsia="Calibri"/>
                <w:b/>
              </w:rPr>
            </w:pPr>
            <w:r w:rsidRPr="00612E08">
              <w:rPr>
                <w:rFonts w:eastAsia="Calibri"/>
                <w:b/>
              </w:rPr>
              <w:t>Zdroje</w:t>
            </w:r>
          </w:p>
        </w:tc>
      </w:tr>
      <w:tr w:rsidR="007760EC" w:rsidRPr="00612E08" w14:paraId="3BDA50CB" w14:textId="77777777" w:rsidTr="00FC521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0D9418B" w14:textId="77777777" w:rsidR="007760EC" w:rsidRPr="00612E08" w:rsidRDefault="007760EC" w:rsidP="00FC5213">
            <w:pPr>
              <w:jc w:val="both"/>
              <w:rPr>
                <w:i/>
                <w:sz w:val="20"/>
                <w:szCs w:val="20"/>
              </w:rPr>
            </w:pPr>
            <w:r w:rsidRPr="00612E08">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eastAsia="Calibri"/>
              </w:rPr>
              <w:t xml:space="preserve"> </w:t>
            </w:r>
          </w:p>
          <w:p w14:paraId="09B4529B" w14:textId="77777777" w:rsidR="007760EC" w:rsidRPr="00612E08" w:rsidRDefault="007760EC" w:rsidP="00FC5213">
            <w:pPr>
              <w:rPr>
                <w:i/>
                <w:sz w:val="20"/>
                <w:szCs w:val="20"/>
              </w:rPr>
            </w:pPr>
          </w:p>
          <w:p w14:paraId="65D1C75E" w14:textId="77777777" w:rsidR="007760EC" w:rsidRPr="00612E08" w:rsidRDefault="007760EC" w:rsidP="00FC5213">
            <w:pPr>
              <w:rPr>
                <w:b/>
                <w:sz w:val="20"/>
                <w:szCs w:val="20"/>
              </w:rPr>
            </w:pPr>
          </w:p>
        </w:tc>
      </w:tr>
      <w:tr w:rsidR="007760EC" w:rsidRPr="00612E08" w14:paraId="39CC358C" w14:textId="77777777" w:rsidTr="00FC5213">
        <w:tc>
          <w:tcPr>
            <w:tcW w:w="9176" w:type="dxa"/>
            <w:tcBorders>
              <w:top w:val="single" w:sz="4" w:space="0" w:color="auto"/>
              <w:left w:val="single" w:sz="4" w:space="0" w:color="auto"/>
              <w:bottom w:val="single" w:sz="4" w:space="0" w:color="FFFFFF"/>
              <w:right w:val="single" w:sz="4" w:space="0" w:color="auto"/>
            </w:tcBorders>
            <w:shd w:val="clear" w:color="auto" w:fill="E2E2E2"/>
          </w:tcPr>
          <w:p w14:paraId="415A47F3" w14:textId="77777777" w:rsidR="007760EC" w:rsidRPr="00612E08" w:rsidRDefault="007760EC" w:rsidP="00FC5213">
            <w:pPr>
              <w:numPr>
                <w:ilvl w:val="0"/>
                <w:numId w:val="1"/>
              </w:numPr>
              <w:ind w:left="447" w:hanging="425"/>
              <w:contextualSpacing/>
              <w:rPr>
                <w:rFonts w:eastAsia="Calibri"/>
                <w:b/>
              </w:rPr>
            </w:pPr>
            <w:r w:rsidRPr="00612E08">
              <w:rPr>
                <w:rFonts w:eastAsia="Calibri"/>
                <w:b/>
              </w:rPr>
              <w:t>Stanovisko Komisie na posudzovanie vybraných vplyvov z PPK č. ..........</w:t>
            </w:r>
            <w:r w:rsidRPr="00612E08">
              <w:rPr>
                <w:rFonts w:ascii="Calibri" w:eastAsia="Calibri" w:hAnsi="Calibri"/>
              </w:rPr>
              <w:t xml:space="preserve"> </w:t>
            </w:r>
          </w:p>
          <w:p w14:paraId="3F8704B4" w14:textId="77777777" w:rsidR="007760EC" w:rsidRPr="00612E08" w:rsidRDefault="007760EC" w:rsidP="00FC5213">
            <w:pPr>
              <w:ind w:left="502"/>
              <w:rPr>
                <w:b/>
                <w:sz w:val="20"/>
                <w:szCs w:val="20"/>
              </w:rPr>
            </w:pPr>
            <w:r w:rsidRPr="00612E08">
              <w:rPr>
                <w:rFonts w:eastAsia="Calibri"/>
              </w:rPr>
              <w:t>(v prípade, ak sa uskutočnilo v zmysle bodu 8.1 Jednotnej metodiky)</w:t>
            </w:r>
          </w:p>
        </w:tc>
      </w:tr>
      <w:tr w:rsidR="007760EC" w:rsidRPr="00612E08" w14:paraId="4B3DCBEF" w14:textId="77777777" w:rsidTr="00FC5213">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A2F12A0" w14:textId="77777777" w:rsidR="007760EC" w:rsidRPr="00612E08" w:rsidRDefault="007760EC" w:rsidP="00FC5213">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760EC" w:rsidRPr="00612E08" w14:paraId="0A9D8CC9" w14:textId="77777777" w:rsidTr="00FC5213">
              <w:trPr>
                <w:trHeight w:val="396"/>
              </w:trPr>
              <w:tc>
                <w:tcPr>
                  <w:tcW w:w="2552" w:type="dxa"/>
                </w:tcPr>
                <w:p w14:paraId="2AEA6B01" w14:textId="77777777" w:rsidR="007760EC" w:rsidRPr="00612E08" w:rsidRDefault="007760EC" w:rsidP="00FC5213">
                  <w:pPr>
                    <w:rPr>
                      <w:b/>
                      <w:sz w:val="20"/>
                      <w:szCs w:val="20"/>
                    </w:rPr>
                  </w:pPr>
                  <w:sdt>
                    <w:sdtPr>
                      <w:rPr>
                        <w:b/>
                        <w:sz w:val="20"/>
                        <w:szCs w:val="20"/>
                      </w:rPr>
                      <w:id w:val="-1874910888"/>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Súhlasné </w:t>
                  </w:r>
                </w:p>
              </w:tc>
              <w:tc>
                <w:tcPr>
                  <w:tcW w:w="3827" w:type="dxa"/>
                </w:tcPr>
                <w:p w14:paraId="7E17C7E5" w14:textId="77777777" w:rsidR="007760EC" w:rsidRPr="00612E08" w:rsidRDefault="007760EC" w:rsidP="00FC5213">
                  <w:pPr>
                    <w:rPr>
                      <w:b/>
                      <w:sz w:val="20"/>
                      <w:szCs w:val="20"/>
                    </w:rPr>
                  </w:pPr>
                  <w:sdt>
                    <w:sdtPr>
                      <w:rPr>
                        <w:b/>
                        <w:sz w:val="20"/>
                        <w:szCs w:val="20"/>
                      </w:rPr>
                      <w:id w:val="1697888127"/>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Súhlasné s návrhom na dopracovanie</w:t>
                  </w:r>
                </w:p>
              </w:tc>
              <w:tc>
                <w:tcPr>
                  <w:tcW w:w="2534" w:type="dxa"/>
                </w:tcPr>
                <w:p w14:paraId="715CA7C8" w14:textId="77777777" w:rsidR="007760EC" w:rsidRPr="00612E08" w:rsidRDefault="007760EC" w:rsidP="00FC5213">
                  <w:pPr>
                    <w:ind w:right="459"/>
                    <w:rPr>
                      <w:b/>
                      <w:sz w:val="20"/>
                      <w:szCs w:val="20"/>
                    </w:rPr>
                  </w:pPr>
                  <w:sdt>
                    <w:sdtPr>
                      <w:rPr>
                        <w:b/>
                        <w:sz w:val="20"/>
                        <w:szCs w:val="20"/>
                      </w:rPr>
                      <w:id w:val="-647822913"/>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Nesúhlasné</w:t>
                  </w:r>
                </w:p>
              </w:tc>
            </w:tr>
          </w:tbl>
          <w:p w14:paraId="592EA880" w14:textId="77777777" w:rsidR="007760EC" w:rsidRPr="00612E08" w:rsidRDefault="007760EC" w:rsidP="00FC5213">
            <w:pPr>
              <w:jc w:val="both"/>
              <w:rPr>
                <w:b/>
                <w:sz w:val="20"/>
                <w:szCs w:val="20"/>
              </w:rPr>
            </w:pPr>
            <w:r w:rsidRPr="00612E08">
              <w:rPr>
                <w:b/>
                <w:sz w:val="20"/>
                <w:szCs w:val="20"/>
              </w:rPr>
              <w:t>Uveďte pripomienky zo stanoviska Komisie z časti II. spolu s Vaším vyhodnotením:</w:t>
            </w:r>
          </w:p>
          <w:p w14:paraId="6E031A27" w14:textId="77777777" w:rsidR="007760EC" w:rsidRPr="00612E08" w:rsidRDefault="007760EC" w:rsidP="00FC5213">
            <w:pPr>
              <w:rPr>
                <w:b/>
                <w:sz w:val="20"/>
                <w:szCs w:val="20"/>
              </w:rPr>
            </w:pPr>
          </w:p>
          <w:p w14:paraId="080F3A57" w14:textId="77777777" w:rsidR="007760EC" w:rsidRPr="00612E08" w:rsidRDefault="007760EC" w:rsidP="00FC5213">
            <w:pPr>
              <w:rPr>
                <w:b/>
                <w:sz w:val="20"/>
                <w:szCs w:val="20"/>
              </w:rPr>
            </w:pPr>
          </w:p>
        </w:tc>
      </w:tr>
      <w:tr w:rsidR="007760EC" w:rsidRPr="00612E08" w14:paraId="5D5C45F4" w14:textId="77777777" w:rsidTr="00FC5213">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1CC56FBC" w14:textId="77777777" w:rsidR="007760EC" w:rsidRPr="00612E08" w:rsidRDefault="007760EC" w:rsidP="00FC5213">
            <w:pPr>
              <w:numPr>
                <w:ilvl w:val="0"/>
                <w:numId w:val="1"/>
              </w:numPr>
              <w:ind w:left="450" w:hanging="425"/>
              <w:contextualSpacing/>
              <w:jc w:val="both"/>
              <w:rPr>
                <w:rFonts w:eastAsia="Calibri"/>
                <w:b/>
              </w:rPr>
            </w:pPr>
            <w:r w:rsidRPr="00612E08">
              <w:rPr>
                <w:rFonts w:eastAsia="Calibri"/>
                <w:b/>
              </w:rPr>
              <w:t>Stanovisko Komisie na posudzovanie vybraných vplyvov zo záverečného posúdenia č. ..........</w:t>
            </w:r>
            <w:r w:rsidRPr="00612E08">
              <w:rPr>
                <w:rFonts w:eastAsia="Calibri"/>
              </w:rPr>
              <w:t xml:space="preserve"> (v prípade, ak sa uskutočnilo v zmysle bodu 9.1. Jednotnej metodiky) </w:t>
            </w:r>
          </w:p>
        </w:tc>
      </w:tr>
      <w:tr w:rsidR="007760EC" w:rsidRPr="00612E08" w14:paraId="37172910" w14:textId="77777777" w:rsidTr="00FC5213">
        <w:tblPrEx>
          <w:tblBorders>
            <w:insideH w:val="single" w:sz="4" w:space="0" w:color="FFFFFF"/>
            <w:insideV w:val="single" w:sz="4" w:space="0" w:color="FFFFFF"/>
          </w:tblBorders>
        </w:tblPrEx>
        <w:tc>
          <w:tcPr>
            <w:tcW w:w="9176" w:type="dxa"/>
            <w:shd w:val="clear" w:color="auto" w:fill="FFFFFF"/>
          </w:tcPr>
          <w:p w14:paraId="37F4867F" w14:textId="77777777" w:rsidR="007760EC" w:rsidRPr="00612E08" w:rsidRDefault="007760EC" w:rsidP="00FC5213">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760EC" w:rsidRPr="00612E08" w14:paraId="2FD7465C" w14:textId="77777777" w:rsidTr="00FC5213">
              <w:trPr>
                <w:trHeight w:val="396"/>
              </w:trPr>
              <w:tc>
                <w:tcPr>
                  <w:tcW w:w="2552" w:type="dxa"/>
                </w:tcPr>
                <w:p w14:paraId="3AD87C58" w14:textId="77777777" w:rsidR="007760EC" w:rsidRPr="00612E08" w:rsidRDefault="007760EC" w:rsidP="00FC5213">
                  <w:pPr>
                    <w:rPr>
                      <w:b/>
                      <w:sz w:val="20"/>
                      <w:szCs w:val="20"/>
                    </w:rPr>
                  </w:pPr>
                  <w:sdt>
                    <w:sdtPr>
                      <w:rPr>
                        <w:b/>
                        <w:sz w:val="20"/>
                        <w:szCs w:val="20"/>
                      </w:rPr>
                      <w:id w:val="888232876"/>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Súhlasné </w:t>
                  </w:r>
                </w:p>
              </w:tc>
              <w:tc>
                <w:tcPr>
                  <w:tcW w:w="3827" w:type="dxa"/>
                </w:tcPr>
                <w:p w14:paraId="1E271D61" w14:textId="77777777" w:rsidR="007760EC" w:rsidRPr="00612E08" w:rsidRDefault="007760EC" w:rsidP="00FC5213">
                  <w:pPr>
                    <w:rPr>
                      <w:b/>
                      <w:sz w:val="20"/>
                      <w:szCs w:val="20"/>
                    </w:rPr>
                  </w:pPr>
                  <w:sdt>
                    <w:sdtPr>
                      <w:rPr>
                        <w:b/>
                        <w:sz w:val="20"/>
                        <w:szCs w:val="20"/>
                      </w:rPr>
                      <w:id w:val="953831761"/>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Súhlasné s  návrhom na dopracovanie</w:t>
                  </w:r>
                </w:p>
              </w:tc>
              <w:tc>
                <w:tcPr>
                  <w:tcW w:w="2534" w:type="dxa"/>
                </w:tcPr>
                <w:p w14:paraId="5D9ECACF" w14:textId="77777777" w:rsidR="007760EC" w:rsidRPr="00612E08" w:rsidRDefault="007760EC" w:rsidP="00FC5213">
                  <w:pPr>
                    <w:ind w:right="459"/>
                    <w:rPr>
                      <w:b/>
                      <w:sz w:val="20"/>
                      <w:szCs w:val="20"/>
                    </w:rPr>
                  </w:pPr>
                  <w:sdt>
                    <w:sdtPr>
                      <w:rPr>
                        <w:b/>
                        <w:sz w:val="20"/>
                        <w:szCs w:val="20"/>
                      </w:rPr>
                      <w:id w:val="-361740452"/>
                      <w14:checkbox>
                        <w14:checked w14:val="0"/>
                        <w14:checkedState w14:val="2612" w14:font="MS Gothic"/>
                        <w14:uncheckedState w14:val="2610" w14:font="MS Gothic"/>
                      </w14:checkbox>
                    </w:sdtPr>
                    <w:sdtContent>
                      <w:r w:rsidRPr="00612E08">
                        <w:rPr>
                          <w:rFonts w:ascii="MS Gothic" w:eastAsia="MS Gothic" w:hAnsi="MS Gothic" w:hint="eastAsia"/>
                          <w:b/>
                          <w:sz w:val="20"/>
                          <w:szCs w:val="20"/>
                        </w:rPr>
                        <w:t>☐</w:t>
                      </w:r>
                    </w:sdtContent>
                  </w:sdt>
                  <w:r w:rsidRPr="00612E08">
                    <w:rPr>
                      <w:b/>
                      <w:sz w:val="20"/>
                      <w:szCs w:val="20"/>
                    </w:rPr>
                    <w:t xml:space="preserve">  Nesúhlasné</w:t>
                  </w:r>
                </w:p>
              </w:tc>
            </w:tr>
          </w:tbl>
          <w:p w14:paraId="70B3051F" w14:textId="77777777" w:rsidR="007760EC" w:rsidRPr="00612E08" w:rsidRDefault="007760EC" w:rsidP="00FC5213">
            <w:pPr>
              <w:jc w:val="both"/>
              <w:rPr>
                <w:b/>
                <w:sz w:val="20"/>
                <w:szCs w:val="20"/>
              </w:rPr>
            </w:pPr>
            <w:r w:rsidRPr="00612E08">
              <w:rPr>
                <w:b/>
                <w:sz w:val="20"/>
                <w:szCs w:val="20"/>
              </w:rPr>
              <w:t>Uveďte pripomienky zo stanoviska Komisie z časti II. spolu s Vaším vyhodnotením:</w:t>
            </w:r>
          </w:p>
          <w:p w14:paraId="1ED85DF7" w14:textId="77777777" w:rsidR="007760EC" w:rsidRPr="00612E08" w:rsidRDefault="007760EC" w:rsidP="00FC5213">
            <w:pPr>
              <w:rPr>
                <w:b/>
                <w:sz w:val="20"/>
                <w:szCs w:val="20"/>
              </w:rPr>
            </w:pPr>
          </w:p>
          <w:p w14:paraId="6D998F30" w14:textId="77777777" w:rsidR="007760EC" w:rsidRPr="00612E08" w:rsidRDefault="007760EC" w:rsidP="00FC5213">
            <w:pPr>
              <w:rPr>
                <w:b/>
                <w:sz w:val="20"/>
                <w:szCs w:val="20"/>
              </w:rPr>
            </w:pPr>
          </w:p>
        </w:tc>
      </w:tr>
    </w:tbl>
    <w:p w14:paraId="714C1A76" w14:textId="34694A2B" w:rsidR="007760EC" w:rsidRDefault="007760EC">
      <w:pPr>
        <w:rPr>
          <w:color w:val="000000" w:themeColor="text1"/>
        </w:rPr>
      </w:pPr>
    </w:p>
    <w:p w14:paraId="464F33E7" w14:textId="77777777" w:rsidR="007760EC" w:rsidRDefault="007760EC">
      <w:pPr>
        <w:rPr>
          <w:color w:val="000000" w:themeColor="text1"/>
        </w:rPr>
      </w:pPr>
      <w:r>
        <w:rPr>
          <w:color w:val="000000" w:themeColor="text1"/>
        </w:rPr>
        <w:br w:type="page"/>
      </w:r>
    </w:p>
    <w:p w14:paraId="0AE96EA6" w14:textId="77777777" w:rsidR="007760EC" w:rsidRPr="00024FAC" w:rsidRDefault="007760EC" w:rsidP="007760EC">
      <w:pPr>
        <w:jc w:val="center"/>
        <w:rPr>
          <w:b/>
          <w:bCs/>
        </w:rPr>
      </w:pPr>
      <w:r w:rsidRPr="00024FAC">
        <w:rPr>
          <w:b/>
          <w:bCs/>
        </w:rPr>
        <w:lastRenderedPageBreak/>
        <w:t xml:space="preserve">DOLOŽKA ZLUČITEĽNOSTI </w:t>
      </w:r>
    </w:p>
    <w:p w14:paraId="384684C3" w14:textId="77777777" w:rsidR="007760EC" w:rsidRPr="00024FAC" w:rsidRDefault="007760EC" w:rsidP="007760EC">
      <w:pPr>
        <w:jc w:val="center"/>
        <w:rPr>
          <w:b/>
          <w:bCs/>
        </w:rPr>
      </w:pPr>
      <w:r>
        <w:rPr>
          <w:b/>
          <w:bCs/>
        </w:rPr>
        <w:t>návrhu zákona</w:t>
      </w:r>
      <w:r w:rsidRPr="00024FAC">
        <w:rPr>
          <w:b/>
          <w:bCs/>
        </w:rPr>
        <w:t> s právom Európskej únie</w:t>
      </w:r>
    </w:p>
    <w:p w14:paraId="045FF7FF" w14:textId="77777777" w:rsidR="007760EC" w:rsidRPr="00024FAC" w:rsidRDefault="007760EC" w:rsidP="007760EC">
      <w:pPr>
        <w:jc w:val="center"/>
        <w:rPr>
          <w:b/>
          <w:bCs/>
        </w:rPr>
      </w:pPr>
    </w:p>
    <w:p w14:paraId="70B9AC3A" w14:textId="77777777" w:rsidR="007760EC" w:rsidRPr="007760EC" w:rsidRDefault="007760EC" w:rsidP="007760EC">
      <w:pPr>
        <w:jc w:val="both"/>
        <w:rPr>
          <w:b/>
          <w:bCs/>
        </w:rPr>
      </w:pPr>
      <w:r w:rsidRPr="00024FAC">
        <w:rPr>
          <w:b/>
          <w:bCs/>
        </w:rPr>
        <w:t>1</w:t>
      </w:r>
      <w:r w:rsidRPr="007760EC">
        <w:rPr>
          <w:b/>
          <w:bCs/>
        </w:rPr>
        <w:t xml:space="preserve">. Navrhovateľ zákona: </w:t>
      </w:r>
    </w:p>
    <w:p w14:paraId="1E112EEC" w14:textId="77777777" w:rsidR="007760EC" w:rsidRPr="007760EC" w:rsidRDefault="007760EC" w:rsidP="007760EC">
      <w:pPr>
        <w:jc w:val="both"/>
      </w:pPr>
      <w:r w:rsidRPr="007760EC">
        <w:t>Úrad vlády Slovenskej republiky.</w:t>
      </w:r>
    </w:p>
    <w:p w14:paraId="1441E556" w14:textId="77777777" w:rsidR="007760EC" w:rsidRPr="007760EC" w:rsidRDefault="007760EC" w:rsidP="007760EC">
      <w:pPr>
        <w:jc w:val="both"/>
      </w:pPr>
    </w:p>
    <w:p w14:paraId="3F07C04D" w14:textId="77777777" w:rsidR="007760EC" w:rsidRPr="007760EC" w:rsidRDefault="007760EC" w:rsidP="007760EC">
      <w:pPr>
        <w:numPr>
          <w:ilvl w:val="0"/>
          <w:numId w:val="2"/>
        </w:numPr>
        <w:tabs>
          <w:tab w:val="clear" w:pos="720"/>
          <w:tab w:val="num" w:pos="284"/>
          <w:tab w:val="num" w:pos="567"/>
        </w:tabs>
        <w:ind w:hanging="720"/>
        <w:jc w:val="both"/>
        <w:rPr>
          <w:b/>
          <w:bCs/>
        </w:rPr>
      </w:pPr>
      <w:r w:rsidRPr="007760EC">
        <w:rPr>
          <w:b/>
          <w:bCs/>
        </w:rPr>
        <w:t>Názov návrhu zákona:</w:t>
      </w:r>
    </w:p>
    <w:p w14:paraId="27691C52" w14:textId="77777777" w:rsidR="007760EC" w:rsidRPr="007760EC" w:rsidRDefault="007760EC" w:rsidP="007760EC">
      <w:pPr>
        <w:jc w:val="both"/>
        <w:rPr>
          <w:color w:val="000000" w:themeColor="text1"/>
        </w:rPr>
      </w:pPr>
      <w:r w:rsidRPr="007760EC">
        <w:rPr>
          <w:color w:val="000000"/>
        </w:rPr>
        <w:t xml:space="preserve">Návrh zákona, </w:t>
      </w:r>
      <w:r w:rsidRPr="007760EC">
        <w:t xml:space="preserve">ktorým sa mení a dopĺňa zákon č. 54/2019 Z. z. o ochrane oznamovateľov protispoločenskej činnosti a o zmene a doplnení niektorých zákonov v znení zákona </w:t>
      </w:r>
      <w:r w:rsidRPr="007760EC">
        <w:br/>
        <w:t>č. 189/2023 Z. z.</w:t>
      </w:r>
    </w:p>
    <w:p w14:paraId="0670412C" w14:textId="77777777" w:rsidR="007760EC" w:rsidRPr="007760EC" w:rsidRDefault="007760EC" w:rsidP="007760EC">
      <w:pPr>
        <w:jc w:val="both"/>
        <w:rPr>
          <w:color w:val="000000" w:themeColor="text1"/>
        </w:rPr>
      </w:pPr>
    </w:p>
    <w:p w14:paraId="1B80DE1F" w14:textId="77777777" w:rsidR="007760EC" w:rsidRPr="007760EC" w:rsidRDefault="007760EC" w:rsidP="007760EC">
      <w:pPr>
        <w:numPr>
          <w:ilvl w:val="0"/>
          <w:numId w:val="2"/>
        </w:numPr>
        <w:tabs>
          <w:tab w:val="clear" w:pos="720"/>
          <w:tab w:val="num" w:pos="284"/>
          <w:tab w:val="num" w:pos="567"/>
        </w:tabs>
        <w:ind w:hanging="720"/>
        <w:jc w:val="both"/>
        <w:rPr>
          <w:b/>
          <w:color w:val="000000" w:themeColor="text1"/>
        </w:rPr>
      </w:pPr>
      <w:r w:rsidRPr="007760EC">
        <w:rPr>
          <w:b/>
          <w:bCs/>
        </w:rPr>
        <w:t>Predmet</w:t>
      </w:r>
      <w:r w:rsidRPr="007760EC">
        <w:rPr>
          <w:b/>
          <w:color w:val="000000" w:themeColor="text1"/>
        </w:rPr>
        <w:t xml:space="preserve"> návrhu zákona je upravený v práve Európskej únie:</w:t>
      </w:r>
    </w:p>
    <w:p w14:paraId="39D61A63" w14:textId="77777777" w:rsidR="007760EC" w:rsidRPr="007760EC" w:rsidRDefault="007760EC" w:rsidP="007760EC">
      <w:pPr>
        <w:pStyle w:val="Odsekzoznamu"/>
        <w:numPr>
          <w:ilvl w:val="0"/>
          <w:numId w:val="3"/>
        </w:numPr>
        <w:spacing w:after="0" w:line="240" w:lineRule="auto"/>
        <w:jc w:val="both"/>
        <w:rPr>
          <w:rFonts w:ascii="Times New Roman" w:hAnsi="Times New Roman"/>
          <w:sz w:val="24"/>
          <w:szCs w:val="24"/>
        </w:rPr>
      </w:pPr>
      <w:r w:rsidRPr="007760EC">
        <w:rPr>
          <w:rFonts w:ascii="Times New Roman" w:hAnsi="Times New Roman"/>
          <w:sz w:val="24"/>
          <w:szCs w:val="24"/>
        </w:rPr>
        <w:t xml:space="preserve">v primárnom práve </w:t>
      </w:r>
    </w:p>
    <w:p w14:paraId="65BF1A9C" w14:textId="77777777" w:rsidR="007760EC" w:rsidRPr="007760EC" w:rsidRDefault="007760EC" w:rsidP="007760EC">
      <w:pPr>
        <w:pStyle w:val="Odsekzoznamu"/>
        <w:jc w:val="both"/>
        <w:rPr>
          <w:rFonts w:ascii="Times New Roman" w:hAnsi="Times New Roman"/>
          <w:sz w:val="24"/>
          <w:szCs w:val="24"/>
        </w:rPr>
      </w:pPr>
      <w:r w:rsidRPr="007760EC">
        <w:rPr>
          <w:rFonts w:ascii="Times New Roman" w:hAnsi="Times New Roman"/>
          <w:sz w:val="24"/>
          <w:szCs w:val="24"/>
        </w:rPr>
        <w:t xml:space="preserve">článok 16, článok 43 ods. 2, článok 45, článok 50, článok 53 ods. 1, články 91, 100 a 114, článok 168 ods. 4, článok 169, článok 192 ods. 1 a článok 325 ods. 4 Zmluvy o fungovaní Európskej únie (konsolidované znenie) (Ú. v. EÚ C 202, 7. 6. 2016) a článok 31 Zmluvy o založení Európskeho spoločenstva pre atómovú energiu (konsolidované znenie) (Ú. v. EÚ C 203, 7. 6. 2016); </w:t>
      </w:r>
    </w:p>
    <w:p w14:paraId="6F6CB9EC" w14:textId="77777777" w:rsidR="007760EC" w:rsidRPr="007760EC" w:rsidRDefault="007760EC" w:rsidP="007760EC">
      <w:pPr>
        <w:pStyle w:val="Odsekzoznamu"/>
        <w:jc w:val="both"/>
        <w:rPr>
          <w:rFonts w:ascii="Times New Roman" w:hAnsi="Times New Roman"/>
          <w:sz w:val="24"/>
          <w:szCs w:val="24"/>
        </w:rPr>
      </w:pPr>
    </w:p>
    <w:p w14:paraId="3925781D" w14:textId="77777777" w:rsidR="007760EC" w:rsidRPr="007760EC" w:rsidRDefault="007760EC" w:rsidP="007760EC">
      <w:pPr>
        <w:pStyle w:val="Odsekzoznamu"/>
        <w:numPr>
          <w:ilvl w:val="0"/>
          <w:numId w:val="3"/>
        </w:numPr>
        <w:spacing w:after="0" w:line="240" w:lineRule="auto"/>
        <w:jc w:val="both"/>
        <w:rPr>
          <w:rFonts w:ascii="Times New Roman" w:hAnsi="Times New Roman"/>
          <w:sz w:val="24"/>
          <w:szCs w:val="24"/>
        </w:rPr>
      </w:pPr>
      <w:r w:rsidRPr="007760EC">
        <w:rPr>
          <w:rFonts w:ascii="Times New Roman" w:hAnsi="Times New Roman"/>
          <w:sz w:val="24"/>
          <w:szCs w:val="24"/>
        </w:rPr>
        <w:t>v sekundárnom práve</w:t>
      </w:r>
    </w:p>
    <w:p w14:paraId="6D7DC13B" w14:textId="77777777" w:rsidR="007760EC" w:rsidRPr="007760EC" w:rsidRDefault="007760EC" w:rsidP="007760EC">
      <w:pPr>
        <w:pStyle w:val="Odsekzoznamu"/>
        <w:jc w:val="both"/>
        <w:rPr>
          <w:rFonts w:ascii="Times New Roman" w:hAnsi="Times New Roman"/>
          <w:sz w:val="24"/>
          <w:szCs w:val="24"/>
        </w:rPr>
      </w:pPr>
      <w:r w:rsidRPr="007760EC">
        <w:rPr>
          <w:rFonts w:ascii="Times New Roman" w:hAnsi="Times New Roman"/>
          <w:sz w:val="24"/>
          <w:szCs w:val="24"/>
        </w:rPr>
        <w:t>smernica Európskeho parlamentu a Rady (EÚ) 2019/1937 z 23. októbra 2019 o ochrane osôb, ktoré nahlasujú porušenia práva Únie (Ú. v. EÚ L 305, 26.11.2019) v platnom znení (ďalej len „smernica (EÚ) 2019/1937“)</w:t>
      </w:r>
    </w:p>
    <w:p w14:paraId="0C6AE654" w14:textId="77777777" w:rsidR="007760EC" w:rsidRPr="007760EC" w:rsidRDefault="007760EC" w:rsidP="007760EC">
      <w:pPr>
        <w:pStyle w:val="Odsekzoznamu"/>
        <w:jc w:val="both"/>
        <w:rPr>
          <w:rFonts w:ascii="Times New Roman" w:hAnsi="Times New Roman"/>
          <w:sz w:val="24"/>
          <w:szCs w:val="24"/>
        </w:rPr>
      </w:pPr>
      <w:r w:rsidRPr="007760EC">
        <w:rPr>
          <w:rFonts w:ascii="Times New Roman" w:hAnsi="Times New Roman"/>
          <w:sz w:val="24"/>
          <w:szCs w:val="24"/>
        </w:rPr>
        <w:t>gestor: Úrad vlády Slovenskej republiky;</w:t>
      </w:r>
    </w:p>
    <w:p w14:paraId="7C12DB96" w14:textId="77777777" w:rsidR="007760EC" w:rsidRPr="007760EC" w:rsidRDefault="007760EC" w:rsidP="007760EC">
      <w:pPr>
        <w:pStyle w:val="Odsekzoznamu"/>
        <w:jc w:val="both"/>
        <w:rPr>
          <w:rFonts w:ascii="Times New Roman" w:hAnsi="Times New Roman"/>
          <w:sz w:val="24"/>
          <w:szCs w:val="24"/>
        </w:rPr>
      </w:pPr>
      <w:r w:rsidRPr="007760EC">
        <w:rPr>
          <w:rFonts w:ascii="Times New Roman" w:hAnsi="Times New Roman"/>
          <w:sz w:val="24"/>
          <w:szCs w:val="24"/>
        </w:rPr>
        <w:t xml:space="preserve"> </w:t>
      </w:r>
    </w:p>
    <w:p w14:paraId="7A7EF6BC" w14:textId="77777777" w:rsidR="007760EC" w:rsidRPr="007760EC" w:rsidRDefault="007760EC" w:rsidP="007760EC">
      <w:pPr>
        <w:pStyle w:val="Odsekzoznamu"/>
        <w:numPr>
          <w:ilvl w:val="0"/>
          <w:numId w:val="3"/>
        </w:numPr>
        <w:spacing w:after="0" w:line="240" w:lineRule="auto"/>
        <w:jc w:val="both"/>
        <w:rPr>
          <w:rFonts w:ascii="Times New Roman" w:hAnsi="Times New Roman"/>
          <w:color w:val="333333"/>
          <w:sz w:val="27"/>
          <w:szCs w:val="27"/>
          <w:shd w:val="clear" w:color="auto" w:fill="FFFFFF"/>
        </w:rPr>
      </w:pPr>
      <w:r w:rsidRPr="007760EC">
        <w:rPr>
          <w:rFonts w:ascii="Times New Roman" w:hAnsi="Times New Roman"/>
          <w:sz w:val="24"/>
          <w:szCs w:val="24"/>
        </w:rPr>
        <w:t>nie je obsiahnutý v judikatúre Súdneho dvora Európskej únie.</w:t>
      </w:r>
    </w:p>
    <w:p w14:paraId="73CC8434" w14:textId="77777777" w:rsidR="007760EC" w:rsidRPr="007760EC" w:rsidRDefault="007760EC" w:rsidP="007760EC">
      <w:pPr>
        <w:jc w:val="center"/>
      </w:pPr>
    </w:p>
    <w:p w14:paraId="07F8AD1D" w14:textId="77777777" w:rsidR="007760EC" w:rsidRPr="007760EC" w:rsidRDefault="007760EC" w:rsidP="007760EC">
      <w:pPr>
        <w:jc w:val="both"/>
        <w:rPr>
          <w:b/>
          <w:bCs/>
        </w:rPr>
      </w:pPr>
      <w:r w:rsidRPr="007760EC">
        <w:rPr>
          <w:b/>
          <w:bCs/>
        </w:rPr>
        <w:t>4. Záväzky Slovenskej republiky vo vzťahu k Európskej únii:</w:t>
      </w:r>
    </w:p>
    <w:p w14:paraId="6A15EC80" w14:textId="77777777" w:rsidR="007760EC" w:rsidRPr="007760EC" w:rsidRDefault="007760EC" w:rsidP="007760EC">
      <w:pPr>
        <w:pStyle w:val="Odsekzoznamu"/>
        <w:numPr>
          <w:ilvl w:val="0"/>
          <w:numId w:val="5"/>
        </w:numPr>
        <w:spacing w:after="0" w:line="240" w:lineRule="auto"/>
        <w:jc w:val="both"/>
        <w:rPr>
          <w:rFonts w:ascii="Times New Roman" w:hAnsi="Times New Roman"/>
        </w:rPr>
      </w:pPr>
      <w:r w:rsidRPr="007760EC">
        <w:rPr>
          <w:rFonts w:ascii="Times New Roman" w:hAnsi="Times New Roman"/>
          <w:sz w:val="24"/>
          <w:szCs w:val="24"/>
        </w:rPr>
        <w:t xml:space="preserve">uviesť lehotu na prebranie príslušného právneho aktu Európskej únie, príp. aj osobitnú lehotu účinnosti jeho ustanovení: transpozičná lehota smernice (EÚ) 2019/1937: </w:t>
      </w:r>
    </w:p>
    <w:p w14:paraId="661EE8D4" w14:textId="77777777" w:rsidR="007760EC" w:rsidRPr="007760EC" w:rsidRDefault="007760EC" w:rsidP="007760EC">
      <w:pPr>
        <w:pStyle w:val="Odsekzoznamu"/>
        <w:jc w:val="both"/>
        <w:rPr>
          <w:rFonts w:ascii="Times New Roman" w:hAnsi="Times New Roman"/>
        </w:rPr>
      </w:pPr>
      <w:r w:rsidRPr="007760EC">
        <w:rPr>
          <w:rFonts w:ascii="Times New Roman" w:hAnsi="Times New Roman"/>
          <w:sz w:val="24"/>
          <w:szCs w:val="24"/>
        </w:rPr>
        <w:t>17. december 2021</w:t>
      </w:r>
      <w:r w:rsidRPr="007760EC">
        <w:rPr>
          <w:rFonts w:ascii="Times New Roman" w:hAnsi="Times New Roman"/>
        </w:rPr>
        <w:t xml:space="preserve"> </w:t>
      </w:r>
    </w:p>
    <w:p w14:paraId="4AD6F04C" w14:textId="77777777" w:rsidR="007760EC" w:rsidRPr="007760EC" w:rsidRDefault="007760EC" w:rsidP="007760EC">
      <w:pPr>
        <w:pStyle w:val="Odsekzoznamu"/>
        <w:jc w:val="both"/>
        <w:rPr>
          <w:rFonts w:ascii="Times New Roman" w:hAnsi="Times New Roman"/>
          <w:sz w:val="24"/>
          <w:szCs w:val="24"/>
        </w:rPr>
      </w:pPr>
    </w:p>
    <w:p w14:paraId="32CD60F0" w14:textId="77777777" w:rsidR="007760EC" w:rsidRPr="007760EC" w:rsidRDefault="007760EC" w:rsidP="007760EC">
      <w:pPr>
        <w:pStyle w:val="Odsekzoznamu"/>
        <w:numPr>
          <w:ilvl w:val="0"/>
          <w:numId w:val="5"/>
        </w:numPr>
        <w:spacing w:after="0" w:line="240" w:lineRule="auto"/>
        <w:jc w:val="both"/>
        <w:rPr>
          <w:rFonts w:ascii="Times New Roman" w:hAnsi="Times New Roman"/>
          <w:sz w:val="24"/>
          <w:szCs w:val="24"/>
        </w:rPr>
      </w:pPr>
      <w:r w:rsidRPr="007760EC">
        <w:rPr>
          <w:rFonts w:ascii="Times New Roman" w:hAnsi="Times New Roman"/>
          <w:sz w:val="24"/>
          <w:szCs w:val="24"/>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2 parlamentu, Rady a Komisie: -</w:t>
      </w:r>
      <w:r w:rsidRPr="007760EC">
        <w:rPr>
          <w:rFonts w:ascii="Times New Roman" w:hAnsi="Times New Roman"/>
          <w:sz w:val="24"/>
          <w:szCs w:val="24"/>
        </w:rPr>
        <w:tab/>
        <w:t xml:space="preserve">proti Slovenskej republike nebolo začaté konanie v rámci „EÚ Pilot“. </w:t>
      </w:r>
    </w:p>
    <w:p w14:paraId="0C0C9C0D" w14:textId="77777777" w:rsidR="007760EC" w:rsidRPr="007760EC" w:rsidRDefault="007760EC" w:rsidP="007760EC">
      <w:pPr>
        <w:pStyle w:val="Odsekzoznamu"/>
        <w:numPr>
          <w:ilvl w:val="0"/>
          <w:numId w:val="6"/>
        </w:numPr>
        <w:spacing w:after="0" w:line="240" w:lineRule="auto"/>
        <w:ind w:left="1418" w:hanging="698"/>
        <w:jc w:val="both"/>
        <w:rPr>
          <w:rFonts w:ascii="Times New Roman" w:hAnsi="Times New Roman"/>
          <w:sz w:val="24"/>
          <w:szCs w:val="24"/>
        </w:rPr>
      </w:pPr>
      <w:r w:rsidRPr="007760EC">
        <w:rPr>
          <w:rFonts w:ascii="Times New Roman" w:hAnsi="Times New Roman"/>
          <w:sz w:val="24"/>
          <w:szCs w:val="24"/>
        </w:rPr>
        <w:t>proti Slovenskej republike bolo začaté konanie podľa čl. 258 Zmluvy o fungovaní Európskej únie v jej platnom znení z dôvodu neoznámenia transpozičných opatrení k smernici (EÚ) 2019/1937.</w:t>
      </w:r>
    </w:p>
    <w:p w14:paraId="5ACB4F6D" w14:textId="77777777" w:rsidR="007760EC" w:rsidRPr="007760EC" w:rsidRDefault="007760EC" w:rsidP="007760EC">
      <w:pPr>
        <w:pStyle w:val="Odsekzoznamu"/>
        <w:numPr>
          <w:ilvl w:val="0"/>
          <w:numId w:val="6"/>
        </w:numPr>
        <w:spacing w:after="0" w:line="240" w:lineRule="auto"/>
        <w:ind w:left="1418" w:hanging="698"/>
        <w:jc w:val="both"/>
        <w:rPr>
          <w:rFonts w:ascii="Times New Roman" w:hAnsi="Times New Roman"/>
          <w:sz w:val="24"/>
          <w:szCs w:val="24"/>
        </w:rPr>
      </w:pPr>
      <w:r w:rsidRPr="007760EC">
        <w:rPr>
          <w:rFonts w:ascii="Times New Roman" w:hAnsi="Times New Roman"/>
          <w:sz w:val="24"/>
          <w:szCs w:val="24"/>
        </w:rPr>
        <w:t xml:space="preserve">konanie Súdneho dvora Európskej únie proti Slovenskej republike podľa čl. 258 a 260 Zmluvy o fungovaní Európskej únie v platnom znení nebolo začaté. </w:t>
      </w:r>
    </w:p>
    <w:p w14:paraId="44B2E4FC" w14:textId="77777777" w:rsidR="007760EC" w:rsidRPr="007760EC" w:rsidRDefault="007760EC" w:rsidP="007760EC">
      <w:pPr>
        <w:pStyle w:val="Odsekzoznamu"/>
        <w:jc w:val="both"/>
        <w:rPr>
          <w:rFonts w:ascii="Times New Roman" w:hAnsi="Times New Roman"/>
          <w:sz w:val="24"/>
          <w:szCs w:val="24"/>
        </w:rPr>
      </w:pPr>
    </w:p>
    <w:p w14:paraId="1E076FF7" w14:textId="77777777" w:rsidR="007760EC" w:rsidRPr="007760EC" w:rsidRDefault="007760EC" w:rsidP="007760EC">
      <w:pPr>
        <w:pStyle w:val="Odsekzoznamu"/>
        <w:numPr>
          <w:ilvl w:val="0"/>
          <w:numId w:val="5"/>
        </w:numPr>
        <w:spacing w:after="0" w:line="240" w:lineRule="auto"/>
        <w:jc w:val="both"/>
        <w:rPr>
          <w:rFonts w:ascii="Times New Roman" w:hAnsi="Times New Roman"/>
          <w:sz w:val="24"/>
          <w:szCs w:val="24"/>
        </w:rPr>
      </w:pPr>
      <w:r w:rsidRPr="007760EC">
        <w:rPr>
          <w:rFonts w:ascii="Times New Roman" w:hAnsi="Times New Roman"/>
          <w:sz w:val="24"/>
          <w:szCs w:val="24"/>
        </w:rPr>
        <w:t xml:space="preserve">uviesť informáciu o právnych predpisoch, v ktorých sú uvádzané právne akty Európskej únie už prebrané, spolu s uvedením rozsahu ich prebrania, príp. potreby prijatia ďalších úprav: </w:t>
      </w:r>
    </w:p>
    <w:p w14:paraId="1E5F1719" w14:textId="77777777" w:rsidR="007760EC" w:rsidRPr="007760EC" w:rsidRDefault="007760EC" w:rsidP="007760EC">
      <w:pPr>
        <w:pStyle w:val="Odsekzoznamu"/>
        <w:jc w:val="both"/>
        <w:rPr>
          <w:rFonts w:ascii="Times New Roman" w:hAnsi="Times New Roman"/>
          <w:sz w:val="24"/>
          <w:szCs w:val="24"/>
        </w:rPr>
      </w:pPr>
      <w:r w:rsidRPr="007760EC">
        <w:rPr>
          <w:rFonts w:ascii="Times New Roman" w:hAnsi="Times New Roman"/>
          <w:sz w:val="24"/>
          <w:szCs w:val="24"/>
        </w:rPr>
        <w:lastRenderedPageBreak/>
        <w:t xml:space="preserve">Úplná transpozícia smernice (EÚ) 2019/1937 bola EK notifikovaná zákonom č. 54/2019 Z. z. o ochrane oznamovateľov protispoločenskej činnosti a o zmene a doplnení niektorých zákonov v znení zákona č. 189/2023 Z. z. </w:t>
      </w:r>
    </w:p>
    <w:p w14:paraId="4105CEAF" w14:textId="77777777" w:rsidR="007760EC" w:rsidRPr="007760EC" w:rsidRDefault="007760EC" w:rsidP="007760EC">
      <w:pPr>
        <w:jc w:val="both"/>
      </w:pPr>
    </w:p>
    <w:p w14:paraId="16D6D6AF" w14:textId="77777777" w:rsidR="007760EC" w:rsidRPr="007760EC" w:rsidRDefault="007760EC" w:rsidP="007760EC">
      <w:pPr>
        <w:jc w:val="both"/>
        <w:rPr>
          <w:b/>
          <w:bCs/>
        </w:rPr>
      </w:pPr>
      <w:r w:rsidRPr="007760EC">
        <w:rPr>
          <w:b/>
          <w:bCs/>
        </w:rPr>
        <w:t xml:space="preserve">5. Návrh zákona je zlučiteľný s právom Európskej únie: </w:t>
      </w:r>
    </w:p>
    <w:p w14:paraId="4AF6B983" w14:textId="77777777" w:rsidR="007760EC" w:rsidRPr="007760EC" w:rsidRDefault="007760EC" w:rsidP="007760EC">
      <w:pPr>
        <w:pStyle w:val="Odsekzoznamu"/>
        <w:numPr>
          <w:ilvl w:val="0"/>
          <w:numId w:val="4"/>
        </w:numPr>
        <w:spacing w:after="0" w:line="240" w:lineRule="auto"/>
        <w:jc w:val="both"/>
        <w:rPr>
          <w:rFonts w:ascii="Times New Roman" w:hAnsi="Times New Roman"/>
          <w:sz w:val="24"/>
          <w:szCs w:val="24"/>
        </w:rPr>
      </w:pPr>
      <w:r w:rsidRPr="007760EC">
        <w:rPr>
          <w:rFonts w:ascii="Times New Roman" w:hAnsi="Times New Roman"/>
          <w:sz w:val="24"/>
          <w:szCs w:val="24"/>
        </w:rPr>
        <w:t>úplne.</w:t>
      </w:r>
    </w:p>
    <w:p w14:paraId="51368A6D" w14:textId="77777777" w:rsidR="007760EC" w:rsidRPr="007760EC" w:rsidRDefault="007760EC">
      <w:pPr>
        <w:rPr>
          <w:color w:val="000000" w:themeColor="text1"/>
        </w:rPr>
      </w:pPr>
    </w:p>
    <w:p w14:paraId="522D7D6B" w14:textId="4B2BFB14" w:rsidR="007760EC" w:rsidRDefault="007760EC">
      <w:pPr>
        <w:rPr>
          <w:b/>
          <w:color w:val="000000" w:themeColor="text1"/>
        </w:rPr>
      </w:pPr>
      <w:r>
        <w:rPr>
          <w:b/>
          <w:color w:val="000000" w:themeColor="text1"/>
        </w:rPr>
        <w:br w:type="page"/>
      </w:r>
    </w:p>
    <w:p w14:paraId="587BA2EE" w14:textId="5ECF4F99" w:rsidR="00F27D69" w:rsidRPr="001D5D51" w:rsidRDefault="0068164E">
      <w:pPr>
        <w:rPr>
          <w:b/>
          <w:color w:val="000000" w:themeColor="text1"/>
        </w:rPr>
      </w:pPr>
      <w:r w:rsidRPr="001D5D51">
        <w:rPr>
          <w:b/>
          <w:color w:val="000000" w:themeColor="text1"/>
        </w:rPr>
        <w:lastRenderedPageBreak/>
        <w:t>B. Osobitná časť</w:t>
      </w:r>
    </w:p>
    <w:p w14:paraId="1A265ED4" w14:textId="77777777" w:rsidR="00F27D69" w:rsidRPr="001D5D51" w:rsidRDefault="00F27D69">
      <w:pPr>
        <w:rPr>
          <w:b/>
          <w:color w:val="000000" w:themeColor="text1"/>
        </w:rPr>
      </w:pPr>
    </w:p>
    <w:p w14:paraId="4D10A0BD" w14:textId="77777777" w:rsidR="00F27D69" w:rsidRPr="001D5D51" w:rsidRDefault="0068164E">
      <w:pPr>
        <w:keepNext/>
        <w:jc w:val="both"/>
        <w:outlineLvl w:val="0"/>
        <w:rPr>
          <w:b/>
          <w:bCs/>
          <w:color w:val="000000" w:themeColor="text1"/>
          <w:kern w:val="2"/>
        </w:rPr>
      </w:pPr>
      <w:r w:rsidRPr="001D5D51">
        <w:rPr>
          <w:b/>
          <w:bCs/>
          <w:color w:val="000000" w:themeColor="text1"/>
          <w:kern w:val="2"/>
        </w:rPr>
        <w:t>K čl. I</w:t>
      </w:r>
    </w:p>
    <w:p w14:paraId="11F35592" w14:textId="77777777" w:rsidR="00F27D69" w:rsidRPr="001D5D51" w:rsidRDefault="00F27D69">
      <w:pPr>
        <w:keepNext/>
        <w:jc w:val="both"/>
        <w:outlineLvl w:val="0"/>
        <w:rPr>
          <w:bCs/>
          <w:color w:val="000000" w:themeColor="text1"/>
          <w:kern w:val="2"/>
        </w:rPr>
      </w:pPr>
    </w:p>
    <w:p w14:paraId="3F266C86" w14:textId="445D22E2" w:rsidR="00F27D69" w:rsidRPr="001D5D51" w:rsidRDefault="00DB591B">
      <w:pPr>
        <w:jc w:val="both"/>
        <w:rPr>
          <w:u w:val="single"/>
        </w:rPr>
      </w:pPr>
      <w:r>
        <w:rPr>
          <w:u w:val="single"/>
        </w:rPr>
        <w:t>K bodom</w:t>
      </w:r>
      <w:r w:rsidR="0068164E" w:rsidRPr="001D5D51">
        <w:rPr>
          <w:u w:val="single"/>
        </w:rPr>
        <w:t xml:space="preserve"> 1</w:t>
      </w:r>
      <w:r>
        <w:rPr>
          <w:u w:val="single"/>
        </w:rPr>
        <w:t xml:space="preserve"> až 3</w:t>
      </w:r>
      <w:r w:rsidR="0068164E" w:rsidRPr="001D5D51">
        <w:rPr>
          <w:u w:val="single"/>
        </w:rPr>
        <w:t xml:space="preserve"> </w:t>
      </w:r>
      <w:r w:rsidR="006D5D85">
        <w:rPr>
          <w:u w:val="single"/>
        </w:rPr>
        <w:t>[§ 2 písm. b), c) a k)]</w:t>
      </w:r>
    </w:p>
    <w:p w14:paraId="03BA54B4" w14:textId="624F680D" w:rsidR="00F27D69" w:rsidRDefault="00F27D69">
      <w:pPr>
        <w:keepNext/>
        <w:jc w:val="both"/>
        <w:outlineLvl w:val="0"/>
        <w:rPr>
          <w:bCs/>
          <w:color w:val="000000" w:themeColor="text1"/>
          <w:kern w:val="2"/>
        </w:rPr>
      </w:pPr>
    </w:p>
    <w:p w14:paraId="61C17DE0" w14:textId="171224EB" w:rsidR="00DB591B" w:rsidRDefault="00DB591B" w:rsidP="00DB591B">
      <w:pPr>
        <w:ind w:firstLine="708"/>
        <w:jc w:val="both"/>
        <w:rPr>
          <w:color w:val="000000"/>
        </w:rPr>
      </w:pPr>
      <w:r w:rsidRPr="00DB591B">
        <w:rPr>
          <w:color w:val="000000"/>
        </w:rPr>
        <w:t>Vychádzajúc zo skúseností so zjavným zneužívaním statusu chráneného oznamovateľa</w:t>
      </w:r>
      <w:r w:rsidR="003303E2">
        <w:rPr>
          <w:color w:val="000000"/>
        </w:rPr>
        <w:t>, a to najmä</w:t>
      </w:r>
      <w:r w:rsidRPr="00DB591B">
        <w:rPr>
          <w:color w:val="000000"/>
        </w:rPr>
        <w:t xml:space="preserve"> osobami, ktoré sú samé dôvodne podozrivé z páchania závažnej trestnej činnosti, je nevyhnutné v rámci základných pojmov tohto zákona bližšie špecifikovať a pretaviť základný účel právnej úpravy a jej elementárny teleologický rukopis. Ten je </w:t>
      </w:r>
      <w:r w:rsidR="003303E2">
        <w:rPr>
          <w:color w:val="000000"/>
        </w:rPr>
        <w:t>vyjadrený</w:t>
      </w:r>
      <w:r w:rsidRPr="00DB591B">
        <w:rPr>
          <w:color w:val="000000"/>
        </w:rPr>
        <w:t xml:space="preserve"> predovšetkým v skutočnosti, že je podmienkou </w:t>
      </w:r>
      <w:proofErr w:type="spellStart"/>
      <w:r w:rsidRPr="00DB591B">
        <w:rPr>
          <w:i/>
          <w:color w:val="000000"/>
        </w:rPr>
        <w:t>sine</w:t>
      </w:r>
      <w:proofErr w:type="spellEnd"/>
      <w:r w:rsidRPr="00DB591B">
        <w:rPr>
          <w:i/>
          <w:color w:val="000000"/>
        </w:rPr>
        <w:t xml:space="preserve"> </w:t>
      </w:r>
      <w:proofErr w:type="spellStart"/>
      <w:r w:rsidRPr="00DB591B">
        <w:rPr>
          <w:i/>
          <w:color w:val="000000"/>
        </w:rPr>
        <w:t>qua</w:t>
      </w:r>
      <w:proofErr w:type="spellEnd"/>
      <w:r w:rsidRPr="00DB591B">
        <w:rPr>
          <w:i/>
          <w:color w:val="000000"/>
        </w:rPr>
        <w:t xml:space="preserve"> </w:t>
      </w:r>
      <w:proofErr w:type="spellStart"/>
      <w:r w:rsidRPr="00DB591B">
        <w:rPr>
          <w:i/>
          <w:color w:val="000000"/>
        </w:rPr>
        <w:t>non</w:t>
      </w:r>
      <w:proofErr w:type="spellEnd"/>
      <w:r w:rsidRPr="00DB591B">
        <w:rPr>
          <w:color w:val="000000"/>
        </w:rPr>
        <w:t xml:space="preserve">, </w:t>
      </w:r>
      <w:r>
        <w:rPr>
          <w:color w:val="000000"/>
        </w:rPr>
        <w:t xml:space="preserve">aby </w:t>
      </w:r>
      <w:r w:rsidRPr="00DB591B">
        <w:rPr>
          <w:color w:val="000000"/>
        </w:rPr>
        <w:t>obsah oznámenia</w:t>
      </w:r>
      <w:r w:rsidR="003303E2">
        <w:rPr>
          <w:color w:val="000000"/>
        </w:rPr>
        <w:t xml:space="preserve"> alebo</w:t>
      </w:r>
      <w:r w:rsidRPr="00DB591B">
        <w:rPr>
          <w:color w:val="000000"/>
        </w:rPr>
        <w:t xml:space="preserve"> kvalifikovaného oznámenia</w:t>
      </w:r>
      <w:r w:rsidR="003303E2">
        <w:rPr>
          <w:color w:val="000000"/>
        </w:rPr>
        <w:t xml:space="preserve"> obsahoval také informácie</w:t>
      </w:r>
      <w:r w:rsidRPr="00DB591B">
        <w:rPr>
          <w:color w:val="000000"/>
        </w:rPr>
        <w:t xml:space="preserve">, ktoré jednoznačne smerujú proti </w:t>
      </w:r>
      <w:r w:rsidR="005C4791" w:rsidRPr="005C4791">
        <w:t xml:space="preserve">osobe, s ktorou je alebo bola nahlasujúca osoba v pracovnoprávnom vzťahu alebo v inom obdobnom vzťahu, ako aj </w:t>
      </w:r>
      <w:r w:rsidR="003303E2">
        <w:t xml:space="preserve">proti </w:t>
      </w:r>
      <w:r w:rsidR="005C4791" w:rsidRPr="005C4791">
        <w:t xml:space="preserve">osobe, s ktorou nahlasujúcej osobe pracovnoprávny vzťah alebo iný obdobný vzťah ešte nevznikol, alebo </w:t>
      </w:r>
      <w:r w:rsidR="007C5084">
        <w:t>osobe</w:t>
      </w:r>
      <w:r w:rsidR="005C4791" w:rsidRPr="005C4791">
        <w:t>, s ktorou nahlasujúca osoba je alebo bola v kontakte prostredníctvom svojej práce</w:t>
      </w:r>
      <w:r w:rsidR="005C4791">
        <w:t xml:space="preserve"> </w:t>
      </w:r>
      <w:r w:rsidRPr="00DB591B">
        <w:rPr>
          <w:color w:val="000000"/>
        </w:rPr>
        <w:t>a súvisia s je</w:t>
      </w:r>
      <w:r w:rsidR="005C4791">
        <w:rPr>
          <w:color w:val="000000"/>
        </w:rPr>
        <w:t>j</w:t>
      </w:r>
      <w:r w:rsidRPr="00DB591B">
        <w:rPr>
          <w:color w:val="000000"/>
        </w:rPr>
        <w:t xml:space="preserve"> činnosťou. </w:t>
      </w:r>
      <w:r w:rsidRPr="0031488E">
        <w:rPr>
          <w:color w:val="000000"/>
        </w:rPr>
        <w:t>Je pritom osobitne dôležité, aby intenzita súvisu medzi obsahom oznámenia a činnosťou zamestnávateľa</w:t>
      </w:r>
      <w:r w:rsidR="0031488E" w:rsidRPr="0031488E">
        <w:rPr>
          <w:color w:val="000000"/>
        </w:rPr>
        <w:t>, resp. osoby podľa predchádzajúcej vety</w:t>
      </w:r>
      <w:r w:rsidRPr="0031488E">
        <w:rPr>
          <w:color w:val="000000"/>
        </w:rPr>
        <w:t xml:space="preserve"> dosahovala určitú kvalitatívnu úroveň, čo zákonodarca vyjadruje prostredníctvom prídavného mena „vecný“ (súvis).</w:t>
      </w:r>
      <w:r w:rsidRPr="00DB591B">
        <w:rPr>
          <w:color w:val="000000"/>
        </w:rPr>
        <w:t xml:space="preserve"> V zmysle uvedeného sa právna úprava precizuje aj v tom smere, že sa explicitne zavádza, že oznámenie sa musí týkať, resp. potenciálne prispieť k objasneniu protispoločenskej činnosti zamestnávateľa, kde však podmienka existencie vecného súvisu tiež trvá. Pri ochrane poskytovanej podľa tohto zákona sa totiž primárne vychádza zo skutočnosti, že oznamovateľ, ktorý urobí </w:t>
      </w:r>
      <w:r w:rsidR="005C4791">
        <w:rPr>
          <w:color w:val="000000"/>
        </w:rPr>
        <w:t xml:space="preserve">napríklad </w:t>
      </w:r>
      <w:r w:rsidRPr="00DB591B">
        <w:rPr>
          <w:color w:val="000000"/>
        </w:rPr>
        <w:t>oznámenie o skutočnostiach svedčiacich o existencii protispoločenskej činnosti svojho zamestnávateľa, bude následne podrobený zo strany takto poškodeného zamestnávateľa „aktu pomsty“, a to predovšetkým vo forme nespravodlivých a neoprávnených pracovnoprávnych postihov. Medzi oznamovateľom a osobou, o ktorej oznamovateľ podáva svedectvo, teda musí nevyhnutne existovať vzťah</w:t>
      </w:r>
      <w:r w:rsidR="005C4791">
        <w:rPr>
          <w:color w:val="000000"/>
        </w:rPr>
        <w:t>, napríklad v prípade zamestnávateľa a nahlasujúceho zamestnanca vzťah</w:t>
      </w:r>
      <w:r w:rsidRPr="00DB591B">
        <w:rPr>
          <w:color w:val="000000"/>
        </w:rPr>
        <w:t xml:space="preserve"> nadriadenosti a podriadenosti. V opačnom prípade by oznamovateľ nikdy nepotreboval ochranu </w:t>
      </w:r>
      <w:r w:rsidR="002C4C52">
        <w:rPr>
          <w:color w:val="000000"/>
        </w:rPr>
        <w:t>ú</w:t>
      </w:r>
      <w:r w:rsidRPr="00DB591B">
        <w:rPr>
          <w:color w:val="000000"/>
        </w:rPr>
        <w:t>radu</w:t>
      </w:r>
      <w:r>
        <w:rPr>
          <w:color w:val="000000"/>
        </w:rPr>
        <w:t xml:space="preserve"> </w:t>
      </w:r>
      <w:r w:rsidRPr="00DB591B">
        <w:rPr>
          <w:color w:val="000000"/>
        </w:rPr>
        <w:t>poskytovanú podľa tohto zákona, a na druhej strane, zamestnávateľ by nikdy nemusel vykonávať vo vzťahu k oznamovateľovi akékoľvek „odvetné“ alebo iné opatrenia, na ktoré sa po u</w:t>
      </w:r>
      <w:r>
        <w:rPr>
          <w:color w:val="000000"/>
        </w:rPr>
        <w:t>delení ochrany vyžaduje súhlas ú</w:t>
      </w:r>
      <w:r w:rsidRPr="00DB591B">
        <w:rPr>
          <w:color w:val="000000"/>
        </w:rPr>
        <w:t>radu.</w:t>
      </w:r>
    </w:p>
    <w:p w14:paraId="2E1F0478" w14:textId="3C47F134" w:rsidR="00A94E00" w:rsidRDefault="00A94E00" w:rsidP="00DB591B">
      <w:pPr>
        <w:ind w:firstLine="708"/>
        <w:jc w:val="both"/>
        <w:rPr>
          <w:color w:val="000000"/>
        </w:rPr>
      </w:pPr>
      <w:r>
        <w:rPr>
          <w:color w:val="000000"/>
        </w:rPr>
        <w:t xml:space="preserve">V § 2 písmene c) dochádza tiež k upresneniu </w:t>
      </w:r>
      <w:r w:rsidR="00642468">
        <w:rPr>
          <w:color w:val="000000"/>
        </w:rPr>
        <w:t xml:space="preserve">obsahových náležitostí kvalifikovaného oznámenia </w:t>
      </w:r>
      <w:r w:rsidR="00642468" w:rsidRPr="00642468">
        <w:rPr>
          <w:color w:val="000000"/>
        </w:rPr>
        <w:t>v kontexte článku 21 smernice Európskeho parlamentu a Rady (EÚ) 2019/1937 z 23. októbra 2019 o ochrane osôb</w:t>
      </w:r>
      <w:r w:rsidR="00642468">
        <w:rPr>
          <w:color w:val="000000"/>
        </w:rPr>
        <w:t xml:space="preserve">. </w:t>
      </w:r>
      <w:r w:rsidR="00642468" w:rsidRPr="00642468">
        <w:rPr>
          <w:color w:val="000000"/>
        </w:rPr>
        <w:t>Článok 21 sa týka opatrení na ochranu pred odvetnými opatreniami. To znamená, že len také oznámenia, ktoré spĺňajú toto kvalitatívne kritérium</w:t>
      </w:r>
      <w:r w:rsidR="00642468">
        <w:rPr>
          <w:color w:val="000000"/>
        </w:rPr>
        <w:t>, teda nevyhnutnosť na objasnenie závažnej protispoločenskej činnosti alebo nevyhnutnosť k zisteniu alebo usvedčeniu jej páchateľa,</w:t>
      </w:r>
      <w:r w:rsidR="00642468" w:rsidRPr="00642468">
        <w:rPr>
          <w:color w:val="000000"/>
        </w:rPr>
        <w:t xml:space="preserve"> sú spôsobilé na ochranu. Nemalo by teda ísť o nahlasovanie štandardných informácií z pracovnoprávneho prostredia, ku ktorým sa vedia dostať všetci zamestnanci. Nemalo by ísť ani o také informácie alebo dôkazy, ktoré niekto získal, ako dôsledok plnenia svojich pracovných (služobných) povinností.</w:t>
      </w:r>
    </w:p>
    <w:p w14:paraId="408863D1" w14:textId="441001D5" w:rsidR="00DB591B" w:rsidRDefault="00DB591B" w:rsidP="006D5D85">
      <w:pPr>
        <w:jc w:val="both"/>
        <w:rPr>
          <w:color w:val="000000"/>
        </w:rPr>
      </w:pPr>
    </w:p>
    <w:p w14:paraId="35231807" w14:textId="03671C2C" w:rsidR="006D5D85" w:rsidRPr="006D5D85" w:rsidRDefault="006D5D85" w:rsidP="006D5D85">
      <w:pPr>
        <w:jc w:val="both"/>
        <w:rPr>
          <w:color w:val="000000"/>
          <w:u w:val="single"/>
        </w:rPr>
      </w:pPr>
      <w:r>
        <w:rPr>
          <w:color w:val="000000"/>
          <w:u w:val="single"/>
        </w:rPr>
        <w:t>K bodu 4 (§ 4 ods. 1, § 6 ods. 1)</w:t>
      </w:r>
    </w:p>
    <w:p w14:paraId="42555C3C" w14:textId="5FC03792" w:rsidR="006D5D85" w:rsidRDefault="006D5D85" w:rsidP="006D5D85">
      <w:pPr>
        <w:jc w:val="both"/>
        <w:rPr>
          <w:color w:val="000000"/>
        </w:rPr>
      </w:pPr>
    </w:p>
    <w:p w14:paraId="6C20CAB5" w14:textId="09BFD7F1" w:rsidR="006D5D85" w:rsidRDefault="00490A4D" w:rsidP="006D5D85">
      <w:pPr>
        <w:jc w:val="both"/>
        <w:rPr>
          <w:color w:val="000000"/>
        </w:rPr>
      </w:pPr>
      <w:r>
        <w:rPr>
          <w:color w:val="000000"/>
        </w:rPr>
        <w:tab/>
      </w:r>
      <w:r w:rsidRPr="00490A4D">
        <w:rPr>
          <w:color w:val="000000"/>
        </w:rPr>
        <w:t>V</w:t>
      </w:r>
      <w:r>
        <w:rPr>
          <w:color w:val="000000"/>
        </w:rPr>
        <w:t xml:space="preserve"> nadväznosti na odstránenie zjavne </w:t>
      </w:r>
      <w:r w:rsidRPr="00456644">
        <w:rPr>
          <w:color w:val="000000"/>
        </w:rPr>
        <w:t>neproporcionálne</w:t>
      </w:r>
      <w:r>
        <w:rPr>
          <w:color w:val="000000"/>
        </w:rPr>
        <w:t>ho obmedzenia práv zamestnávateľa v novelizačných bodoch 6 a 7 sa navrhuje, aby v prípade poskytnutia ochrany podľa § 4 ods. 1 alebo § 6 ods. 1 bol</w:t>
      </w:r>
      <w:r w:rsidR="00FB2F84">
        <w:rPr>
          <w:color w:val="000000"/>
        </w:rPr>
        <w:t>i</w:t>
      </w:r>
      <w:r>
        <w:rPr>
          <w:color w:val="000000"/>
        </w:rPr>
        <w:t xml:space="preserve"> oznamovateľ, zamestnávateľ a úrad okrem tejto skutočnosti informovaní aj o dôvodoch poskytnutia ochrany a poučení o možnosti preskúmať poskytnuti</w:t>
      </w:r>
      <w:r w:rsidR="00FB2F84">
        <w:rPr>
          <w:color w:val="000000"/>
        </w:rPr>
        <w:t>e</w:t>
      </w:r>
      <w:r>
        <w:rPr>
          <w:color w:val="000000"/>
        </w:rPr>
        <w:t xml:space="preserve"> ochrany podľa § 4 ods. 5, respektíve § 6 ods. 5. Riadne zdôvodnenie poskytnutia ochrany je esenciálnou podmienkou toho, aby mohol zamestnávateľ požiadať generálneho </w:t>
      </w:r>
      <w:r>
        <w:rPr>
          <w:color w:val="000000"/>
        </w:rPr>
        <w:lastRenderedPageBreak/>
        <w:t>prokurátora, respektíve nadriadený správny orgán o</w:t>
      </w:r>
      <w:r w:rsidR="00FB2F84">
        <w:rPr>
          <w:color w:val="000000"/>
        </w:rPr>
        <w:t> preskúmanie predmetného rozhodnutia, ktorým sa poskytla jeho zamestnancovi ochrana.</w:t>
      </w:r>
    </w:p>
    <w:p w14:paraId="13762712" w14:textId="77777777" w:rsidR="00490A4D" w:rsidRDefault="00490A4D" w:rsidP="006D5D85">
      <w:pPr>
        <w:jc w:val="both"/>
        <w:rPr>
          <w:color w:val="000000"/>
        </w:rPr>
      </w:pPr>
    </w:p>
    <w:p w14:paraId="55CF29D4" w14:textId="40787168" w:rsidR="00DB591B" w:rsidRPr="00456644" w:rsidRDefault="00456644" w:rsidP="00456644">
      <w:pPr>
        <w:jc w:val="both"/>
        <w:rPr>
          <w:color w:val="000000"/>
          <w:u w:val="single"/>
        </w:rPr>
      </w:pPr>
      <w:r>
        <w:rPr>
          <w:color w:val="000000"/>
          <w:u w:val="single"/>
        </w:rPr>
        <w:t xml:space="preserve">K bodu </w:t>
      </w:r>
      <w:r w:rsidR="00490A4D">
        <w:rPr>
          <w:color w:val="000000"/>
          <w:u w:val="single"/>
        </w:rPr>
        <w:t>5</w:t>
      </w:r>
      <w:r>
        <w:rPr>
          <w:color w:val="000000"/>
          <w:u w:val="single"/>
        </w:rPr>
        <w:t xml:space="preserve"> a</w:t>
      </w:r>
      <w:r w:rsidR="00490A4D">
        <w:rPr>
          <w:color w:val="000000"/>
          <w:u w:val="single"/>
        </w:rPr>
        <w:t> 6 (§ 4 ods. 4 a 5)</w:t>
      </w:r>
    </w:p>
    <w:p w14:paraId="60FF9119" w14:textId="476E5F8C" w:rsidR="00456644" w:rsidRDefault="00456644" w:rsidP="00456644">
      <w:pPr>
        <w:jc w:val="both"/>
        <w:rPr>
          <w:color w:val="000000"/>
        </w:rPr>
      </w:pPr>
    </w:p>
    <w:p w14:paraId="6DE5DC11" w14:textId="0DECB8DA" w:rsidR="00456644" w:rsidRPr="00456644" w:rsidRDefault="00456644" w:rsidP="00456644">
      <w:pPr>
        <w:ind w:firstLine="708"/>
        <w:jc w:val="both"/>
        <w:rPr>
          <w:color w:val="000000"/>
        </w:rPr>
      </w:pPr>
      <w:r w:rsidRPr="00456644">
        <w:rPr>
          <w:color w:val="000000"/>
        </w:rPr>
        <w:t>Vzhľadom na skutočnosť, že poskytnutie statusu chráneného oznamovateľa predstavuje významný zásah do pracovnoprávneho vzťahu medzi zamestnancom a zamestnávateľom, pričom zásadným spôsobom obmedzuje práva zamestnávateľa, je žiadúce zaviesť do dotknutej právnej úpravy možnosť preskúmať na žiadosť zamestnávateľa rozhodnutie prokurátora o udelení ochrany zamestnancovi. Týmto legislatívnym krokom sa odstráni zjavne neproporcionálne obmedzenie práv zamestnávateľa</w:t>
      </w:r>
      <w:r w:rsidR="00691D90">
        <w:rPr>
          <w:color w:val="000000"/>
        </w:rPr>
        <w:t>, keďže</w:t>
      </w:r>
      <w:r w:rsidR="002C4C52">
        <w:rPr>
          <w:color w:val="000000"/>
        </w:rPr>
        <w:t xml:space="preserve"> súčasná právna úprava umožňuje, </w:t>
      </w:r>
      <w:r w:rsidR="003303E2">
        <w:rPr>
          <w:color w:val="000000"/>
        </w:rPr>
        <w:t xml:space="preserve">len </w:t>
      </w:r>
      <w:r w:rsidR="002C4C52">
        <w:rPr>
          <w:color w:val="000000"/>
        </w:rPr>
        <w:t xml:space="preserve">aby oznamovateľ, ktorému nebola poskytnutá ochrana prokurátorom, mal možnosť do 15 dní sám alebo prostredníctvom úradu požiadať nadriadeného prokurátora, aby preskúmal dôvody neposkytnutia ochrany, </w:t>
      </w:r>
      <w:r w:rsidR="00192657" w:rsidRPr="00BC3ACD">
        <w:t>avšak v prípade zamestnávateľa obdobný inštitút v súčasnom platnom znení zákona absentuje</w:t>
      </w:r>
      <w:r w:rsidR="002C4C52">
        <w:rPr>
          <w:color w:val="000000"/>
        </w:rPr>
        <w:t>. Preto sa navrhovanou zmenou</w:t>
      </w:r>
      <w:r w:rsidRPr="00456644">
        <w:rPr>
          <w:color w:val="000000"/>
        </w:rPr>
        <w:t xml:space="preserve"> zabezpečí rovnováha medzi vzájomne kolidujúcimi záujmami zamestnanca a zamestnávateľa v rámci pracovnoprávneho vzťahu</w:t>
      </w:r>
      <w:r w:rsidR="003303E2">
        <w:rPr>
          <w:color w:val="000000"/>
        </w:rPr>
        <w:t xml:space="preserve"> alebo iného obdobného vzťahu</w:t>
      </w:r>
      <w:r w:rsidRPr="00456644">
        <w:rPr>
          <w:color w:val="000000"/>
        </w:rPr>
        <w:t xml:space="preserve">, ktorý podlieha dohľadu </w:t>
      </w:r>
      <w:r w:rsidR="00EF62C5">
        <w:rPr>
          <w:color w:val="000000"/>
        </w:rPr>
        <w:t>úradu</w:t>
      </w:r>
      <w:r w:rsidRPr="00456644">
        <w:rPr>
          <w:color w:val="000000"/>
        </w:rPr>
        <w:t xml:space="preserve">. </w:t>
      </w:r>
    </w:p>
    <w:p w14:paraId="7054542D" w14:textId="0864ED02" w:rsidR="00456644" w:rsidRDefault="00456644" w:rsidP="00456644">
      <w:pPr>
        <w:ind w:firstLine="708"/>
        <w:jc w:val="both"/>
        <w:rPr>
          <w:color w:val="000000"/>
        </w:rPr>
      </w:pPr>
      <w:r w:rsidRPr="00456644">
        <w:rPr>
          <w:color w:val="000000"/>
        </w:rPr>
        <w:t>Vychádzajúc z praktických skúseností so zjavným zneužívaním inštitútu chráneného oznamovateľa je súčasne nevyhnutné v duchu materiálnej a efektívnej realizácie záruk nezávislosti a nestrannosti rozhodovania zabezpečiť, aby o žiadosti zamestnávateľa alebo zamestnanca o preskúmanie poskytnutia, resp</w:t>
      </w:r>
      <w:r w:rsidR="00E8597A">
        <w:rPr>
          <w:color w:val="000000"/>
        </w:rPr>
        <w:t xml:space="preserve">. neposkytnutia ochrany </w:t>
      </w:r>
      <w:r w:rsidRPr="00456644">
        <w:rPr>
          <w:color w:val="000000"/>
        </w:rPr>
        <w:t xml:space="preserve">zo strany príslušného prokurátora, rozhodoval </w:t>
      </w:r>
      <w:r w:rsidR="00E8597A">
        <w:rPr>
          <w:color w:val="000000"/>
        </w:rPr>
        <w:t>g</w:t>
      </w:r>
      <w:r w:rsidRPr="00456644">
        <w:rPr>
          <w:color w:val="000000"/>
        </w:rPr>
        <w:t>enerálny prokurátor Slovenskej republiky</w:t>
      </w:r>
      <w:r w:rsidR="00C8627C">
        <w:rPr>
          <w:color w:val="000000"/>
        </w:rPr>
        <w:t>.</w:t>
      </w:r>
    </w:p>
    <w:p w14:paraId="7B6C1EA1" w14:textId="33071F68" w:rsidR="00456644" w:rsidRDefault="00456644" w:rsidP="00DB591B">
      <w:pPr>
        <w:ind w:firstLine="708"/>
        <w:jc w:val="both"/>
        <w:rPr>
          <w:color w:val="000000"/>
        </w:rPr>
      </w:pPr>
    </w:p>
    <w:p w14:paraId="334C9686" w14:textId="6CED9A85" w:rsidR="00F72497" w:rsidRPr="00DB3E5C" w:rsidRDefault="00DB3E5C" w:rsidP="00DB3E5C">
      <w:pPr>
        <w:jc w:val="both"/>
        <w:rPr>
          <w:color w:val="000000"/>
          <w:u w:val="single"/>
        </w:rPr>
      </w:pPr>
      <w:r>
        <w:rPr>
          <w:color w:val="000000"/>
          <w:u w:val="single"/>
        </w:rPr>
        <w:t xml:space="preserve">K bodu </w:t>
      </w:r>
      <w:r w:rsidR="00490A4D">
        <w:rPr>
          <w:color w:val="000000"/>
          <w:u w:val="single"/>
        </w:rPr>
        <w:t>7 (§ 6 ods. 5)</w:t>
      </w:r>
    </w:p>
    <w:p w14:paraId="4AE8B96D" w14:textId="5D1E7871" w:rsidR="00DB3E5C" w:rsidRDefault="00DB3E5C" w:rsidP="00DB591B">
      <w:pPr>
        <w:ind w:firstLine="708"/>
        <w:jc w:val="both"/>
        <w:rPr>
          <w:color w:val="000000"/>
        </w:rPr>
      </w:pPr>
    </w:p>
    <w:p w14:paraId="0C64EB0F" w14:textId="54EE2A38" w:rsidR="002C4C52" w:rsidRDefault="00DB3E5C" w:rsidP="002C4C52">
      <w:pPr>
        <w:ind w:firstLine="708"/>
        <w:jc w:val="both"/>
        <w:rPr>
          <w:color w:val="000000"/>
        </w:rPr>
      </w:pPr>
      <w:r>
        <w:rPr>
          <w:color w:val="000000"/>
        </w:rPr>
        <w:t>Navrhuje sa zaviesť obdobný mechanizmus ako v navrhovanom § 4 ods. 5 aj vo vzťahu k poskytnutiu ochrany v rámci konania o správnom delikte.</w:t>
      </w:r>
      <w:r w:rsidR="002C4C52">
        <w:rPr>
          <w:color w:val="000000"/>
        </w:rPr>
        <w:t xml:space="preserve"> Aj v tomto prípade je potrebné odstrániť nevyváženosť súčasn</w:t>
      </w:r>
      <w:r w:rsidR="001F4AC5">
        <w:rPr>
          <w:color w:val="000000"/>
        </w:rPr>
        <w:t>ej zákonnej úpravy</w:t>
      </w:r>
      <w:r w:rsidR="002C4C52">
        <w:rPr>
          <w:color w:val="000000"/>
        </w:rPr>
        <w:t>, ktor</w:t>
      </w:r>
      <w:r w:rsidR="001F4AC5">
        <w:rPr>
          <w:color w:val="000000"/>
        </w:rPr>
        <w:t>á</w:t>
      </w:r>
      <w:r w:rsidR="002C4C52">
        <w:rPr>
          <w:color w:val="000000"/>
        </w:rPr>
        <w:t xml:space="preserve"> v súvislosti s poskytovaním ochrany v rámci konania o správnom delikte umožňuje preskúmanie neposkytnutia ochrany nadriadeným správnym orgánom na žiadosť oznamovateľa, avšak neumožňuje </w:t>
      </w:r>
      <w:r w:rsidR="001F4AC5">
        <w:rPr>
          <w:color w:val="000000"/>
        </w:rPr>
        <w:t>preskúmanie poskytnutia ochrany</w:t>
      </w:r>
      <w:r w:rsidR="003303E2">
        <w:rPr>
          <w:color w:val="000000"/>
        </w:rPr>
        <w:t xml:space="preserve"> oznamovateľovi</w:t>
      </w:r>
      <w:r w:rsidR="001F4AC5">
        <w:rPr>
          <w:color w:val="000000"/>
        </w:rPr>
        <w:t xml:space="preserve"> na žiadosť zamestnávateľa.</w:t>
      </w:r>
    </w:p>
    <w:p w14:paraId="7FD619BF" w14:textId="77777777" w:rsidR="00F72497" w:rsidRDefault="00F72497" w:rsidP="00DB591B">
      <w:pPr>
        <w:ind w:firstLine="708"/>
        <w:jc w:val="both"/>
        <w:rPr>
          <w:color w:val="000000"/>
        </w:rPr>
      </w:pPr>
    </w:p>
    <w:p w14:paraId="680D4B2E" w14:textId="2CE0942D" w:rsidR="00DB591B" w:rsidRPr="00DB591B" w:rsidRDefault="00DB591B">
      <w:pPr>
        <w:keepNext/>
        <w:jc w:val="both"/>
        <w:outlineLvl w:val="0"/>
        <w:rPr>
          <w:bCs/>
          <w:color w:val="000000" w:themeColor="text1"/>
          <w:kern w:val="2"/>
          <w:u w:val="single"/>
        </w:rPr>
      </w:pPr>
      <w:r>
        <w:rPr>
          <w:bCs/>
          <w:color w:val="000000" w:themeColor="text1"/>
          <w:kern w:val="2"/>
          <w:u w:val="single"/>
        </w:rPr>
        <w:t xml:space="preserve">K bodu </w:t>
      </w:r>
      <w:r w:rsidR="00490A4D">
        <w:rPr>
          <w:bCs/>
          <w:color w:val="000000" w:themeColor="text1"/>
          <w:kern w:val="2"/>
          <w:u w:val="single"/>
        </w:rPr>
        <w:t>8 (§ 7 ods. 1)</w:t>
      </w:r>
    </w:p>
    <w:p w14:paraId="16D65318" w14:textId="25478BA8" w:rsidR="00DB591B" w:rsidRDefault="00DB591B">
      <w:pPr>
        <w:keepNext/>
        <w:jc w:val="both"/>
        <w:outlineLvl w:val="0"/>
        <w:rPr>
          <w:bCs/>
          <w:color w:val="000000" w:themeColor="text1"/>
          <w:kern w:val="2"/>
        </w:rPr>
      </w:pPr>
    </w:p>
    <w:p w14:paraId="49752D86" w14:textId="591E31ED" w:rsidR="001F4AC5" w:rsidRDefault="001F4AC5">
      <w:pPr>
        <w:keepNext/>
        <w:jc w:val="both"/>
        <w:outlineLvl w:val="0"/>
      </w:pPr>
      <w:r>
        <w:rPr>
          <w:bCs/>
          <w:color w:val="000000" w:themeColor="text1"/>
          <w:kern w:val="2"/>
        </w:rPr>
        <w:tab/>
        <w:t>Súčasné znenie § 7 ods. 1 druhej vety ustanovuje, že súhlas úrad</w:t>
      </w:r>
      <w:r w:rsidR="004C54BE">
        <w:rPr>
          <w:bCs/>
          <w:color w:val="000000" w:themeColor="text1"/>
          <w:kern w:val="2"/>
        </w:rPr>
        <w:t>u</w:t>
      </w:r>
      <w:r w:rsidR="003303E2">
        <w:rPr>
          <w:bCs/>
          <w:color w:val="000000" w:themeColor="text1"/>
          <w:kern w:val="2"/>
        </w:rPr>
        <w:t xml:space="preserve"> na </w:t>
      </w:r>
      <w:r w:rsidR="00327257">
        <w:rPr>
          <w:bCs/>
          <w:color w:val="000000" w:themeColor="text1"/>
          <w:kern w:val="2"/>
        </w:rPr>
        <w:t>pracovno</w:t>
      </w:r>
      <w:r w:rsidR="003303E2">
        <w:rPr>
          <w:bCs/>
          <w:color w:val="000000" w:themeColor="text1"/>
          <w:kern w:val="2"/>
        </w:rPr>
        <w:t>právny úkon alebo rozhodnutie zamestnávateľa v pracovnoprávnom vzťahu voči chránenému oznamovateľovi</w:t>
      </w:r>
      <w:r>
        <w:rPr>
          <w:bCs/>
          <w:color w:val="000000" w:themeColor="text1"/>
          <w:kern w:val="2"/>
        </w:rPr>
        <w:t xml:space="preserve"> sa nevyžaduje</w:t>
      </w:r>
      <w:r w:rsidR="00F818D0">
        <w:rPr>
          <w:bCs/>
          <w:color w:val="000000" w:themeColor="text1"/>
          <w:kern w:val="2"/>
        </w:rPr>
        <w:t>,</w:t>
      </w:r>
      <w:r w:rsidRPr="001F4AC5">
        <w:t xml:space="preserve"> </w:t>
      </w:r>
      <w:r>
        <w:t xml:space="preserve">ak sa pracovnoprávnym úkonom priznáva nárok alebo ak ide o pracovnoprávny úkon súvisiaci so skončením pracovnoprávneho vzťahu, ktorý je dôsledkom právnej skutočnosti, ktorá nezávisí od posúdenia zamestnávateľa. Vzhľadom na to, že osobitné predpisy môžu ustanovovať pre zamestnávateľa povinnosť vykonať aj iný pracovnoprávny úkon, ktorý nepriznáva nárok alebo nesúvisí so skončením pracovnoprávneho vzťahu, navrhuje sa explicitné rozšírenie prípadov, kedy sa nevyžaduje súhlas úradu, aj o situáciu, </w:t>
      </w:r>
      <w:r w:rsidRPr="003D04F6">
        <w:t>ak ide o pracovnoprávny úkon, ktorý je zamestnávateľ povinný vykonať podľa osobitného predpisu</w:t>
      </w:r>
      <w:r>
        <w:t xml:space="preserve">. Môže ísť napríklad o dočasné pozbavenie výkonu štátnej služby podľa § 46 ods. 1 písm. b) zákona č. 73/1998 Z. z. </w:t>
      </w:r>
      <w:r w:rsidRPr="00B97973">
        <w:t>o štátnej službe príslušníkov Policajného zboru, Slovenskej informačnej služby, Zboru väzenskej a justičnej stráže Slovenskej republiky a Železničnej polície</w:t>
      </w:r>
      <w:r>
        <w:t xml:space="preserve"> v znení neskorších predpisov. </w:t>
      </w:r>
    </w:p>
    <w:p w14:paraId="302E539E" w14:textId="363B9972" w:rsidR="001F4AC5" w:rsidRDefault="001F4AC5">
      <w:pPr>
        <w:keepNext/>
        <w:jc w:val="both"/>
        <w:outlineLvl w:val="0"/>
        <w:rPr>
          <w:bCs/>
          <w:color w:val="000000" w:themeColor="text1"/>
          <w:kern w:val="2"/>
        </w:rPr>
      </w:pPr>
      <w:r>
        <w:tab/>
        <w:t xml:space="preserve">Treba pritom zdôrazniť, že povaha tejto zmeny spočíva v precizovaní predmetného ustanovenia § 7 ods. 1 tak, </w:t>
      </w:r>
      <w:r>
        <w:rPr>
          <w:bCs/>
          <w:color w:val="000000" w:themeColor="text1"/>
          <w:kern w:val="2"/>
        </w:rPr>
        <w:t xml:space="preserve">aby sa eliminovali možné výkladové nejasnosti v prípadoch, ak </w:t>
      </w:r>
      <w:r>
        <w:rPr>
          <w:bCs/>
          <w:color w:val="000000" w:themeColor="text1"/>
          <w:kern w:val="2"/>
        </w:rPr>
        <w:lastRenderedPageBreak/>
        <w:t xml:space="preserve">osobitný zákon ukladá zamestnávateľovi vykonanie pracovnoprávneho úkonu a jeho podmienenosť súhlasom úradu by mohla zmariť cieľ sledovaný osobitným predpisom. </w:t>
      </w:r>
    </w:p>
    <w:p w14:paraId="7182BA95" w14:textId="77777777" w:rsidR="00DB591B" w:rsidRDefault="00DB591B">
      <w:pPr>
        <w:keepNext/>
        <w:jc w:val="both"/>
        <w:outlineLvl w:val="0"/>
        <w:rPr>
          <w:bCs/>
          <w:color w:val="000000" w:themeColor="text1"/>
          <w:kern w:val="2"/>
        </w:rPr>
      </w:pPr>
    </w:p>
    <w:p w14:paraId="58D7CA4E" w14:textId="0EAD40B2" w:rsidR="00DB591B" w:rsidRPr="00DB591B" w:rsidRDefault="00DB591B">
      <w:pPr>
        <w:keepNext/>
        <w:jc w:val="both"/>
        <w:outlineLvl w:val="0"/>
        <w:rPr>
          <w:bCs/>
          <w:color w:val="000000" w:themeColor="text1"/>
          <w:kern w:val="2"/>
          <w:u w:val="single"/>
        </w:rPr>
      </w:pPr>
      <w:r>
        <w:rPr>
          <w:bCs/>
          <w:color w:val="000000" w:themeColor="text1"/>
          <w:kern w:val="2"/>
          <w:u w:val="single"/>
        </w:rPr>
        <w:t>K bod</w:t>
      </w:r>
      <w:r w:rsidR="00A34695">
        <w:rPr>
          <w:bCs/>
          <w:color w:val="000000" w:themeColor="text1"/>
          <w:kern w:val="2"/>
          <w:u w:val="single"/>
        </w:rPr>
        <w:t>u</w:t>
      </w:r>
      <w:r>
        <w:rPr>
          <w:bCs/>
          <w:color w:val="000000" w:themeColor="text1"/>
          <w:kern w:val="2"/>
          <w:u w:val="single"/>
        </w:rPr>
        <w:t xml:space="preserve"> </w:t>
      </w:r>
      <w:r w:rsidR="00490A4D">
        <w:rPr>
          <w:bCs/>
          <w:color w:val="000000" w:themeColor="text1"/>
          <w:kern w:val="2"/>
          <w:u w:val="single"/>
        </w:rPr>
        <w:t>9</w:t>
      </w:r>
      <w:r w:rsidR="009A19F3">
        <w:rPr>
          <w:bCs/>
          <w:color w:val="000000" w:themeColor="text1"/>
          <w:kern w:val="2"/>
          <w:u w:val="single"/>
        </w:rPr>
        <w:t xml:space="preserve"> </w:t>
      </w:r>
      <w:r w:rsidR="00490A4D">
        <w:rPr>
          <w:bCs/>
          <w:color w:val="000000" w:themeColor="text1"/>
          <w:kern w:val="2"/>
          <w:u w:val="single"/>
        </w:rPr>
        <w:t>(§ 7 ods. 8)</w:t>
      </w:r>
    </w:p>
    <w:p w14:paraId="210CFBCC" w14:textId="766E2FCE" w:rsidR="00DB591B" w:rsidRDefault="00DB591B">
      <w:pPr>
        <w:keepNext/>
        <w:jc w:val="both"/>
        <w:outlineLvl w:val="0"/>
        <w:rPr>
          <w:bCs/>
          <w:color w:val="000000" w:themeColor="text1"/>
          <w:kern w:val="2"/>
        </w:rPr>
      </w:pPr>
    </w:p>
    <w:p w14:paraId="7C2CE273" w14:textId="4732BE73" w:rsidR="00327257" w:rsidRDefault="00327257">
      <w:pPr>
        <w:keepNext/>
        <w:jc w:val="both"/>
        <w:outlineLvl w:val="0"/>
        <w:rPr>
          <w:bCs/>
          <w:color w:val="000000" w:themeColor="text1"/>
          <w:kern w:val="2"/>
        </w:rPr>
      </w:pPr>
      <w:r>
        <w:rPr>
          <w:bCs/>
          <w:color w:val="000000" w:themeColor="text1"/>
          <w:kern w:val="2"/>
        </w:rPr>
        <w:tab/>
        <w:t>Ide o precizovanie predmetného ustanovenia zákona č. 54/2019 Z. z.</w:t>
      </w:r>
    </w:p>
    <w:p w14:paraId="12DBE77E" w14:textId="2B281BDC" w:rsidR="00A34695" w:rsidRDefault="00DB591B">
      <w:pPr>
        <w:keepNext/>
        <w:jc w:val="both"/>
        <w:outlineLvl w:val="0"/>
        <w:rPr>
          <w:bCs/>
          <w:color w:val="000000" w:themeColor="text1"/>
          <w:kern w:val="2"/>
        </w:rPr>
      </w:pPr>
      <w:r>
        <w:rPr>
          <w:bCs/>
          <w:color w:val="000000" w:themeColor="text1"/>
          <w:kern w:val="2"/>
        </w:rPr>
        <w:tab/>
      </w:r>
      <w:r w:rsidR="00327257">
        <w:rPr>
          <w:bCs/>
          <w:color w:val="000000" w:themeColor="text1"/>
          <w:kern w:val="2"/>
        </w:rPr>
        <w:t>Podľa § 7 ods. 8 v platnom</w:t>
      </w:r>
      <w:r w:rsidR="00A34695">
        <w:rPr>
          <w:bCs/>
          <w:color w:val="000000" w:themeColor="text1"/>
          <w:kern w:val="2"/>
        </w:rPr>
        <w:t xml:space="preserve"> znení je neplatným právny úkon, na ktorý úrad neudelil súhlas. Navrhuje sa precizovanie tohto ustanovenia vzhľadom na negatívne skúsenosti </w:t>
      </w:r>
      <w:r w:rsidR="004E55FE">
        <w:rPr>
          <w:bCs/>
          <w:color w:val="000000" w:themeColor="text1"/>
          <w:kern w:val="2"/>
        </w:rPr>
        <w:t xml:space="preserve">s </w:t>
      </w:r>
      <w:r w:rsidR="00A34695">
        <w:rPr>
          <w:bCs/>
          <w:color w:val="000000" w:themeColor="text1"/>
          <w:kern w:val="2"/>
        </w:rPr>
        <w:t>aplikáciou tohto zákona v praxi tak, že</w:t>
      </w:r>
      <w:r w:rsidR="00A34695" w:rsidRPr="00A34695">
        <w:rPr>
          <w:bCs/>
          <w:color w:val="000000" w:themeColor="text1"/>
          <w:kern w:val="2"/>
        </w:rPr>
        <w:t xml:space="preserve"> </w:t>
      </w:r>
      <w:r w:rsidR="00A34695">
        <w:rPr>
          <w:bCs/>
          <w:color w:val="000000" w:themeColor="text1"/>
          <w:kern w:val="2"/>
        </w:rPr>
        <w:t>v prípadoch, ak sa súhlas úradu podľa § 7 ods. 1 druhej vety nevyžaduje, nie je taký pracovnoprávny úkon v prípade absencie súhlasu úradu neplatný.</w:t>
      </w:r>
    </w:p>
    <w:p w14:paraId="1760A44D" w14:textId="6CB1B067" w:rsidR="00A34695" w:rsidRDefault="00A34695">
      <w:pPr>
        <w:keepNext/>
        <w:jc w:val="both"/>
        <w:outlineLvl w:val="0"/>
        <w:rPr>
          <w:bCs/>
          <w:color w:val="000000" w:themeColor="text1"/>
          <w:kern w:val="2"/>
        </w:rPr>
      </w:pPr>
      <w:r>
        <w:rPr>
          <w:bCs/>
          <w:color w:val="000000" w:themeColor="text1"/>
          <w:kern w:val="2"/>
        </w:rPr>
        <w:tab/>
      </w:r>
      <w:r w:rsidR="006B38CF">
        <w:rPr>
          <w:bCs/>
          <w:color w:val="000000" w:themeColor="text1"/>
          <w:kern w:val="2"/>
        </w:rPr>
        <w:t>Z povahy veci je zrejmé, že v prípade pracovnoprávnych úkonov voči chráneným oznamovateľom, pri ktorých sa v zmysle § 7 ods. 1 druhej vety súhlas úradu nevyžaduje, nemôžu byť takéto pracovnoprávne úkony sankcionované neplatnosťou z dôvodu absencie súhlasu zo strany úradu. Účelom tejto navrhovanej zmeny je tak iba odstránenie možných výkladových rozporov vzhľadom na negatívne skúsenosti</w:t>
      </w:r>
      <w:r w:rsidR="004E55FE">
        <w:rPr>
          <w:bCs/>
          <w:color w:val="000000" w:themeColor="text1"/>
          <w:kern w:val="2"/>
        </w:rPr>
        <w:t xml:space="preserve"> s</w:t>
      </w:r>
      <w:r w:rsidR="006B38CF">
        <w:rPr>
          <w:bCs/>
          <w:color w:val="000000" w:themeColor="text1"/>
          <w:kern w:val="2"/>
        </w:rPr>
        <w:t xml:space="preserve"> aplikáciou tohto zákona v</w:t>
      </w:r>
      <w:r w:rsidR="004E55FE">
        <w:rPr>
          <w:bCs/>
          <w:color w:val="000000" w:themeColor="text1"/>
          <w:kern w:val="2"/>
        </w:rPr>
        <w:t> </w:t>
      </w:r>
      <w:r w:rsidR="006B38CF">
        <w:rPr>
          <w:bCs/>
          <w:color w:val="000000" w:themeColor="text1"/>
          <w:kern w:val="2"/>
        </w:rPr>
        <w:t>praxi</w:t>
      </w:r>
      <w:r w:rsidR="004E55FE">
        <w:rPr>
          <w:bCs/>
          <w:color w:val="000000" w:themeColor="text1"/>
          <w:kern w:val="2"/>
        </w:rPr>
        <w:t xml:space="preserve"> a nejde tak o kvalitatívnu či meritórnu zmenu predmetného ustanovenia</w:t>
      </w:r>
      <w:r w:rsidR="006B38CF">
        <w:rPr>
          <w:bCs/>
          <w:color w:val="000000" w:themeColor="text1"/>
          <w:kern w:val="2"/>
        </w:rPr>
        <w:t>.</w:t>
      </w:r>
    </w:p>
    <w:p w14:paraId="4BB2C3AF" w14:textId="77777777" w:rsidR="00F72497" w:rsidRDefault="00F72497" w:rsidP="00F72497">
      <w:pPr>
        <w:jc w:val="both"/>
        <w:rPr>
          <w:color w:val="000000"/>
        </w:rPr>
      </w:pPr>
    </w:p>
    <w:p w14:paraId="2409FA60" w14:textId="11EBBB03" w:rsidR="00F72497" w:rsidRPr="00F72497" w:rsidRDefault="00F72497" w:rsidP="00F72497">
      <w:pPr>
        <w:jc w:val="both"/>
        <w:rPr>
          <w:color w:val="000000"/>
          <w:u w:val="single"/>
        </w:rPr>
      </w:pPr>
      <w:r>
        <w:rPr>
          <w:color w:val="000000"/>
          <w:u w:val="single"/>
        </w:rPr>
        <w:t>K bod</w:t>
      </w:r>
      <w:r w:rsidR="00B213C0">
        <w:rPr>
          <w:color w:val="000000"/>
          <w:u w:val="single"/>
        </w:rPr>
        <w:t>om</w:t>
      </w:r>
      <w:r>
        <w:rPr>
          <w:color w:val="000000"/>
          <w:u w:val="single"/>
        </w:rPr>
        <w:t xml:space="preserve"> </w:t>
      </w:r>
      <w:r w:rsidR="00490A4D">
        <w:rPr>
          <w:color w:val="000000"/>
          <w:u w:val="single"/>
        </w:rPr>
        <w:t>10</w:t>
      </w:r>
      <w:r w:rsidR="009A19F3">
        <w:rPr>
          <w:color w:val="000000"/>
          <w:u w:val="single"/>
        </w:rPr>
        <w:t xml:space="preserve"> až 1</w:t>
      </w:r>
      <w:r w:rsidR="00490A4D">
        <w:rPr>
          <w:color w:val="000000"/>
          <w:u w:val="single"/>
        </w:rPr>
        <w:t>3 (§ 8 ods. 1 a 6)</w:t>
      </w:r>
    </w:p>
    <w:p w14:paraId="7FD086D4" w14:textId="7DD17C35" w:rsidR="00F72497" w:rsidRDefault="00F72497" w:rsidP="00F72497">
      <w:pPr>
        <w:jc w:val="both"/>
        <w:rPr>
          <w:color w:val="000000"/>
        </w:rPr>
      </w:pPr>
    </w:p>
    <w:p w14:paraId="6896ED92" w14:textId="1A4D7A5A" w:rsidR="00F72497" w:rsidRDefault="00F72497" w:rsidP="00F72497">
      <w:pPr>
        <w:jc w:val="both"/>
        <w:rPr>
          <w:color w:val="000000"/>
        </w:rPr>
      </w:pPr>
      <w:r>
        <w:rPr>
          <w:color w:val="000000"/>
        </w:rPr>
        <w:tab/>
        <w:t>Navrhovaná úprava dôvodov zániku ochrany oznamovateľa súvisí s navrhovaným doplnením odseku 5 do § 4</w:t>
      </w:r>
      <w:r w:rsidR="00432AB1">
        <w:rPr>
          <w:color w:val="000000"/>
        </w:rPr>
        <w:t xml:space="preserve"> a 6</w:t>
      </w:r>
      <w:r>
        <w:rPr>
          <w:color w:val="000000"/>
        </w:rPr>
        <w:t xml:space="preserve">. </w:t>
      </w:r>
      <w:r w:rsidR="004E55FE">
        <w:rPr>
          <w:color w:val="000000"/>
        </w:rPr>
        <w:t>Vzhľadom na to, že generálny prokurátor, respektíve nadriadený správny orgán bude podľa týchto ustanovení môcť preskúm</w:t>
      </w:r>
      <w:r w:rsidR="00BF3957">
        <w:rPr>
          <w:color w:val="000000"/>
        </w:rPr>
        <w:t>av</w:t>
      </w:r>
      <w:r w:rsidR="004E55FE">
        <w:rPr>
          <w:color w:val="000000"/>
        </w:rPr>
        <w:t>ať</w:t>
      </w:r>
      <w:r w:rsidR="00BF3957">
        <w:rPr>
          <w:color w:val="000000"/>
        </w:rPr>
        <w:t xml:space="preserve"> dôvody</w:t>
      </w:r>
      <w:r w:rsidR="004E55FE">
        <w:rPr>
          <w:color w:val="000000"/>
        </w:rPr>
        <w:t xml:space="preserve"> poskytnut</w:t>
      </w:r>
      <w:r w:rsidR="00BF3957">
        <w:rPr>
          <w:color w:val="000000"/>
        </w:rPr>
        <w:t xml:space="preserve">ia ochrany, pričom potvrdí </w:t>
      </w:r>
      <w:r w:rsidR="006C482F">
        <w:rPr>
          <w:color w:val="000000"/>
        </w:rPr>
        <w:t>rozhodnutie</w:t>
      </w:r>
      <w:r w:rsidR="00BF3957">
        <w:rPr>
          <w:color w:val="000000"/>
        </w:rPr>
        <w:t xml:space="preserve"> o poskytnutí ochrany alebo </w:t>
      </w:r>
      <w:r w:rsidR="00F754C1">
        <w:rPr>
          <w:color w:val="000000"/>
        </w:rPr>
        <w:t>zruší rozhodnutie o poskytnutí ochrany</w:t>
      </w:r>
      <w:r w:rsidR="00BF3957">
        <w:rPr>
          <w:color w:val="000000"/>
        </w:rPr>
        <w:t xml:space="preserve">, je potrebné v § 8 ustanoviť, že </w:t>
      </w:r>
      <w:r w:rsidR="00F754C1">
        <w:t>zrušením rozhodnutia o poskytnutí ochrany</w:t>
      </w:r>
      <w:r w:rsidR="00BF3957">
        <w:rPr>
          <w:color w:val="000000"/>
        </w:rPr>
        <w:t xml:space="preserve"> ochrana oznamovateľa poskytovaná podľa § 7 zaniká. V navrhovanom § 8 ods. 6 sa ustanovuje oznamovacia povinnosť voči ďalším subjektom</w:t>
      </w:r>
      <w:r w:rsidR="00327257">
        <w:rPr>
          <w:color w:val="000000"/>
        </w:rPr>
        <w:t xml:space="preserve"> (úradu na ochranu oznamovateľov,</w:t>
      </w:r>
      <w:r w:rsidR="00A958E0">
        <w:rPr>
          <w:color w:val="000000"/>
        </w:rPr>
        <w:t xml:space="preserve"> zamestnávateľovi,</w:t>
      </w:r>
      <w:r w:rsidR="00327257">
        <w:rPr>
          <w:color w:val="000000"/>
        </w:rPr>
        <w:t xml:space="preserve"> orgánu, ktorý poskytol ochranu a chránenému oznamovateľovi)</w:t>
      </w:r>
      <w:r w:rsidR="00BF3957">
        <w:rPr>
          <w:color w:val="000000"/>
        </w:rPr>
        <w:t xml:space="preserve"> tak, ako je to pri ostatných dôvodoch zániku ochrany oznamovateľa podľa § 8. </w:t>
      </w:r>
    </w:p>
    <w:p w14:paraId="7E7F1DC9" w14:textId="6E01E571" w:rsidR="00F72497" w:rsidRDefault="00F72497" w:rsidP="00F72497">
      <w:pPr>
        <w:jc w:val="both"/>
        <w:rPr>
          <w:color w:val="000000"/>
        </w:rPr>
      </w:pPr>
    </w:p>
    <w:p w14:paraId="59CC129D" w14:textId="2DDC4953" w:rsidR="00A34695" w:rsidRPr="00A34695" w:rsidRDefault="00A34695" w:rsidP="00F72497">
      <w:pPr>
        <w:jc w:val="both"/>
        <w:rPr>
          <w:color w:val="000000"/>
          <w:u w:val="single"/>
        </w:rPr>
      </w:pPr>
      <w:r>
        <w:rPr>
          <w:color w:val="000000"/>
          <w:u w:val="single"/>
        </w:rPr>
        <w:t>K bodu 1</w:t>
      </w:r>
      <w:r w:rsidR="00490A4D">
        <w:rPr>
          <w:color w:val="000000"/>
          <w:u w:val="single"/>
        </w:rPr>
        <w:t>4 (§ 12 ods. 2)</w:t>
      </w:r>
    </w:p>
    <w:p w14:paraId="7A5C74AD" w14:textId="47F509DB" w:rsidR="00A34695" w:rsidRDefault="00A34695" w:rsidP="00F72497">
      <w:pPr>
        <w:jc w:val="both"/>
        <w:rPr>
          <w:color w:val="000000"/>
        </w:rPr>
      </w:pPr>
    </w:p>
    <w:p w14:paraId="1E87FDE3" w14:textId="7B62CF9A" w:rsidR="00A34695" w:rsidRDefault="00A34695" w:rsidP="00F72497">
      <w:pPr>
        <w:jc w:val="both"/>
        <w:rPr>
          <w:bCs/>
          <w:color w:val="000000" w:themeColor="text1"/>
          <w:kern w:val="2"/>
        </w:rPr>
      </w:pPr>
      <w:r>
        <w:rPr>
          <w:color w:val="000000"/>
        </w:rPr>
        <w:tab/>
      </w:r>
      <w:r w:rsidR="00433AA0">
        <w:rPr>
          <w:bCs/>
          <w:color w:val="000000" w:themeColor="text1"/>
          <w:kern w:val="2"/>
        </w:rPr>
        <w:t xml:space="preserve">Podľa § 12 ods. 2 prvej vety </w:t>
      </w:r>
      <w:r w:rsidR="00433AA0">
        <w:t xml:space="preserve">úrad bezodkladne pozastaví účinnosť pracovnoprávneho úkonu podľa odseku 1, ak bola dodržaná lehota podľa odseku 1 a ak zamestnávateľ v primeranej lehote určenej úradom nepreukáže, že pracovnoprávny úkon nemá príčinnú súvislosť s oznámením. Navrhuje sa upresnenie tohto ustanovenia tak, že </w:t>
      </w:r>
      <w:r w:rsidR="00433AA0">
        <w:rPr>
          <w:bCs/>
          <w:color w:val="000000" w:themeColor="text1"/>
          <w:kern w:val="2"/>
        </w:rPr>
        <w:t>v prípadoch, ak sa súhlas úradu podľa § 7 ods. 1 druhej vety nevyžaduje,</w:t>
      </w:r>
      <w:r w:rsidR="006B38CF">
        <w:rPr>
          <w:bCs/>
          <w:color w:val="000000" w:themeColor="text1"/>
          <w:kern w:val="2"/>
        </w:rPr>
        <w:t xml:space="preserve"> nie je možné uplatniť postup podľa predchádzajúcej vety, teda pozastaviť účinnosť pracovnoprávneho úkonu podľa § 12 ods. 1. </w:t>
      </w:r>
    </w:p>
    <w:p w14:paraId="18C32F9F" w14:textId="51B17156" w:rsidR="006B38CF" w:rsidRDefault="006B38CF" w:rsidP="00F72497">
      <w:pPr>
        <w:jc w:val="both"/>
        <w:rPr>
          <w:color w:val="000000"/>
        </w:rPr>
      </w:pPr>
      <w:r>
        <w:rPr>
          <w:bCs/>
          <w:color w:val="000000" w:themeColor="text1"/>
          <w:kern w:val="2"/>
        </w:rPr>
        <w:tab/>
        <w:t xml:space="preserve">Touto zmenou sa nezasahuje do zmyslu a účelu ustanovenia § 12 ods. </w:t>
      </w:r>
      <w:r w:rsidR="00AE0902">
        <w:rPr>
          <w:bCs/>
          <w:color w:val="000000" w:themeColor="text1"/>
          <w:kern w:val="2"/>
        </w:rPr>
        <w:t>2</w:t>
      </w:r>
      <w:r>
        <w:rPr>
          <w:bCs/>
          <w:color w:val="000000" w:themeColor="text1"/>
          <w:kern w:val="2"/>
        </w:rPr>
        <w:t xml:space="preserve"> prvej vety, ale dochádza len k explicitnému vyjadreniu toho, čo už dnes logicky a teleologicky vyplýva z predmetných ustanovení zákona. Z povahy veci je zrejmé, že v prípade pracovnoprávnych úkonov voči chráneným oznamovateľom, pri ktorých sa v zmysle § 7 ods. 1 druhej vety súhlas úradu nevyžaduje, nemôže byť účinnosť takýchto pracovnoprávnych úkonov v zmysle § 12 pozastavená. Účelom tejto navrhovanej zmeny je tak iba odstránenie možných výkladových rozporov vzhľadom na negatívne skúsenosti</w:t>
      </w:r>
      <w:r w:rsidR="00327257">
        <w:rPr>
          <w:bCs/>
          <w:color w:val="000000" w:themeColor="text1"/>
          <w:kern w:val="2"/>
        </w:rPr>
        <w:t xml:space="preserve"> s</w:t>
      </w:r>
      <w:r>
        <w:rPr>
          <w:bCs/>
          <w:color w:val="000000" w:themeColor="text1"/>
          <w:kern w:val="2"/>
        </w:rPr>
        <w:t xml:space="preserve"> aplikáciou tohto zákona v praxi</w:t>
      </w:r>
      <w:r w:rsidR="0043617B" w:rsidRPr="0043617B">
        <w:rPr>
          <w:bCs/>
          <w:color w:val="000000" w:themeColor="text1"/>
          <w:kern w:val="2"/>
        </w:rPr>
        <w:t xml:space="preserve"> </w:t>
      </w:r>
      <w:r w:rsidR="0043617B">
        <w:rPr>
          <w:bCs/>
          <w:color w:val="000000" w:themeColor="text1"/>
          <w:kern w:val="2"/>
        </w:rPr>
        <w:t>a nejde tak o kvalitatívnu či meritórnu zmenu predmetného ustanovenia</w:t>
      </w:r>
      <w:r>
        <w:rPr>
          <w:bCs/>
          <w:color w:val="000000" w:themeColor="text1"/>
          <w:kern w:val="2"/>
        </w:rPr>
        <w:t xml:space="preserve">. </w:t>
      </w:r>
    </w:p>
    <w:p w14:paraId="0EA80F48" w14:textId="77777777" w:rsidR="00A34695" w:rsidRDefault="00A34695" w:rsidP="00F72497">
      <w:pPr>
        <w:jc w:val="both"/>
        <w:rPr>
          <w:color w:val="000000"/>
        </w:rPr>
      </w:pPr>
    </w:p>
    <w:p w14:paraId="2ACD4FCF" w14:textId="2D213A37" w:rsidR="00F72497" w:rsidRPr="00F72497" w:rsidRDefault="00F72497" w:rsidP="00F72497">
      <w:pPr>
        <w:jc w:val="both"/>
        <w:rPr>
          <w:color w:val="000000"/>
          <w:u w:val="single"/>
        </w:rPr>
      </w:pPr>
      <w:r>
        <w:rPr>
          <w:color w:val="000000"/>
          <w:u w:val="single"/>
        </w:rPr>
        <w:t>K</w:t>
      </w:r>
      <w:r w:rsidR="00327257">
        <w:rPr>
          <w:color w:val="000000"/>
          <w:u w:val="single"/>
        </w:rPr>
        <w:t> </w:t>
      </w:r>
      <w:r w:rsidR="00B213C0">
        <w:rPr>
          <w:color w:val="000000"/>
          <w:u w:val="single"/>
        </w:rPr>
        <w:t>bod</w:t>
      </w:r>
      <w:r w:rsidR="00327257">
        <w:rPr>
          <w:color w:val="000000"/>
          <w:u w:val="single"/>
        </w:rPr>
        <w:t xml:space="preserve">u </w:t>
      </w:r>
      <w:r w:rsidR="00B213C0">
        <w:rPr>
          <w:color w:val="000000"/>
          <w:u w:val="single"/>
        </w:rPr>
        <w:t>1</w:t>
      </w:r>
      <w:r w:rsidR="00490A4D">
        <w:rPr>
          <w:color w:val="000000"/>
          <w:u w:val="single"/>
        </w:rPr>
        <w:t>5 (§ 23 ods. 1)</w:t>
      </w:r>
      <w:r w:rsidR="00B213C0">
        <w:rPr>
          <w:color w:val="000000"/>
          <w:u w:val="single"/>
        </w:rPr>
        <w:t xml:space="preserve"> </w:t>
      </w:r>
    </w:p>
    <w:p w14:paraId="04CD4839" w14:textId="282F84AE" w:rsidR="00F72497" w:rsidRDefault="00F72497" w:rsidP="00F72497">
      <w:pPr>
        <w:jc w:val="both"/>
        <w:rPr>
          <w:color w:val="000000"/>
        </w:rPr>
      </w:pPr>
    </w:p>
    <w:p w14:paraId="4E4959FA" w14:textId="1EBC4E9E" w:rsidR="007759AE" w:rsidRDefault="007759AE" w:rsidP="007759AE">
      <w:pPr>
        <w:jc w:val="both"/>
      </w:pPr>
      <w:r>
        <w:rPr>
          <w:color w:val="000000"/>
        </w:rPr>
        <w:tab/>
      </w:r>
      <w:r w:rsidRPr="00BA556A">
        <w:t>Obdobne ako je tomu pri spravodajských službách</w:t>
      </w:r>
      <w:r w:rsidR="00327257">
        <w:t xml:space="preserve"> (SIS, Vojenské spravodajstvo)</w:t>
      </w:r>
      <w:r w:rsidRPr="00BA556A">
        <w:t xml:space="preserve"> a Národnom bezpečnostnom úrade, navrhuje sa dop</w:t>
      </w:r>
      <w:r>
        <w:t>lniť</w:t>
      </w:r>
      <w:r w:rsidRPr="00BA556A">
        <w:t xml:space="preserve"> výnimka</w:t>
      </w:r>
      <w:r w:rsidR="00327257">
        <w:t>, ktorá vylúči</w:t>
      </w:r>
      <w:r w:rsidRPr="00BA556A">
        <w:t xml:space="preserve"> </w:t>
      </w:r>
      <w:r>
        <w:t>spod</w:t>
      </w:r>
      <w:r w:rsidRPr="00BA556A">
        <w:t xml:space="preserve"> pôsobnosti </w:t>
      </w:r>
      <w:r w:rsidR="00327257">
        <w:lastRenderedPageBreak/>
        <w:t xml:space="preserve">niektorých ustanovení </w:t>
      </w:r>
      <w:r w:rsidRPr="00BA556A">
        <w:t>zákona o ochrane oznamovateľov protispoločenskej činnosti</w:t>
      </w:r>
      <w:r>
        <w:t xml:space="preserve"> </w:t>
      </w:r>
      <w:r w:rsidR="00327257">
        <w:t>Policajný zbor</w:t>
      </w:r>
      <w:r w:rsidRPr="00BA556A">
        <w:t xml:space="preserve"> a jeho príslušníko</w:t>
      </w:r>
      <w:r w:rsidR="00327257">
        <w:t>v</w:t>
      </w:r>
      <w:r w:rsidRPr="00BA556A">
        <w:t xml:space="preserve">. Vzhľadom na špecifické postavenie Policajného zboru, ktorý je ozbrojeným bezpečnostným zborom s príslušníkmi v služobnom pomere, sa navrhuje vylúčiť </w:t>
      </w:r>
      <w:r w:rsidR="00492E0E">
        <w:t xml:space="preserve">Policajný zbor a jeho príslušníkov </w:t>
      </w:r>
      <w:r w:rsidRPr="00BA556A">
        <w:t>spod</w:t>
      </w:r>
      <w:r w:rsidR="00492E0E">
        <w:t xml:space="preserve"> tých ustanovení</w:t>
      </w:r>
      <w:r w:rsidRPr="00BA556A">
        <w:t xml:space="preserve"> zákona o ochrane oznamovateľov protispoločenskej činnosti</w:t>
      </w:r>
      <w:r>
        <w:t>, ktorých aplikácia</w:t>
      </w:r>
      <w:r w:rsidRPr="00BA556A">
        <w:t xml:space="preserve"> by bol</w:t>
      </w:r>
      <w:r>
        <w:t>a</w:t>
      </w:r>
      <w:r w:rsidRPr="00BA556A">
        <w:t xml:space="preserve"> v tomto zbore </w:t>
      </w:r>
      <w:r>
        <w:t>problematická</w:t>
      </w:r>
      <w:r w:rsidRPr="00BA556A">
        <w:t xml:space="preserve">. </w:t>
      </w:r>
      <w:r w:rsidR="002D0FD8" w:rsidRPr="00BA556A">
        <w:t xml:space="preserve">Dozor nad tými ustanoveniami zákona o ochrane oznamovateľov protispoločenskej činnosti, ktoré sa budú naďalej vzťahovať na Policajný zbor a jeho príslušníkov, bude vykonávať </w:t>
      </w:r>
      <w:r w:rsidR="002D0FD8">
        <w:t>v rámci svojej pôsobnosti</w:t>
      </w:r>
      <w:r w:rsidR="002D0FD8" w:rsidRPr="00BA556A">
        <w:t xml:space="preserve"> </w:t>
      </w:r>
      <w:r w:rsidR="006A723B">
        <w:t>ú</w:t>
      </w:r>
      <w:r w:rsidR="002D0FD8" w:rsidRPr="00BA556A">
        <w:t>rad.</w:t>
      </w:r>
    </w:p>
    <w:p w14:paraId="08460CE5" w14:textId="05485C83" w:rsidR="009D2C95" w:rsidRDefault="009D2C95" w:rsidP="007759AE">
      <w:pPr>
        <w:jc w:val="both"/>
      </w:pPr>
      <w:r>
        <w:tab/>
      </w:r>
      <w:r w:rsidR="003E1B76" w:rsidRPr="003E1B76">
        <w:t>Táto zmena je v súlade s ustanovením článku 4 ods. 1 písm. a) smernice EP a Rady (EÚ) 2019/1937 z 23. októbra 2019 o ochrane osôb, ktoré nahlasujú porušenia práva Únie v platnom znení, podľa ktorého je osobná pôsobnosť obmedzená okrem iného na „osoby, ktoré majú postavenie pracovníka v zmysle článku 45 ods. 1 Zmluvy o fungovaní EÚ vrátane štátnych zamestnancov“. Dôvetok „vrátane štátnych zamestnancov“, je potrebné vnímať s ohľadom na vylúčené pracovné pozície, ktoré predstavujú výkon verejnej služby tak, ako ich definoval vo svojej judikatúre Súdny dvor EÚ. Daný záver potvrdzuje aj znenie článku 3 ods. 2 smernice (EÚ) 2019/1937, ktorý ustanovuje „Touto smernicou nie je dotknutá zodpovednosť členských štátov zaistiť národnú bezpečnosť ani ich právomoc chrániť svoje základné bezpečnostné záujmy“.</w:t>
      </w:r>
    </w:p>
    <w:p w14:paraId="6296CEE3" w14:textId="77777777" w:rsidR="002D0FD8" w:rsidRDefault="002D0FD8" w:rsidP="007759AE">
      <w:pPr>
        <w:jc w:val="both"/>
        <w:rPr>
          <w:color w:val="000000"/>
        </w:rPr>
      </w:pPr>
    </w:p>
    <w:p w14:paraId="2059CCF3" w14:textId="477F43B9" w:rsidR="00432AB1" w:rsidRPr="00432AB1" w:rsidRDefault="00432AB1" w:rsidP="007759AE">
      <w:pPr>
        <w:jc w:val="both"/>
        <w:rPr>
          <w:color w:val="000000"/>
          <w:u w:val="single"/>
        </w:rPr>
      </w:pPr>
      <w:r>
        <w:rPr>
          <w:color w:val="000000"/>
          <w:u w:val="single"/>
        </w:rPr>
        <w:t xml:space="preserve">K bodu </w:t>
      </w:r>
      <w:r w:rsidR="00D34AED">
        <w:rPr>
          <w:color w:val="000000"/>
          <w:u w:val="single"/>
        </w:rPr>
        <w:t>1</w:t>
      </w:r>
      <w:r w:rsidR="00490A4D">
        <w:rPr>
          <w:color w:val="000000"/>
          <w:u w:val="single"/>
        </w:rPr>
        <w:t>6 (§ 24 ods. 3)</w:t>
      </w:r>
    </w:p>
    <w:p w14:paraId="2E57FCAC" w14:textId="2F6F16A0" w:rsidR="00432AB1" w:rsidRDefault="00432AB1" w:rsidP="007759AE">
      <w:pPr>
        <w:jc w:val="both"/>
        <w:rPr>
          <w:color w:val="000000"/>
        </w:rPr>
      </w:pPr>
    </w:p>
    <w:p w14:paraId="5B9731A6" w14:textId="30C4BB54" w:rsidR="000D3779" w:rsidRDefault="000D3779" w:rsidP="007759AE">
      <w:pPr>
        <w:jc w:val="both"/>
        <w:rPr>
          <w:color w:val="000000"/>
        </w:rPr>
      </w:pPr>
      <w:r>
        <w:rPr>
          <w:color w:val="000000"/>
        </w:rPr>
        <w:tab/>
        <w:t xml:space="preserve">Správny súdny poriadok v § 7 písm. h) ustanovuje, že správne súdy nepreskúmavajú </w:t>
      </w:r>
      <w:r>
        <w:t>rozhodnutia, opatrenia, rozkazy, nariadenia, príkazy a pokyny, personálne rozkazy a disciplinárne rozkazy orgánov verejnej správy, ktorých preskúmanie vylučuje osobitný predpis. Navrhuje sa, aby boli zákonom č. 54/2019 Z. z. z preskúmavania správnym súdnictvom vylúčené aj v navrhovanom znení § 2</w:t>
      </w:r>
      <w:r w:rsidR="00EB5BE0">
        <w:t>4</w:t>
      </w:r>
      <w:r>
        <w:t xml:space="preserve"> ods. 3 </w:t>
      </w:r>
      <w:proofErr w:type="spellStart"/>
      <w:r>
        <w:t>enumerované</w:t>
      </w:r>
      <w:proofErr w:type="spellEnd"/>
      <w:r>
        <w:t xml:space="preserve"> rozhodnutia podľa tohto zákona, konkrétne rozhodnutia generálneho prokurátora podľa § 4 ods. 4 a 5 a § 25aa ods. </w:t>
      </w:r>
      <w:r w:rsidR="00C82B67">
        <w:t>3</w:t>
      </w:r>
      <w:r>
        <w:t xml:space="preserve">, ako aj rozhodnutia nadriadeného správneho orgánu podľa § 6 ods. 4 a 5 a § 25aa ods. </w:t>
      </w:r>
      <w:r w:rsidR="00C82B67">
        <w:t>4</w:t>
      </w:r>
      <w:r>
        <w:t xml:space="preserve">. </w:t>
      </w:r>
    </w:p>
    <w:p w14:paraId="0E50F793" w14:textId="77777777" w:rsidR="00523CDC" w:rsidRDefault="00523CDC" w:rsidP="007759AE">
      <w:pPr>
        <w:jc w:val="both"/>
        <w:rPr>
          <w:color w:val="000000"/>
        </w:rPr>
      </w:pPr>
    </w:p>
    <w:p w14:paraId="3A467BAF" w14:textId="1B2AE886" w:rsidR="00B213C0" w:rsidRPr="00B213C0" w:rsidRDefault="00B213C0" w:rsidP="00F72497">
      <w:pPr>
        <w:jc w:val="both"/>
        <w:rPr>
          <w:color w:val="000000"/>
          <w:u w:val="single"/>
        </w:rPr>
      </w:pPr>
      <w:r>
        <w:rPr>
          <w:color w:val="000000"/>
          <w:u w:val="single"/>
        </w:rPr>
        <w:t xml:space="preserve">K bodu </w:t>
      </w:r>
      <w:r w:rsidR="00D34AED">
        <w:rPr>
          <w:color w:val="000000"/>
          <w:u w:val="single"/>
        </w:rPr>
        <w:t>1</w:t>
      </w:r>
      <w:r w:rsidR="00490A4D">
        <w:rPr>
          <w:color w:val="000000"/>
          <w:u w:val="single"/>
        </w:rPr>
        <w:t>7 (§ 25aa)</w:t>
      </w:r>
    </w:p>
    <w:p w14:paraId="548E0AF2" w14:textId="3EE7B33C" w:rsidR="00B213C0" w:rsidRDefault="00B213C0" w:rsidP="00F72497">
      <w:pPr>
        <w:jc w:val="both"/>
        <w:rPr>
          <w:color w:val="000000"/>
        </w:rPr>
      </w:pPr>
    </w:p>
    <w:p w14:paraId="59D3E8E6" w14:textId="04A3869E" w:rsidR="004C390A" w:rsidRDefault="004C390A" w:rsidP="00F72497">
      <w:pPr>
        <w:jc w:val="both"/>
        <w:rPr>
          <w:color w:val="000000"/>
        </w:rPr>
      </w:pPr>
      <w:r>
        <w:rPr>
          <w:color w:val="000000"/>
        </w:rPr>
        <w:tab/>
        <w:t>V odseku 1 sa navrhuje ustanoviť vzhľadom na navrhovanú zmenu v § 23 ods. 1, podľa ktorej sa majú na Policajný zbor a jeho príslušníkov vzťahovať len § 1, § 2, § 10 a 11, že ochrana oznamovateľa, ktorý je príslušníkom Policajného zboru, zaniká dňom nadobudnutia účinnosti tohto zákona. Toto prechodné ustanovenie je nevyhnutné vzhľadom na to, že nadmerné využívanie, resp. zneužívanie inštitútu chráneného oznamovateľa sa do veľkej miery týka práve príslušníkov Policajného zboru, čo môže ohroziť jeho schopnosť plniť zákonné úlohy. Z logiky navrhovaných zmien a účelu predloženého návrhu zákona, ktorý má reagovať na spomenuté problémy s aplikáciou tohto zákona v praxi, vyplýva, že je potrebné premietnuť navrhované zmeny v § 23 ods. 1 aj vo vzťahu k tým príslušníkom Policajného zboru, ktorí sa stali chránenými oznamovateľmi pred účinnosťou návrhu zákona.</w:t>
      </w:r>
    </w:p>
    <w:p w14:paraId="53354574" w14:textId="5930C44D" w:rsidR="0083489D" w:rsidRDefault="0083489D" w:rsidP="00F27505">
      <w:pPr>
        <w:jc w:val="both"/>
      </w:pPr>
      <w:r>
        <w:rPr>
          <w:color w:val="000000"/>
        </w:rPr>
        <w:tab/>
      </w:r>
      <w:r w:rsidR="00F27505">
        <w:rPr>
          <w:color w:val="000000"/>
        </w:rPr>
        <w:t xml:space="preserve">V odseku </w:t>
      </w:r>
      <w:r w:rsidR="004C390A">
        <w:rPr>
          <w:color w:val="000000"/>
        </w:rPr>
        <w:t>2</w:t>
      </w:r>
      <w:r w:rsidR="00F27505">
        <w:rPr>
          <w:color w:val="000000"/>
        </w:rPr>
        <w:t xml:space="preserve"> sa navrhuje, aby sa novelizovaný zákon vzťahoval aj na ochranu oznamovateľa poskytnutú podľa doterajšieho znenia zákona. Toto prechodné ustanovenie je nevyhnutné vzhľadom na to, že nadmerné využívanie, resp. zneužívanie inštitútu chráneného oznamovateľa v doterajšej praxi môže viesť až </w:t>
      </w:r>
      <w:r w:rsidR="00F27505">
        <w:t>k paralýze dotknutých subjektov, resp. ohrozenia ich možnosti a schopnosti plniť si, napríklad v prípade štátnych orgánov, zákonnom ustanovené úlohy a povinnosti.</w:t>
      </w:r>
      <w:r w:rsidR="00F27505">
        <w:rPr>
          <w:color w:val="000000"/>
        </w:rPr>
        <w:t xml:space="preserve"> Z logiky navrhovaných zmien a účelu predloženého návrhu zákona, ktorý má reagovať na spomenuté problémy s aplikáciou tohto zákona v praxi, vyplýva, že je potrebné premietnuť navrhované zmeny aj vo vzťahu k tým oznamovateľom, ktorí sa stali chránenými oznamovateľmi pred</w:t>
      </w:r>
      <w:r w:rsidR="00453AEB">
        <w:rPr>
          <w:color w:val="000000"/>
        </w:rPr>
        <w:t>o dňom</w:t>
      </w:r>
      <w:r w:rsidR="00F27505">
        <w:rPr>
          <w:color w:val="000000"/>
        </w:rPr>
        <w:t xml:space="preserve"> účinnos</w:t>
      </w:r>
      <w:r w:rsidR="00453AEB">
        <w:rPr>
          <w:color w:val="000000"/>
        </w:rPr>
        <w:t>ti</w:t>
      </w:r>
      <w:r w:rsidR="00F27505">
        <w:rPr>
          <w:color w:val="000000"/>
        </w:rPr>
        <w:t xml:space="preserve"> </w:t>
      </w:r>
      <w:r w:rsidR="00254F2B">
        <w:rPr>
          <w:color w:val="000000"/>
        </w:rPr>
        <w:t>navrhovaného</w:t>
      </w:r>
      <w:r w:rsidR="00F27505">
        <w:rPr>
          <w:color w:val="000000"/>
        </w:rPr>
        <w:t xml:space="preserve"> zákona. </w:t>
      </w:r>
      <w:r w:rsidR="00C87A0A">
        <w:rPr>
          <w:color w:val="000000"/>
        </w:rPr>
        <w:t xml:space="preserve">Navrhovaný odsek </w:t>
      </w:r>
      <w:r w:rsidR="004C390A">
        <w:rPr>
          <w:color w:val="000000"/>
        </w:rPr>
        <w:t>2</w:t>
      </w:r>
      <w:r w:rsidR="00C87A0A">
        <w:rPr>
          <w:color w:val="000000"/>
        </w:rPr>
        <w:t xml:space="preserve"> </w:t>
      </w:r>
      <w:r w:rsidR="00C87A0A">
        <w:rPr>
          <w:color w:val="000000"/>
        </w:rPr>
        <w:lastRenderedPageBreak/>
        <w:t xml:space="preserve">tak konkrétne ustanovuje, že ochrana </w:t>
      </w:r>
      <w:r w:rsidR="00C87A0A" w:rsidRPr="003D04F6">
        <w:t xml:space="preserve">poskytnutá oznamovateľovi </w:t>
      </w:r>
      <w:r w:rsidR="00C87A0A">
        <w:t>do dňa nadobudnutia účinnosti tohto zákona</w:t>
      </w:r>
      <w:r w:rsidR="00C87A0A" w:rsidRPr="003D04F6">
        <w:t xml:space="preserve"> zostáva zachovaná, len ak spĺňa podmienky ustanovené týmto zákonom</w:t>
      </w:r>
      <w:r w:rsidR="00C87A0A">
        <w:t>. Týmito podmienkami sú najmä úpravy definícií v § 2 (novelizačné bod</w:t>
      </w:r>
      <w:r w:rsidR="00327257">
        <w:t>y</w:t>
      </w:r>
      <w:r w:rsidR="00C87A0A">
        <w:t xml:space="preserve"> 1 až 3)</w:t>
      </w:r>
      <w:r w:rsidR="004C390A">
        <w:t>.</w:t>
      </w:r>
    </w:p>
    <w:p w14:paraId="4627557D" w14:textId="1810D8C1" w:rsidR="00F27505" w:rsidRDefault="00F27505" w:rsidP="00F27505">
      <w:pPr>
        <w:jc w:val="both"/>
        <w:rPr>
          <w:color w:val="000000"/>
        </w:rPr>
      </w:pPr>
      <w:r>
        <w:rPr>
          <w:color w:val="000000"/>
        </w:rPr>
        <w:tab/>
        <w:t xml:space="preserve">V odseku </w:t>
      </w:r>
      <w:r w:rsidR="004C390A">
        <w:rPr>
          <w:color w:val="000000"/>
        </w:rPr>
        <w:t>3</w:t>
      </w:r>
      <w:r>
        <w:rPr>
          <w:color w:val="000000"/>
        </w:rPr>
        <w:t xml:space="preserve"> a </w:t>
      </w:r>
      <w:r w:rsidR="004C390A">
        <w:rPr>
          <w:color w:val="000000"/>
        </w:rPr>
        <w:t>4</w:t>
      </w:r>
      <w:r>
        <w:rPr>
          <w:color w:val="000000"/>
        </w:rPr>
        <w:t xml:space="preserve"> sa navrhuje z dôvodu zabezpečenia právnej istoty, aby zamestnávateľ mal</w:t>
      </w:r>
      <w:r w:rsidR="00254F2B">
        <w:rPr>
          <w:color w:val="000000"/>
        </w:rPr>
        <w:t xml:space="preserve"> voči oznamovateľovi, ktorý je jeho zamestnancom,</w:t>
      </w:r>
      <w:r>
        <w:rPr>
          <w:color w:val="000000"/>
        </w:rPr>
        <w:t xml:space="preserve"> možnosť iniciovať preskúmanie</w:t>
      </w:r>
      <w:r w:rsidR="00254F2B">
        <w:rPr>
          <w:color w:val="000000"/>
        </w:rPr>
        <w:t xml:space="preserve"> ochrany, ktorá bola poskytnutá </w:t>
      </w:r>
      <w:r w:rsidR="00453AEB">
        <w:rPr>
          <w:color w:val="000000"/>
        </w:rPr>
        <w:t xml:space="preserve">predo dňom účinnosti </w:t>
      </w:r>
      <w:r w:rsidR="00254F2B">
        <w:rPr>
          <w:color w:val="000000"/>
        </w:rPr>
        <w:t xml:space="preserve">navrhovaného zákona. Toto preskúmanie sa bude týkať podmienok, ktoré sú súčasťou tohto návrhu zákona, čím sa nadväzuje na ustanovenie odseku 1 v rámci prechodných ustanovení, a vykoná ho v prípade ochrany v rámci trestného konania generálny prokurátor, respektíve v prípade ochrany v rámci konania o správnom delikte nadriadený správny orgán. Týmito prechodnými ustanoveniami sa navrhuje zaviesť obdobný mechanizmus ako v novelizačných bodoch </w:t>
      </w:r>
      <w:r w:rsidR="00490A4D">
        <w:rPr>
          <w:color w:val="000000"/>
        </w:rPr>
        <w:t>6</w:t>
      </w:r>
      <w:r w:rsidR="00254F2B">
        <w:rPr>
          <w:color w:val="000000"/>
        </w:rPr>
        <w:t xml:space="preserve"> a </w:t>
      </w:r>
      <w:r w:rsidR="00490A4D">
        <w:rPr>
          <w:color w:val="000000"/>
        </w:rPr>
        <w:t>7</w:t>
      </w:r>
      <w:r w:rsidR="00254F2B">
        <w:rPr>
          <w:color w:val="000000"/>
        </w:rPr>
        <w:t xml:space="preserve">, ktorými sa </w:t>
      </w:r>
      <w:r w:rsidR="00D35641">
        <w:rPr>
          <w:color w:val="000000"/>
        </w:rPr>
        <w:t>napráva</w:t>
      </w:r>
      <w:r w:rsidR="00254F2B">
        <w:rPr>
          <w:color w:val="000000"/>
        </w:rPr>
        <w:t xml:space="preserve"> nevyváženosť súčasnej zákonnej úpravy, ktorá v súvislosti s poskytovaním ochrany umožňuje preskúmanie neposkytnutia ochrany </w:t>
      </w:r>
      <w:r w:rsidR="00936887">
        <w:rPr>
          <w:color w:val="000000"/>
        </w:rPr>
        <w:t>nadriadeným</w:t>
      </w:r>
      <w:r w:rsidR="00254F2B">
        <w:rPr>
          <w:color w:val="000000"/>
        </w:rPr>
        <w:t xml:space="preserve"> prokurátorom v rámci trestného konania, respektíve nadriadeným správnym orgánom v rámci konania o správnom delikte na žiadosť oznamovateľa, avšak neumožňuje preskúmanie poskytnutia ochrany na žiadosť zamestnávateľa. Uplatnenie tohto mechanizmu vo vzťahu k už poskytnutej ochrane bude podľa navrhnutých prechodných ustanovení</w:t>
      </w:r>
      <w:r w:rsidR="00D403D1">
        <w:rPr>
          <w:color w:val="000000"/>
        </w:rPr>
        <w:t xml:space="preserve"> možné</w:t>
      </w:r>
      <w:r w:rsidR="00453AEB">
        <w:rPr>
          <w:color w:val="000000"/>
        </w:rPr>
        <w:t xml:space="preserve"> len</w:t>
      </w:r>
      <w:r w:rsidR="00D403D1">
        <w:rPr>
          <w:color w:val="000000"/>
        </w:rPr>
        <w:t xml:space="preserve"> v časovom rámci 15 dní odo dňa nadobudnutia účinnosti navrhovaného zákona. </w:t>
      </w:r>
    </w:p>
    <w:p w14:paraId="75E1E3D1" w14:textId="27C3BD08" w:rsidR="005356D7" w:rsidRPr="005356D7" w:rsidRDefault="00D403D1" w:rsidP="00F27505">
      <w:pPr>
        <w:jc w:val="both"/>
        <w:rPr>
          <w:color w:val="000000"/>
        </w:rPr>
      </w:pPr>
      <w:r>
        <w:rPr>
          <w:color w:val="000000"/>
        </w:rPr>
        <w:tab/>
        <w:t xml:space="preserve">V odseku </w:t>
      </w:r>
      <w:r w:rsidR="004C390A">
        <w:rPr>
          <w:color w:val="000000"/>
        </w:rPr>
        <w:t>5</w:t>
      </w:r>
      <w:r>
        <w:rPr>
          <w:color w:val="000000"/>
        </w:rPr>
        <w:t xml:space="preserve"> sa navrhuje, aby o</w:t>
      </w:r>
      <w:r w:rsidR="005356D7">
        <w:rPr>
          <w:color w:val="000000"/>
        </w:rPr>
        <w:t xml:space="preserve"> žiadostiach, ktoré podal oznamovateľ, ktorému nebola podľa § 4 ods. 3 poskytnutá ochrana v rámci trestného konania a ktoré neboli vybavené ku dňu účinnosti navrhovaného zákona, rozhodoval generálny prokurátor tak, ako sa to v novelizačnom </w:t>
      </w:r>
      <w:r w:rsidR="00453AEB">
        <w:rPr>
          <w:color w:val="000000"/>
        </w:rPr>
        <w:t xml:space="preserve">bode </w:t>
      </w:r>
      <w:r w:rsidR="00490A4D">
        <w:rPr>
          <w:color w:val="000000"/>
        </w:rPr>
        <w:t>5</w:t>
      </w:r>
      <w:r w:rsidR="00453AEB">
        <w:rPr>
          <w:color w:val="000000"/>
        </w:rPr>
        <w:t xml:space="preserve"> navrhuje</w:t>
      </w:r>
      <w:r w:rsidR="005356D7">
        <w:rPr>
          <w:color w:val="000000"/>
        </w:rPr>
        <w:t xml:space="preserve"> </w:t>
      </w:r>
      <w:r w:rsidR="005356D7">
        <w:rPr>
          <w:i/>
          <w:color w:val="000000"/>
        </w:rPr>
        <w:t xml:space="preserve">pro </w:t>
      </w:r>
      <w:proofErr w:type="spellStart"/>
      <w:r w:rsidR="005356D7">
        <w:rPr>
          <w:i/>
          <w:color w:val="000000"/>
        </w:rPr>
        <w:t>futuro</w:t>
      </w:r>
      <w:proofErr w:type="spellEnd"/>
      <w:r w:rsidR="005356D7">
        <w:rPr>
          <w:color w:val="000000"/>
        </w:rPr>
        <w:t xml:space="preserve">. Účelom tohto prechodného ustanovenia je tak naplnenie účelu celého návrhu zákona, ktorým je odstránenie problémov spojených </w:t>
      </w:r>
      <w:r w:rsidR="005356D7" w:rsidRPr="00456644">
        <w:rPr>
          <w:color w:val="000000"/>
        </w:rPr>
        <w:t>so zjavným zneužívaním inštitútu chráneného oznamovateľa</w:t>
      </w:r>
      <w:r w:rsidR="005356D7">
        <w:rPr>
          <w:color w:val="000000"/>
        </w:rPr>
        <w:t xml:space="preserve"> v aplikačnej praxi, pričom je nevyhnutné </w:t>
      </w:r>
      <w:r w:rsidR="005356D7" w:rsidRPr="00456644">
        <w:rPr>
          <w:color w:val="000000"/>
        </w:rPr>
        <w:t>v duchu materiálnej a efektívnej realizácie záruk nezávislosti a nestrannosti rozhodovania zabezpečiť,</w:t>
      </w:r>
      <w:r w:rsidR="005356D7">
        <w:rPr>
          <w:color w:val="000000"/>
        </w:rPr>
        <w:t xml:space="preserve"> aby generálny prokurátor rozhodoval aj</w:t>
      </w:r>
      <w:r w:rsidR="00453AEB">
        <w:rPr>
          <w:color w:val="000000"/>
        </w:rPr>
        <w:t xml:space="preserve"> o</w:t>
      </w:r>
      <w:r w:rsidR="005356D7">
        <w:rPr>
          <w:color w:val="000000"/>
        </w:rPr>
        <w:t xml:space="preserve"> žiadostiach, ktoré ku dňu nadobudnutia účinnosti navrhovaného zákona zostanú nevybavené. </w:t>
      </w:r>
    </w:p>
    <w:p w14:paraId="3B642A1A" w14:textId="41922596" w:rsidR="005356D7" w:rsidRDefault="006B2AA0" w:rsidP="00F27505">
      <w:pPr>
        <w:jc w:val="both"/>
        <w:rPr>
          <w:color w:val="000000"/>
        </w:rPr>
      </w:pPr>
      <w:r>
        <w:rPr>
          <w:color w:val="000000"/>
        </w:rPr>
        <w:tab/>
        <w:t xml:space="preserve">Odsekom </w:t>
      </w:r>
      <w:r w:rsidR="004C390A">
        <w:rPr>
          <w:color w:val="000000"/>
        </w:rPr>
        <w:t>6</w:t>
      </w:r>
      <w:r>
        <w:rPr>
          <w:color w:val="000000"/>
        </w:rPr>
        <w:t xml:space="preserve"> sa navrhuje intertemporálne ustanovenie vo vzťahu k novelizačnému bodu 1</w:t>
      </w:r>
      <w:r w:rsidR="00490A4D">
        <w:rPr>
          <w:color w:val="000000"/>
        </w:rPr>
        <w:t>6</w:t>
      </w:r>
      <w:r>
        <w:rPr>
          <w:color w:val="000000"/>
        </w:rPr>
        <w:t>, ktorým sa navrhuje vylúčenie vybraných rozhodnutí podľa tohto zákona zo súdneho prieskumu správnym súdnictvom podľa Správneho súdneho poriadku. Z dôvodu eventuality, že niektoré rozhodnuti</w:t>
      </w:r>
      <w:r w:rsidR="00A61B31">
        <w:rPr>
          <w:color w:val="000000"/>
        </w:rPr>
        <w:t>e</w:t>
      </w:r>
      <w:r>
        <w:rPr>
          <w:color w:val="000000"/>
        </w:rPr>
        <w:t xml:space="preserve"> podľa § 4 ods. 4 alebo</w:t>
      </w:r>
      <w:r w:rsidR="0006387B">
        <w:rPr>
          <w:color w:val="000000"/>
        </w:rPr>
        <w:t xml:space="preserve"> podľa</w:t>
      </w:r>
      <w:r>
        <w:rPr>
          <w:color w:val="000000"/>
        </w:rPr>
        <w:t xml:space="preserve"> § 6 ods. 4 sa stalo predmetom prieskumu správnym súdnictvom predo dňom nadobudnutia účinnosti tohto zákona, sa navrhuje, že navrhované ustan</w:t>
      </w:r>
      <w:r w:rsidR="0045537A">
        <w:rPr>
          <w:color w:val="000000"/>
        </w:rPr>
        <w:t>ovenie</w:t>
      </w:r>
      <w:r>
        <w:rPr>
          <w:color w:val="000000"/>
        </w:rPr>
        <w:t xml:space="preserve"> § 24 ods. 3 sa nebude vzťahovať na takéto už začaté a ešte právoplatne neskončené konania</w:t>
      </w:r>
      <w:r w:rsidR="00453AEB">
        <w:rPr>
          <w:color w:val="000000"/>
        </w:rPr>
        <w:t>, teda predmetné súdne konania budú môcť byť dokončené podľa doterajšej právnej úpravy.</w:t>
      </w:r>
    </w:p>
    <w:p w14:paraId="568766B1" w14:textId="77777777" w:rsidR="005356D7" w:rsidRDefault="005356D7" w:rsidP="00F27505">
      <w:pPr>
        <w:jc w:val="both"/>
        <w:rPr>
          <w:color w:val="000000"/>
        </w:rPr>
      </w:pPr>
    </w:p>
    <w:p w14:paraId="1E503D15" w14:textId="77777777" w:rsidR="00F27D69" w:rsidRPr="001D5D51" w:rsidRDefault="0068164E">
      <w:pPr>
        <w:keepNext/>
        <w:jc w:val="both"/>
        <w:outlineLvl w:val="0"/>
        <w:rPr>
          <w:b/>
          <w:bCs/>
          <w:color w:val="000000" w:themeColor="text1"/>
          <w:kern w:val="2"/>
        </w:rPr>
      </w:pPr>
      <w:r w:rsidRPr="001D5D51">
        <w:rPr>
          <w:b/>
          <w:bCs/>
          <w:color w:val="000000" w:themeColor="text1"/>
          <w:kern w:val="2"/>
        </w:rPr>
        <w:t>K čl. II</w:t>
      </w:r>
    </w:p>
    <w:p w14:paraId="0744113E" w14:textId="77777777" w:rsidR="00F27D69" w:rsidRPr="001D5D51" w:rsidRDefault="00F27D69">
      <w:pPr>
        <w:jc w:val="both"/>
      </w:pPr>
    </w:p>
    <w:p w14:paraId="6095FC21" w14:textId="19071BD6" w:rsidR="00F27D69" w:rsidRDefault="0089302C">
      <w:pPr>
        <w:jc w:val="both"/>
        <w:rPr>
          <w:color w:val="000000" w:themeColor="text1"/>
        </w:rPr>
      </w:pPr>
      <w:r>
        <w:rPr>
          <w:color w:val="000000" w:themeColor="text1"/>
        </w:rPr>
        <w:t>Účinnosť</w:t>
      </w:r>
      <w:r w:rsidR="00327257">
        <w:rPr>
          <w:color w:val="000000" w:themeColor="text1"/>
        </w:rPr>
        <w:t xml:space="preserve"> návrhu</w:t>
      </w:r>
      <w:r>
        <w:rPr>
          <w:color w:val="000000" w:themeColor="text1"/>
        </w:rPr>
        <w:t xml:space="preserve"> zákona sa navrhuje dňom vyhlásenia z dôvodu </w:t>
      </w:r>
      <w:r w:rsidR="00327257">
        <w:rPr>
          <w:color w:val="000000" w:themeColor="text1"/>
        </w:rPr>
        <w:t xml:space="preserve">zjavného zneužívania inštitútu chráneného oznamovateľa a </w:t>
      </w:r>
      <w:r>
        <w:rPr>
          <w:color w:val="000000" w:themeColor="text1"/>
        </w:rPr>
        <w:t>možného negatívneho vývoja danej situácie a potreby okamžitej reakcie na ňu.</w:t>
      </w:r>
    </w:p>
    <w:p w14:paraId="40C3A407" w14:textId="2C787EBB" w:rsidR="007760EC" w:rsidRDefault="007760EC">
      <w:pPr>
        <w:jc w:val="both"/>
        <w:rPr>
          <w:color w:val="000000" w:themeColor="text1"/>
        </w:rPr>
      </w:pPr>
    </w:p>
    <w:p w14:paraId="67D8FB7A" w14:textId="65DFA98E" w:rsidR="007760EC" w:rsidRPr="008E305A" w:rsidRDefault="007760EC" w:rsidP="007760EC">
      <w:pPr>
        <w:jc w:val="both"/>
      </w:pPr>
      <w:r>
        <w:t xml:space="preserve">V Bratislave </w:t>
      </w:r>
      <w:r>
        <w:t>6</w:t>
      </w:r>
      <w:r>
        <w:t xml:space="preserve">. </w:t>
      </w:r>
      <w:r>
        <w:t>decembr</w:t>
      </w:r>
      <w:r w:rsidR="008A564D">
        <w:t>a</w:t>
      </w:r>
      <w:bookmarkStart w:id="0" w:name="_GoBack"/>
      <w:bookmarkEnd w:id="0"/>
      <w:r>
        <w:t xml:space="preserve"> 2023</w:t>
      </w:r>
    </w:p>
    <w:p w14:paraId="0A345B47" w14:textId="77777777" w:rsidR="007760EC" w:rsidRPr="008E305A" w:rsidRDefault="007760EC" w:rsidP="007760EC">
      <w:pPr>
        <w:jc w:val="both"/>
      </w:pPr>
    </w:p>
    <w:p w14:paraId="159E721C" w14:textId="77777777" w:rsidR="007760EC" w:rsidRPr="008E305A" w:rsidRDefault="007760EC" w:rsidP="007760EC">
      <w:pPr>
        <w:jc w:val="both"/>
      </w:pPr>
    </w:p>
    <w:p w14:paraId="7A8C624D" w14:textId="77777777" w:rsidR="007760EC" w:rsidRDefault="007760EC" w:rsidP="007760EC">
      <w:pPr>
        <w:jc w:val="both"/>
      </w:pPr>
    </w:p>
    <w:p w14:paraId="76A424C5" w14:textId="77777777" w:rsidR="007760EC" w:rsidRDefault="007760EC" w:rsidP="007760EC">
      <w:pPr>
        <w:jc w:val="both"/>
      </w:pPr>
    </w:p>
    <w:p w14:paraId="1223A310" w14:textId="77777777" w:rsidR="007760EC" w:rsidRPr="008E305A" w:rsidRDefault="007760EC" w:rsidP="007760EC">
      <w:pPr>
        <w:jc w:val="both"/>
      </w:pPr>
    </w:p>
    <w:p w14:paraId="7C335C46" w14:textId="5E84E83A" w:rsidR="007760EC" w:rsidRPr="008E305A" w:rsidRDefault="007760EC" w:rsidP="007760EC">
      <w:pPr>
        <w:jc w:val="center"/>
        <w:rPr>
          <w:b/>
        </w:rPr>
      </w:pPr>
      <w:r>
        <w:rPr>
          <w:b/>
        </w:rPr>
        <w:t>Robert</w:t>
      </w:r>
      <w:r w:rsidRPr="008E305A">
        <w:rPr>
          <w:b/>
        </w:rPr>
        <w:t xml:space="preserve"> </w:t>
      </w:r>
      <w:r>
        <w:rPr>
          <w:b/>
        </w:rPr>
        <w:t>Fico</w:t>
      </w:r>
      <w:r w:rsidR="00D77406">
        <w:rPr>
          <w:b/>
        </w:rPr>
        <w:t>, v. r.</w:t>
      </w:r>
    </w:p>
    <w:p w14:paraId="25A28BC6" w14:textId="0E9D7D3C" w:rsidR="007760EC" w:rsidRPr="007760EC" w:rsidRDefault="007760EC" w:rsidP="007760EC">
      <w:pPr>
        <w:jc w:val="center"/>
      </w:pPr>
      <w:r w:rsidRPr="008E305A">
        <w:t>predseda vlády Slovenskej republiky</w:t>
      </w:r>
    </w:p>
    <w:sectPr w:rsidR="007760EC" w:rsidRPr="007760EC">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E2E53"/>
    <w:multiLevelType w:val="hybridMultilevel"/>
    <w:tmpl w:val="C2DC0A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0965451"/>
    <w:multiLevelType w:val="hybridMultilevel"/>
    <w:tmpl w:val="C2DC0A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6971518"/>
    <w:multiLevelType w:val="hybridMultilevel"/>
    <w:tmpl w:val="C1461F48"/>
    <w:lvl w:ilvl="0" w:tplc="041B000F">
      <w:start w:val="2"/>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69913337"/>
    <w:multiLevelType w:val="hybridMultilevel"/>
    <w:tmpl w:val="BDC83F6E"/>
    <w:lvl w:ilvl="0" w:tplc="BEDEF118">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A3B3461"/>
    <w:multiLevelType w:val="hybridMultilevel"/>
    <w:tmpl w:val="F18893F2"/>
    <w:lvl w:ilvl="0" w:tplc="972E36A6">
      <w:start w:val="1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69"/>
    <w:rsid w:val="0006387B"/>
    <w:rsid w:val="000778D3"/>
    <w:rsid w:val="000D3779"/>
    <w:rsid w:val="00110240"/>
    <w:rsid w:val="00192657"/>
    <w:rsid w:val="001A15CE"/>
    <w:rsid w:val="001D5D51"/>
    <w:rsid w:val="001F4AC5"/>
    <w:rsid w:val="0020262F"/>
    <w:rsid w:val="00236D13"/>
    <w:rsid w:val="00254F2B"/>
    <w:rsid w:val="00297550"/>
    <w:rsid w:val="002C4C52"/>
    <w:rsid w:val="002D0FC6"/>
    <w:rsid w:val="002D0FD8"/>
    <w:rsid w:val="002D0FE6"/>
    <w:rsid w:val="002F359A"/>
    <w:rsid w:val="0031488E"/>
    <w:rsid w:val="00327257"/>
    <w:rsid w:val="003303E2"/>
    <w:rsid w:val="00331737"/>
    <w:rsid w:val="00390979"/>
    <w:rsid w:val="00394BD5"/>
    <w:rsid w:val="003E1B76"/>
    <w:rsid w:val="00400D9B"/>
    <w:rsid w:val="00432AB1"/>
    <w:rsid w:val="00433AA0"/>
    <w:rsid w:val="0043617B"/>
    <w:rsid w:val="00453AEB"/>
    <w:rsid w:val="0045537A"/>
    <w:rsid w:val="00456644"/>
    <w:rsid w:val="00490A4D"/>
    <w:rsid w:val="004918A2"/>
    <w:rsid w:val="00492E0E"/>
    <w:rsid w:val="004C390A"/>
    <w:rsid w:val="004C54BE"/>
    <w:rsid w:val="004C7F7B"/>
    <w:rsid w:val="004D483A"/>
    <w:rsid w:val="004E55FE"/>
    <w:rsid w:val="00523CDC"/>
    <w:rsid w:val="005356D7"/>
    <w:rsid w:val="005563BE"/>
    <w:rsid w:val="005C4791"/>
    <w:rsid w:val="00642468"/>
    <w:rsid w:val="0068164E"/>
    <w:rsid w:val="00685A99"/>
    <w:rsid w:val="00691D90"/>
    <w:rsid w:val="006A54D7"/>
    <w:rsid w:val="006A723B"/>
    <w:rsid w:val="006B1844"/>
    <w:rsid w:val="006B2AA0"/>
    <w:rsid w:val="006B38CF"/>
    <w:rsid w:val="006C174C"/>
    <w:rsid w:val="006C482F"/>
    <w:rsid w:val="006D5D85"/>
    <w:rsid w:val="006F23A9"/>
    <w:rsid w:val="007759AE"/>
    <w:rsid w:val="007760EC"/>
    <w:rsid w:val="007C5084"/>
    <w:rsid w:val="0083489D"/>
    <w:rsid w:val="00846EDE"/>
    <w:rsid w:val="00877A7E"/>
    <w:rsid w:val="0089302C"/>
    <w:rsid w:val="008A277E"/>
    <w:rsid w:val="008A564D"/>
    <w:rsid w:val="00936887"/>
    <w:rsid w:val="0094031E"/>
    <w:rsid w:val="00956A57"/>
    <w:rsid w:val="009A19F3"/>
    <w:rsid w:val="009C51F3"/>
    <w:rsid w:val="009D2C95"/>
    <w:rsid w:val="00A10C34"/>
    <w:rsid w:val="00A119FD"/>
    <w:rsid w:val="00A16E93"/>
    <w:rsid w:val="00A33E5B"/>
    <w:rsid w:val="00A34695"/>
    <w:rsid w:val="00A61B31"/>
    <w:rsid w:val="00A70A9C"/>
    <w:rsid w:val="00A94E00"/>
    <w:rsid w:val="00A958E0"/>
    <w:rsid w:val="00AE0902"/>
    <w:rsid w:val="00B213C0"/>
    <w:rsid w:val="00B30F61"/>
    <w:rsid w:val="00B67537"/>
    <w:rsid w:val="00B91BCF"/>
    <w:rsid w:val="00BA3571"/>
    <w:rsid w:val="00BE6EA9"/>
    <w:rsid w:val="00BF3957"/>
    <w:rsid w:val="00C26562"/>
    <w:rsid w:val="00C44081"/>
    <w:rsid w:val="00C82B67"/>
    <w:rsid w:val="00C8627C"/>
    <w:rsid w:val="00C87A0A"/>
    <w:rsid w:val="00CD247B"/>
    <w:rsid w:val="00D34AED"/>
    <w:rsid w:val="00D35641"/>
    <w:rsid w:val="00D403D1"/>
    <w:rsid w:val="00D61C49"/>
    <w:rsid w:val="00D77406"/>
    <w:rsid w:val="00DB3E5C"/>
    <w:rsid w:val="00DB591B"/>
    <w:rsid w:val="00DF2E3B"/>
    <w:rsid w:val="00E61774"/>
    <w:rsid w:val="00E61C77"/>
    <w:rsid w:val="00E82C6A"/>
    <w:rsid w:val="00E8597A"/>
    <w:rsid w:val="00EA638A"/>
    <w:rsid w:val="00EB5BE0"/>
    <w:rsid w:val="00EF62C5"/>
    <w:rsid w:val="00F2598B"/>
    <w:rsid w:val="00F27505"/>
    <w:rsid w:val="00F27D69"/>
    <w:rsid w:val="00F71D3C"/>
    <w:rsid w:val="00F72497"/>
    <w:rsid w:val="00F72ADD"/>
    <w:rsid w:val="00F74B7B"/>
    <w:rsid w:val="00F754C1"/>
    <w:rsid w:val="00F818D0"/>
    <w:rsid w:val="00F8199A"/>
    <w:rsid w:val="00FB2F84"/>
    <w:rsid w:val="00FF0046"/>
    <w:rsid w:val="00FF07AB"/>
    <w:rsid w:val="00FF505E"/>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445E"/>
  <w15:docId w15:val="{AFA1CC8B-5AFA-4C35-A794-FE8632C5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3987"/>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qFormat/>
    <w:rsid w:val="00873987"/>
    <w:rPr>
      <w:rFonts w:ascii="Times New Roman" w:hAnsi="Times New Roman" w:cs="Times New Roman"/>
      <w:color w:val="808080"/>
    </w:rPr>
  </w:style>
  <w:style w:type="character" w:customStyle="1" w:styleId="Zarkazkladnhotextu2Char">
    <w:name w:val="Zarážka základného textu 2 Char"/>
    <w:basedOn w:val="Predvolenpsmoodseku"/>
    <w:link w:val="Zarkazkladnhotextu2"/>
    <w:uiPriority w:val="99"/>
    <w:semiHidden/>
    <w:qFormat/>
    <w:rsid w:val="00873987"/>
    <w:rPr>
      <w:rFonts w:eastAsia="Times New Roman" w:cs="Times New Roman"/>
    </w:rPr>
  </w:style>
  <w:style w:type="character" w:customStyle="1" w:styleId="awspan1">
    <w:name w:val="awspan1"/>
    <w:basedOn w:val="Predvolenpsmoodseku"/>
    <w:qFormat/>
    <w:rsid w:val="00873987"/>
    <w:rPr>
      <w:rFonts w:cs="Times New Roman"/>
      <w:color w:val="000000"/>
      <w:sz w:val="24"/>
      <w:szCs w:val="24"/>
    </w:rPr>
  </w:style>
  <w:style w:type="character" w:customStyle="1" w:styleId="Internetovodkaz">
    <w:name w:val="Internetový odkaz"/>
    <w:basedOn w:val="Predvolenpsmoodseku"/>
    <w:uiPriority w:val="99"/>
    <w:semiHidden/>
    <w:unhideWhenUsed/>
    <w:rsid w:val="00B77395"/>
    <w:rPr>
      <w:color w:val="0000FF"/>
      <w:u w:val="single"/>
    </w:rPr>
  </w:style>
  <w:style w:type="character" w:styleId="Odkaznakomentr">
    <w:name w:val="annotation reference"/>
    <w:uiPriority w:val="99"/>
    <w:semiHidden/>
    <w:qFormat/>
    <w:rsid w:val="007F7269"/>
    <w:rPr>
      <w:sz w:val="16"/>
      <w:szCs w:val="16"/>
    </w:rPr>
  </w:style>
  <w:style w:type="character" w:customStyle="1" w:styleId="TextkomentraChar">
    <w:name w:val="Text komentára Char"/>
    <w:basedOn w:val="Predvolenpsmoodseku"/>
    <w:link w:val="Textkomentra"/>
    <w:uiPriority w:val="99"/>
    <w:qFormat/>
    <w:rsid w:val="007F7269"/>
    <w:rPr>
      <w:rFonts w:ascii="Calibri" w:eastAsia="Times New Roman" w:hAnsi="Calibri" w:cs="Calibri"/>
      <w:sz w:val="20"/>
      <w:szCs w:val="20"/>
    </w:rPr>
  </w:style>
  <w:style w:type="character" w:customStyle="1" w:styleId="TextbublinyChar">
    <w:name w:val="Text bubliny Char"/>
    <w:basedOn w:val="Predvolenpsmoodseku"/>
    <w:link w:val="Textbubliny"/>
    <w:uiPriority w:val="99"/>
    <w:semiHidden/>
    <w:qFormat/>
    <w:rsid w:val="007F7269"/>
    <w:rPr>
      <w:rFonts w:ascii="Segoe UI" w:eastAsia="Times New Roman" w:hAnsi="Segoe UI" w:cs="Segoe UI"/>
      <w:sz w:val="18"/>
      <w:szCs w:val="18"/>
      <w:lang w:eastAsia="sk-SK"/>
    </w:rPr>
  </w:style>
  <w:style w:type="character" w:customStyle="1" w:styleId="awspan">
    <w:name w:val="awspan"/>
    <w:qFormat/>
    <w:rsid w:val="0040660A"/>
  </w:style>
  <w:style w:type="character" w:customStyle="1" w:styleId="NzovChar">
    <w:name w:val="Názov Char"/>
    <w:basedOn w:val="Predvolenpsmoodseku"/>
    <w:link w:val="Nzov"/>
    <w:uiPriority w:val="10"/>
    <w:qFormat/>
    <w:rsid w:val="00C713CA"/>
    <w:rPr>
      <w:rFonts w:ascii="Arial" w:eastAsia="Arial" w:hAnsi="Arial" w:cs="Arial"/>
      <w:b/>
      <w:sz w:val="28"/>
      <w:szCs w:val="28"/>
      <w:lang w:val="sk" w:eastAsia="en-GB"/>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Normlnywebov">
    <w:name w:val="Normal (Web)"/>
    <w:aliases w:val="webb"/>
    <w:basedOn w:val="Normlny"/>
    <w:uiPriority w:val="99"/>
    <w:unhideWhenUsed/>
    <w:qFormat/>
    <w:rsid w:val="00873987"/>
    <w:pPr>
      <w:spacing w:beforeAutospacing="1" w:afterAutospacing="1"/>
    </w:pPr>
  </w:style>
  <w:style w:type="paragraph" w:styleId="Zarkazkladnhotextu2">
    <w:name w:val="Body Text Indent 2"/>
    <w:basedOn w:val="Normlny"/>
    <w:link w:val="Zarkazkladnhotextu2Char"/>
    <w:uiPriority w:val="99"/>
    <w:semiHidden/>
    <w:unhideWhenUsed/>
    <w:qFormat/>
    <w:rsid w:val="00873987"/>
    <w:pPr>
      <w:spacing w:after="120" w:line="480" w:lineRule="auto"/>
      <w:ind w:left="283"/>
    </w:pPr>
    <w:rPr>
      <w:rFonts w:asciiTheme="minorHAnsi" w:hAnsiTheme="minorHAnsi"/>
      <w:sz w:val="22"/>
      <w:szCs w:val="22"/>
      <w:lang w:eastAsia="en-US"/>
    </w:rPr>
  </w:style>
  <w:style w:type="paragraph" w:styleId="Textkomentra">
    <w:name w:val="annotation text"/>
    <w:basedOn w:val="Normlny"/>
    <w:link w:val="TextkomentraChar"/>
    <w:uiPriority w:val="99"/>
    <w:qFormat/>
    <w:rsid w:val="007F7269"/>
    <w:pPr>
      <w:spacing w:after="200"/>
    </w:pPr>
    <w:rPr>
      <w:rFonts w:ascii="Calibri" w:hAnsi="Calibri" w:cs="Calibri"/>
      <w:sz w:val="20"/>
      <w:szCs w:val="20"/>
      <w:lang w:eastAsia="en-US"/>
    </w:rPr>
  </w:style>
  <w:style w:type="paragraph" w:styleId="Textbubliny">
    <w:name w:val="Balloon Text"/>
    <w:basedOn w:val="Normlny"/>
    <w:link w:val="TextbublinyChar"/>
    <w:uiPriority w:val="99"/>
    <w:semiHidden/>
    <w:unhideWhenUsed/>
    <w:qFormat/>
    <w:rsid w:val="007F7269"/>
    <w:rPr>
      <w:rFonts w:ascii="Segoe UI" w:hAnsi="Segoe UI" w:cs="Segoe UI"/>
      <w:sz w:val="18"/>
      <w:szCs w:val="18"/>
    </w:rPr>
  </w:style>
  <w:style w:type="paragraph" w:styleId="Bezriadkovania">
    <w:name w:val="No Spacing"/>
    <w:uiPriority w:val="1"/>
    <w:qFormat/>
    <w:rsid w:val="0028689E"/>
    <w:rPr>
      <w:sz w:val="24"/>
    </w:rPr>
  </w:style>
  <w:style w:type="paragraph" w:styleId="Odsekzoznamu">
    <w:name w:val="List Paragraph"/>
    <w:aliases w:val="body,Odsek zoznamu2,Odsek,List Paragraph,List Paragraph1"/>
    <w:basedOn w:val="Normlny"/>
    <w:link w:val="OdsekzoznamuChar"/>
    <w:uiPriority w:val="34"/>
    <w:qFormat/>
    <w:rsid w:val="0040660A"/>
    <w:pPr>
      <w:spacing w:after="200" w:line="276" w:lineRule="auto"/>
      <w:ind w:left="720"/>
      <w:contextualSpacing/>
    </w:pPr>
    <w:rPr>
      <w:rFonts w:ascii="Calibri" w:hAnsi="Calibri"/>
      <w:sz w:val="22"/>
      <w:szCs w:val="22"/>
    </w:rPr>
  </w:style>
  <w:style w:type="paragraph" w:styleId="Nzov">
    <w:name w:val="Title"/>
    <w:basedOn w:val="Normlny"/>
    <w:next w:val="Normlny"/>
    <w:link w:val="NzovChar"/>
    <w:uiPriority w:val="10"/>
    <w:qFormat/>
    <w:rsid w:val="00C713CA"/>
    <w:pPr>
      <w:keepNext/>
      <w:keepLines/>
      <w:spacing w:before="120"/>
      <w:jc w:val="center"/>
    </w:pPr>
    <w:rPr>
      <w:rFonts w:ascii="Arial" w:eastAsia="Arial" w:hAnsi="Arial" w:cs="Arial"/>
      <w:b/>
      <w:sz w:val="28"/>
      <w:szCs w:val="28"/>
      <w:lang w:val="sk" w:eastAsia="en-GB"/>
    </w:rPr>
  </w:style>
  <w:style w:type="paragraph" w:styleId="Predmetkomentra">
    <w:name w:val="annotation subject"/>
    <w:basedOn w:val="Textkomentra"/>
    <w:next w:val="Textkomentra"/>
    <w:link w:val="PredmetkomentraChar"/>
    <w:uiPriority w:val="99"/>
    <w:semiHidden/>
    <w:unhideWhenUsed/>
    <w:rsid w:val="00B213C0"/>
    <w:pPr>
      <w:spacing w:after="0"/>
    </w:pPr>
    <w:rPr>
      <w:rFonts w:ascii="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B213C0"/>
    <w:rPr>
      <w:rFonts w:ascii="Times New Roman" w:eastAsia="Times New Roman" w:hAnsi="Times New Roman" w:cs="Times New Roman"/>
      <w:b/>
      <w:bCs/>
      <w:sz w:val="20"/>
      <w:szCs w:val="20"/>
      <w:lang w:eastAsia="sk-SK"/>
    </w:rPr>
  </w:style>
  <w:style w:type="table" w:customStyle="1" w:styleId="Mriekatabuky1">
    <w:name w:val="Mriežka tabuľky1"/>
    <w:basedOn w:val="Normlnatabuka"/>
    <w:next w:val="Mriekatabuky"/>
    <w:uiPriority w:val="59"/>
    <w:rsid w:val="007760EC"/>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0EC"/>
    <w:pPr>
      <w:autoSpaceDE w:val="0"/>
      <w:autoSpaceDN w:val="0"/>
      <w:adjustRightInd w:val="0"/>
    </w:pPr>
    <w:rPr>
      <w:rFonts w:ascii="Times New Roman" w:hAnsi="Times New Roman" w:cs="Times New Roman"/>
      <w:color w:val="000000"/>
      <w:sz w:val="24"/>
      <w:szCs w:val="24"/>
    </w:rPr>
  </w:style>
  <w:style w:type="table" w:styleId="Mriekatabuky">
    <w:name w:val="Table Grid"/>
    <w:basedOn w:val="Normlnatabuka"/>
    <w:uiPriority w:val="59"/>
    <w:rsid w:val="00776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List Paragraph Char,List Paragraph1 Char"/>
    <w:link w:val="Odsekzoznamu"/>
    <w:uiPriority w:val="34"/>
    <w:qFormat/>
    <w:locked/>
    <w:rsid w:val="007760EC"/>
    <w:rPr>
      <w:rFonts w:ascii="Calibri" w:eastAsia="Times New Roman" w:hAnsi="Calibri" w:cs="Times New Roman"/>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8122">
      <w:bodyDiv w:val="1"/>
      <w:marLeft w:val="0"/>
      <w:marRight w:val="0"/>
      <w:marTop w:val="0"/>
      <w:marBottom w:val="0"/>
      <w:divBdr>
        <w:top w:val="none" w:sz="0" w:space="0" w:color="auto"/>
        <w:left w:val="none" w:sz="0" w:space="0" w:color="auto"/>
        <w:bottom w:val="none" w:sz="0" w:space="0" w:color="auto"/>
        <w:right w:val="none" w:sz="0" w:space="0" w:color="auto"/>
      </w:divBdr>
    </w:div>
    <w:div w:id="2075278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77E7-636C-4B3F-AC3A-E80D0CBA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4761</Words>
  <Characters>27140</Characters>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2023-11-22T07:53:00Z</cp:lastPrinted>
  <dcterms:created xsi:type="dcterms:W3CDTF">2023-12-06T08:00:00Z</dcterms:created>
  <dcterms:modified xsi:type="dcterms:W3CDTF">2023-12-06T08:00:00Z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