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FC" w:rsidRPr="006E60E4" w:rsidRDefault="00C515FC" w:rsidP="00C515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6E60E4">
        <w:rPr>
          <w:b/>
          <w:bCs/>
        </w:rPr>
        <w:t>NÁRODNÁ RADA SLOVENSKEJ REPUBLIKY</w:t>
      </w:r>
    </w:p>
    <w:p w:rsidR="00C515FC" w:rsidRPr="006E60E4" w:rsidRDefault="0067482C" w:rsidP="00C515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IX</w:t>
      </w:r>
      <w:r w:rsidR="00C515FC" w:rsidRPr="006E60E4">
        <w:rPr>
          <w:bCs/>
        </w:rPr>
        <w:t>. volebné obdobie</w:t>
      </w:r>
    </w:p>
    <w:p w:rsidR="00C515FC" w:rsidRPr="006E60E4" w:rsidRDefault="00C515FC" w:rsidP="00C515FC">
      <w:pPr>
        <w:widowControl w:val="0"/>
        <w:autoSpaceDE w:val="0"/>
        <w:autoSpaceDN w:val="0"/>
        <w:jc w:val="both"/>
      </w:pPr>
    </w:p>
    <w:p w:rsidR="00C515FC" w:rsidRDefault="00C0430B" w:rsidP="00C515FC">
      <w:pPr>
        <w:widowControl w:val="0"/>
        <w:autoSpaceDE w:val="0"/>
        <w:autoSpaceDN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108</w:t>
      </w:r>
    </w:p>
    <w:p w:rsidR="00C515FC" w:rsidRPr="006E60E4" w:rsidRDefault="00C515FC" w:rsidP="00C515FC">
      <w:pPr>
        <w:widowControl w:val="0"/>
        <w:autoSpaceDE w:val="0"/>
        <w:autoSpaceDN w:val="0"/>
        <w:jc w:val="center"/>
      </w:pPr>
    </w:p>
    <w:p w:rsidR="00C515FC" w:rsidRPr="00185CC3" w:rsidRDefault="00C515FC" w:rsidP="00C515FC">
      <w:pPr>
        <w:widowControl w:val="0"/>
        <w:autoSpaceDE w:val="0"/>
        <w:autoSpaceDN w:val="0"/>
        <w:jc w:val="center"/>
        <w:rPr>
          <w:b/>
          <w:bCs/>
        </w:rPr>
      </w:pPr>
      <w:r w:rsidRPr="00185CC3">
        <w:rPr>
          <w:b/>
          <w:bCs/>
        </w:rPr>
        <w:t>NÁVRH VLÁDY</w:t>
      </w:r>
    </w:p>
    <w:p w:rsidR="00C515FC" w:rsidRPr="00185CC3" w:rsidRDefault="00C515FC" w:rsidP="00C515FC">
      <w:pPr>
        <w:widowControl w:val="0"/>
        <w:autoSpaceDE w:val="0"/>
        <w:autoSpaceDN w:val="0"/>
        <w:jc w:val="center"/>
        <w:rPr>
          <w:b/>
          <w:bCs/>
        </w:rPr>
      </w:pPr>
    </w:p>
    <w:p w:rsidR="005D53D5" w:rsidRPr="00BB3553" w:rsidRDefault="00354122" w:rsidP="005D53D5">
      <w:pPr>
        <w:jc w:val="center"/>
        <w:rPr>
          <w:b/>
        </w:rPr>
      </w:pPr>
      <w:r>
        <w:rPr>
          <w:b/>
        </w:rPr>
        <w:t xml:space="preserve">na skrátené legislatívne konanie o vládnom návrhu zákona, </w:t>
      </w:r>
      <w:r w:rsidRPr="00182A69">
        <w:rPr>
          <w:b/>
        </w:rPr>
        <w:t>ktorým sa mení a dopĺňa zákon č. 222/2022 Z. z. o štátnej podpore nájomného bývania a o zmene a doplnení niektorých zákonov v znení zákona č. 231/2023 Z. z.</w:t>
      </w:r>
    </w:p>
    <w:p w:rsidR="005D53D5" w:rsidRPr="0038248B" w:rsidRDefault="005D53D5" w:rsidP="005D53D5">
      <w:pPr>
        <w:jc w:val="both"/>
      </w:pPr>
    </w:p>
    <w:p w:rsidR="00354122" w:rsidRDefault="00354122" w:rsidP="00354122">
      <w:pPr>
        <w:ind w:firstLine="426"/>
        <w:jc w:val="both"/>
      </w:pPr>
      <w:r>
        <w:t xml:space="preserve">Vláda Slovenskej republiky predkladá návrh na skrátené legislatívne konanie o vládnom návrhu zákona, </w:t>
      </w:r>
      <w:r w:rsidRPr="00182A69">
        <w:t>ktorým sa mení a dopĺňa zákon č. 222/2022 Z. z. o štátnej podpore nájomného bývania a o zmene a doplnení niektorých zákonov v znení zákona č. 231/2023 Z. z.</w:t>
      </w:r>
    </w:p>
    <w:p w:rsidR="00354122" w:rsidRDefault="00354122" w:rsidP="00354122">
      <w:pPr>
        <w:ind w:firstLine="426"/>
        <w:jc w:val="both"/>
      </w:pPr>
    </w:p>
    <w:p w:rsidR="00354122" w:rsidRDefault="00354122" w:rsidP="00354122">
      <w:pPr>
        <w:ind w:firstLine="426"/>
        <w:jc w:val="both"/>
      </w:pPr>
      <w:r>
        <w:t xml:space="preserve">V pôvodnom znení zákona č. </w:t>
      </w:r>
      <w:r w:rsidRPr="00E80384">
        <w:t>222/2022 Z. z. o štátnej podpore nájomného bývania a o zmene a doplnení niektorých zákonov</w:t>
      </w:r>
      <w:r>
        <w:t xml:space="preserve"> nebola obsiahnutá úprava orgánov Agentúry štátom podporovaného nájomného bývania. Táto úprava bola v súlade s § 3 ods. 3 tohto zákona v spojitosti s § 20h ods. 1 Občianskeho zákonníka ponechaná na stanovy agentúry, s ktorými vláda Slovenskej republiky vyjadrila súhlas uznesením č. 464 zo dňa 13. júla 2022. </w:t>
      </w:r>
    </w:p>
    <w:p w:rsidR="00354122" w:rsidRDefault="00354122" w:rsidP="00354122">
      <w:pPr>
        <w:ind w:firstLine="426"/>
        <w:jc w:val="both"/>
      </w:pPr>
    </w:p>
    <w:p w:rsidR="00354122" w:rsidRDefault="00354122" w:rsidP="00354122">
      <w:pPr>
        <w:ind w:firstLine="426"/>
        <w:jc w:val="both"/>
      </w:pPr>
      <w:r>
        <w:t xml:space="preserve">K úprave orgánov agentúry na zákonnej úrovni došlo zákonom č. 231/2023 Z. z., a to až na základe pozmeňujúceho a doplňujúceho návrhu v II. čítaní v Národnej rade Slovenskej republiky, keďže pôvodný návrh zákona takúto úpravu vôbec neobsahoval. Týmto návrhom zákona sa do zákona č. 222/2022 Z. z. dostal explicitný výpočet orgánov agentúry s tým, že členovia predstavenstva, teda štatutárneho orgánu, agentúry majú sedemročné funkčné obdobie a sú kreovaní Národnou radou Slovenskej republiky na návrh aspoň pätnástich poslancov (dovtedy podľa stanov členskou schôdzou). Zároveň sa zaviedli taxatívne alternatívne odvolacie dôvody (obmedzenie spôsobilosti na právne úkony alebo nespôsobilosť </w:t>
      </w:r>
      <w:r w:rsidRPr="000A540E">
        <w:t>zo zdravotných dôvodov vykonávať svoju funkciu po dlhší čas ako šesť mesiacov</w:t>
      </w:r>
      <w:r>
        <w:t>), len za prítomnosti ktorých môžu byť členovia predstavenstva agentúry odvolaní Národnou radou Slovenskej republiky na návrh aspoň pätnástich poslancov. Spolu s týmito zmenami bolo prijaté aj prechodné ustanovenie, podľa ktorého mohla Národná rada Slovenskej republiky odvolať na návrh aspoň pätnástich poslancov člena predstavenstva aj bez uvedenia dôvodu do 1. októbra 2023. V tejto súvislosti je potrebné spomenúť, že tieto zmeny neboli v predmetnom pozmeňujúcom a doplňujúcom návrhu žiadnym spôsobom zdôvodnené. Vzhľadom na povahu týchto zmien je zrejmé, že mali čisto účelový charakter a reagovali na avizované vymenovanie novej vlády a termín predčasných parlamentných volieb. Je preto dôvodné tvrdiť, že ich cieľom tak malo byť udržať v daných funkciách nominantov vtedajšej vládnej garnitúry.</w:t>
      </w:r>
    </w:p>
    <w:p w:rsidR="00354122" w:rsidRDefault="00354122" w:rsidP="00354122">
      <w:pPr>
        <w:ind w:firstLine="426"/>
        <w:jc w:val="both"/>
      </w:pPr>
    </w:p>
    <w:p w:rsidR="00354122" w:rsidRDefault="00354122" w:rsidP="00354122">
      <w:pPr>
        <w:ind w:firstLine="426"/>
        <w:jc w:val="both"/>
      </w:pPr>
      <w:r>
        <w:t>Prezidentka Slovenskej republiky sa pri predmetnom zákone rozhodla vrátiť daný zákon z</w:t>
      </w:r>
      <w:r w:rsidRPr="00E80384">
        <w:t xml:space="preserve"> 9. mája 2023, ktorým sa mení a dopĺňa zákon č. 222/2022 Z. z. o štátnej podpore nájomného bývania a o zmene a doplnení niektorých zákonov</w:t>
      </w:r>
      <w:r>
        <w:t xml:space="preserve">, pričom navrhla, aby Národná rada Slovenskej republiky pri opätovnom prerokovaní zákon neprijala ako celok. Vo svojom rozhodnutí prezidentka Slovenskej republiky upozornila, že </w:t>
      </w:r>
      <w:r w:rsidRPr="00E80384">
        <w:t>„voľbou členov predstavenstva agentúry v národnej rade získavajú títo silnú legitimitu a mandát v právnickej osobe, ktorá nie je kontrolným orgánom verejnej moci, ani nie je zložkou systému bŕzd a protiváh v rámci deľby moci“. Prezidentk</w:t>
      </w:r>
      <w:r>
        <w:t>a</w:t>
      </w:r>
      <w:r w:rsidRPr="00E80384">
        <w:t xml:space="preserve"> Slovenskej republiky zároveň uviedla, že takúto právnu úpravu možno považovať za „ústavne nesystémový krok zákonodarcu, ktorý môže vytvárať nebezpečný precedens, kedy výkonná zložka moci (vláda Slovenskej republiky) bude zákonodarcom </w:t>
      </w:r>
      <w:r w:rsidRPr="00E80384">
        <w:lastRenderedPageBreak/>
        <w:t>oberaná o personálne rozhodnutia v ústredných orgánoch štátnej správy alebo v iných vládnych organizáciách a štátnych podnikoch.“</w:t>
      </w:r>
      <w:r>
        <w:t xml:space="preserve"> </w:t>
      </w:r>
    </w:p>
    <w:p w:rsidR="00354122" w:rsidRDefault="00354122" w:rsidP="00354122">
      <w:pPr>
        <w:ind w:firstLine="426"/>
        <w:jc w:val="both"/>
      </w:pPr>
    </w:p>
    <w:p w:rsidR="00354122" w:rsidRPr="00E80384" w:rsidRDefault="00354122" w:rsidP="00354122">
      <w:pPr>
        <w:ind w:firstLine="426"/>
        <w:jc w:val="both"/>
      </w:pPr>
      <w:r>
        <w:t xml:space="preserve">Okrem potreby odstrániť z právneho poriadku toto zjavne ústavne nesystémové a účelové riešenie je potrebné poukázať aj na naliehavú potrebu zmeny vyššie spomenutých ustanovení zákona č. 222/2022 Z. z. Z praktického hľadiska totiž táto právna úprava spôsobuje, že </w:t>
      </w:r>
      <w:r w:rsidRPr="00E80384">
        <w:t>zakladate</w:t>
      </w:r>
      <w:r>
        <w:t>lia agentúry – Úrad</w:t>
      </w:r>
      <w:r w:rsidRPr="00E80384">
        <w:t xml:space="preserve"> vlády Slo</w:t>
      </w:r>
      <w:r>
        <w:t>venskej republiky a Ministerstvo</w:t>
      </w:r>
      <w:r w:rsidRPr="00E80384">
        <w:t xml:space="preserve"> financií Slovenskej republiky –, ktor</w:t>
      </w:r>
      <w:r>
        <w:t>í</w:t>
      </w:r>
      <w:r w:rsidRPr="00E80384">
        <w:t xml:space="preserve"> v zmysle stanov agentúry tvoria najvyšší orgán agentúry, nemajú žiadnu kreačnú právomoc</w:t>
      </w:r>
      <w:r>
        <w:t xml:space="preserve"> </w:t>
      </w:r>
      <w:r w:rsidRPr="00E80384">
        <w:t xml:space="preserve">voči </w:t>
      </w:r>
      <w:r>
        <w:t>členom predstavenstva, teda štatutárnemu</w:t>
      </w:r>
      <w:r w:rsidRPr="00E80384">
        <w:t xml:space="preserve"> orgánu. Týmto spôsobom dochádza k praktickému znemožneniu toho, aby zakladatelia agentúry</w:t>
      </w:r>
      <w:r>
        <w:t xml:space="preserve"> mohli</w:t>
      </w:r>
      <w:r w:rsidRPr="00E80384">
        <w:t xml:space="preserve"> realizovať svoj vplyv na zloženie štatutárneho orgánu agentúry, ktorý v zmysle stanov agentúry riadi všetku činnosti agentúry a koná v jej mene.</w:t>
      </w:r>
    </w:p>
    <w:p w:rsidR="00354122" w:rsidRDefault="00354122" w:rsidP="00354122">
      <w:pPr>
        <w:ind w:firstLine="426"/>
        <w:jc w:val="both"/>
      </w:pPr>
    </w:p>
    <w:p w:rsidR="00354122" w:rsidRPr="00E80D2F" w:rsidRDefault="00354122" w:rsidP="00354122">
      <w:pPr>
        <w:ind w:firstLine="426"/>
        <w:jc w:val="both"/>
      </w:pPr>
      <w:r>
        <w:t xml:space="preserve">Agentúra má pritom zásadné postavenie v rámci štátom podporovaného nájomného bývania, keďže okrem iného </w:t>
      </w:r>
      <w:r w:rsidRPr="00E80D2F">
        <w:t>vytvára podmienky a nástroje pre rozvoj štátom podporovaného nájomného bývania, vypracováva a predkladá vláde návrh kritérií výberu investičných partnerov, hodnotí splnenie kritérií na nadobudnutie postavenia investičných partnerov, predkladá vláde návrh na výber investičných partnerov či posudzuje a predkladá vláde návrhy na uzatvorenie, zmenu a ukončeni</w:t>
      </w:r>
      <w:r>
        <w:t xml:space="preserve">e investičných zmlúv agentúrou. Ak zakladatelia nebudú mať možnosť ovplyvniť zloženie a tým pádom aj spôsob činnosti predstavenstva agentúry ako štatutárneho orgánu, môže dôjsť k paralýze činnosti agentúry, ohrozeniu plnenia úloh vlády Slovenskej republiky v oblasti štátom podporovaného nájomného bývania a tým aj k hrozbe značných hospodárskych škôd zo strany štátu. </w:t>
      </w:r>
    </w:p>
    <w:p w:rsidR="00354122" w:rsidRDefault="00354122" w:rsidP="00354122">
      <w:pPr>
        <w:ind w:firstLine="426"/>
        <w:jc w:val="both"/>
      </w:pPr>
    </w:p>
    <w:p w:rsidR="00354122" w:rsidRDefault="00354122" w:rsidP="00354122">
      <w:pPr>
        <w:ind w:firstLine="426"/>
        <w:jc w:val="both"/>
      </w:pPr>
      <w:r>
        <w:t xml:space="preserve">V nadväznosti na tieto skutočnosti sa v predloženom vládnom návrhu zákona navrhuje zo zákona č. 222/2022 Z. z. odstrániť sedemročné funkčné obdobie členov predstavenstva agentúry a zmeniť spôsob kreácie členov predstavenstva agentúry tak, aby ich </w:t>
      </w:r>
      <w:r>
        <w:rPr>
          <w:rFonts w:eastAsia="Calibri"/>
          <w:shd w:val="clear" w:color="auto" w:fill="FFFFFF"/>
        </w:rPr>
        <w:t>vymenúvala a odvolávala členská schôdza agentúry</w:t>
      </w:r>
      <w:r>
        <w:t>. Taktiež sa navrhuje prechodné ustanovenie, ktorým sa tieto zmeny premietnu aj vo vzťahu k súčasným členom predstavenstva agentúry.</w:t>
      </w:r>
    </w:p>
    <w:p w:rsidR="00354122" w:rsidRDefault="00354122" w:rsidP="00354122">
      <w:pPr>
        <w:ind w:firstLine="426"/>
        <w:jc w:val="both"/>
      </w:pPr>
    </w:p>
    <w:p w:rsidR="00354122" w:rsidRDefault="00354122" w:rsidP="00354122">
      <w:pPr>
        <w:ind w:firstLine="426"/>
        <w:jc w:val="both"/>
      </w:pPr>
      <w:r>
        <w:t>Vzhľadom na uvedené konštatujeme, že navrhované skrátené legislatívne konanie je odôvodnené prítomnosťou mimoriadnych okolností, pri ktorých štátu hrozia značné hospodárske škody.</w:t>
      </w:r>
    </w:p>
    <w:p w:rsidR="00354122" w:rsidRDefault="00354122" w:rsidP="00354122">
      <w:pPr>
        <w:ind w:firstLine="426"/>
        <w:jc w:val="both"/>
      </w:pPr>
    </w:p>
    <w:p w:rsidR="000D60A6" w:rsidRDefault="00354122" w:rsidP="00354122">
      <w:pPr>
        <w:ind w:firstLine="708"/>
        <w:jc w:val="both"/>
        <w:rPr>
          <w:color w:val="000000"/>
        </w:rPr>
      </w:pPr>
      <w:r w:rsidRPr="00B97973">
        <w:t xml:space="preserve">Na základe uvedených skutočností je potrebné podľa § 89 ods. 1 zákona Národnej rady Slovenskej republiky č. 350/1996 Z. z. o rokovacom poriadku Národnej rady, z dôvodu </w:t>
      </w:r>
      <w:r w:rsidRPr="00026AF6">
        <w:t>hrozby značných hospodárskych škôd</w:t>
      </w:r>
      <w:r>
        <w:t xml:space="preserve">, </w:t>
      </w:r>
      <w:r w:rsidRPr="00B97973">
        <w:t>navrhnúť Národnej rade Slovenskej republiky, aby sa uzniesla na skrátenom legislatívnom konaní o vládnom návrhu zákona, </w:t>
      </w:r>
      <w:r w:rsidRPr="00182A69">
        <w:t>ktorým sa mení a dopĺňa zákon č. 222/2022 Z. z. o štátnej podpore nájomného bývania a o zmene a doplnení niektorých zákonov v znení zákona č. 231/2023 Z. z.</w:t>
      </w:r>
    </w:p>
    <w:p w:rsidR="00C515FC" w:rsidRPr="006E60E4" w:rsidRDefault="00C515FC" w:rsidP="00C515FC">
      <w:pPr>
        <w:widowControl w:val="0"/>
        <w:autoSpaceDE w:val="0"/>
        <w:autoSpaceDN w:val="0"/>
      </w:pPr>
    </w:p>
    <w:p w:rsidR="00C515FC" w:rsidRPr="006E60E4" w:rsidRDefault="00C515FC" w:rsidP="00C515FC">
      <w:pPr>
        <w:widowControl w:val="0"/>
        <w:autoSpaceDE w:val="0"/>
        <w:autoSpaceDN w:val="0"/>
        <w:jc w:val="both"/>
      </w:pPr>
      <w:r>
        <w:t xml:space="preserve">V Bratislave </w:t>
      </w:r>
      <w:r w:rsidR="00354122">
        <w:t>6</w:t>
      </w:r>
      <w:r w:rsidRPr="00101F76">
        <w:t xml:space="preserve">. </w:t>
      </w:r>
      <w:r w:rsidR="00354122">
        <w:t>decembra</w:t>
      </w:r>
      <w:r>
        <w:t xml:space="preserve"> 2023</w:t>
      </w: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Default="00C515FC" w:rsidP="00C515FC">
      <w:pPr>
        <w:widowControl w:val="0"/>
        <w:autoSpaceDE w:val="0"/>
        <w:autoSpaceDN w:val="0"/>
        <w:jc w:val="both"/>
      </w:pPr>
      <w:bookmarkStart w:id="0" w:name="_GoBack"/>
      <w:bookmarkEnd w:id="0"/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Pr="006E60E4" w:rsidRDefault="00C515FC" w:rsidP="00C515FC">
      <w:pPr>
        <w:widowControl w:val="0"/>
        <w:autoSpaceDE w:val="0"/>
        <w:autoSpaceDN w:val="0"/>
        <w:jc w:val="both"/>
      </w:pPr>
    </w:p>
    <w:p w:rsidR="00C515FC" w:rsidRPr="006E60E4" w:rsidRDefault="00C515FC" w:rsidP="00C515FC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Robert Fico</w:t>
      </w:r>
      <w:r w:rsidR="00BA7FDB">
        <w:rPr>
          <w:b/>
        </w:rPr>
        <w:t>, v. r.</w:t>
      </w:r>
    </w:p>
    <w:p w:rsidR="00C515FC" w:rsidRPr="006E60E4" w:rsidRDefault="00C515FC" w:rsidP="00C515FC">
      <w:pPr>
        <w:widowControl w:val="0"/>
        <w:autoSpaceDE w:val="0"/>
        <w:autoSpaceDN w:val="0"/>
        <w:jc w:val="center"/>
      </w:pPr>
      <w:r w:rsidRPr="006E60E4">
        <w:t>predseda vlády Slovenskej republiky</w:t>
      </w:r>
    </w:p>
    <w:p w:rsidR="00C515FC" w:rsidRPr="0018576C" w:rsidRDefault="00C515FC" w:rsidP="00C515FC">
      <w:pPr>
        <w:jc w:val="both"/>
      </w:pPr>
    </w:p>
    <w:sectPr w:rsidR="00C515FC" w:rsidRPr="0018576C" w:rsidSect="00481CEB">
      <w:foot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C4E" w:rsidRDefault="00172C4E">
      <w:r>
        <w:separator/>
      </w:r>
    </w:p>
  </w:endnote>
  <w:endnote w:type="continuationSeparator" w:id="0">
    <w:p w:rsidR="00172C4E" w:rsidRDefault="0017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Franklin Gothic Medium Cond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EF" w:rsidRDefault="00504AEF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04AEF" w:rsidRDefault="00504A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C4E" w:rsidRDefault="00172C4E">
      <w:r>
        <w:separator/>
      </w:r>
    </w:p>
  </w:footnote>
  <w:footnote w:type="continuationSeparator" w:id="0">
    <w:p w:rsidR="00172C4E" w:rsidRDefault="00172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25F61"/>
    <w:multiLevelType w:val="hybridMultilevel"/>
    <w:tmpl w:val="C7D262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E3"/>
    <w:rsid w:val="000068D8"/>
    <w:rsid w:val="000803BC"/>
    <w:rsid w:val="00085CE1"/>
    <w:rsid w:val="000A5A24"/>
    <w:rsid w:val="000D3E90"/>
    <w:rsid w:val="000D60A6"/>
    <w:rsid w:val="000F10F3"/>
    <w:rsid w:val="000F1579"/>
    <w:rsid w:val="00122A97"/>
    <w:rsid w:val="00131A48"/>
    <w:rsid w:val="00134426"/>
    <w:rsid w:val="00150EAA"/>
    <w:rsid w:val="001605ED"/>
    <w:rsid w:val="001666D1"/>
    <w:rsid w:val="00171457"/>
    <w:rsid w:val="00172C4E"/>
    <w:rsid w:val="00184487"/>
    <w:rsid w:val="0018576C"/>
    <w:rsid w:val="001A0F3E"/>
    <w:rsid w:val="001A7616"/>
    <w:rsid w:val="001B16A7"/>
    <w:rsid w:val="001C5B1D"/>
    <w:rsid w:val="001E0FA2"/>
    <w:rsid w:val="001F636D"/>
    <w:rsid w:val="001F6523"/>
    <w:rsid w:val="002128F3"/>
    <w:rsid w:val="00235953"/>
    <w:rsid w:val="0023731A"/>
    <w:rsid w:val="0024321F"/>
    <w:rsid w:val="002461FE"/>
    <w:rsid w:val="00255305"/>
    <w:rsid w:val="00262A54"/>
    <w:rsid w:val="00270C4E"/>
    <w:rsid w:val="0028572F"/>
    <w:rsid w:val="00286BF7"/>
    <w:rsid w:val="002A2981"/>
    <w:rsid w:val="002F50BD"/>
    <w:rsid w:val="00302888"/>
    <w:rsid w:val="00310726"/>
    <w:rsid w:val="00310B1A"/>
    <w:rsid w:val="00315ACC"/>
    <w:rsid w:val="0032669D"/>
    <w:rsid w:val="003433D6"/>
    <w:rsid w:val="003519FF"/>
    <w:rsid w:val="00353884"/>
    <w:rsid w:val="00354122"/>
    <w:rsid w:val="00360D46"/>
    <w:rsid w:val="00361FD2"/>
    <w:rsid w:val="00363844"/>
    <w:rsid w:val="00364806"/>
    <w:rsid w:val="00364ACA"/>
    <w:rsid w:val="0038248B"/>
    <w:rsid w:val="003B308B"/>
    <w:rsid w:val="003B5154"/>
    <w:rsid w:val="003D2410"/>
    <w:rsid w:val="003E4A6F"/>
    <w:rsid w:val="003E6DD5"/>
    <w:rsid w:val="00402745"/>
    <w:rsid w:val="00404489"/>
    <w:rsid w:val="00414D80"/>
    <w:rsid w:val="00443B00"/>
    <w:rsid w:val="004466C4"/>
    <w:rsid w:val="00455323"/>
    <w:rsid w:val="00467A59"/>
    <w:rsid w:val="00481CEB"/>
    <w:rsid w:val="00491DE9"/>
    <w:rsid w:val="004A0796"/>
    <w:rsid w:val="004D3305"/>
    <w:rsid w:val="00504AEF"/>
    <w:rsid w:val="005222DE"/>
    <w:rsid w:val="00530E76"/>
    <w:rsid w:val="00550876"/>
    <w:rsid w:val="0055417F"/>
    <w:rsid w:val="005616E8"/>
    <w:rsid w:val="0056593A"/>
    <w:rsid w:val="00571B4D"/>
    <w:rsid w:val="005877D9"/>
    <w:rsid w:val="005927D0"/>
    <w:rsid w:val="005B3EB0"/>
    <w:rsid w:val="005B4A05"/>
    <w:rsid w:val="005B6F23"/>
    <w:rsid w:val="005C41CB"/>
    <w:rsid w:val="005D21FF"/>
    <w:rsid w:val="005D53D5"/>
    <w:rsid w:val="005E1FC7"/>
    <w:rsid w:val="005E48F6"/>
    <w:rsid w:val="00610CA0"/>
    <w:rsid w:val="00624678"/>
    <w:rsid w:val="00631787"/>
    <w:rsid w:val="006463B5"/>
    <w:rsid w:val="00666B9B"/>
    <w:rsid w:val="00671924"/>
    <w:rsid w:val="0067482C"/>
    <w:rsid w:val="00686A65"/>
    <w:rsid w:val="006925FC"/>
    <w:rsid w:val="0069723E"/>
    <w:rsid w:val="006B2438"/>
    <w:rsid w:val="006B622E"/>
    <w:rsid w:val="006C77C5"/>
    <w:rsid w:val="006E1A76"/>
    <w:rsid w:val="006F60E3"/>
    <w:rsid w:val="007142AE"/>
    <w:rsid w:val="00725B17"/>
    <w:rsid w:val="00735CCC"/>
    <w:rsid w:val="00783C83"/>
    <w:rsid w:val="00786FFF"/>
    <w:rsid w:val="00787A7B"/>
    <w:rsid w:val="007C1DE6"/>
    <w:rsid w:val="007E5727"/>
    <w:rsid w:val="007F2237"/>
    <w:rsid w:val="007F58F0"/>
    <w:rsid w:val="00806122"/>
    <w:rsid w:val="008314A7"/>
    <w:rsid w:val="0086217F"/>
    <w:rsid w:val="008650C7"/>
    <w:rsid w:val="008860F4"/>
    <w:rsid w:val="00887EA9"/>
    <w:rsid w:val="00891F86"/>
    <w:rsid w:val="008C5286"/>
    <w:rsid w:val="008D4352"/>
    <w:rsid w:val="00902077"/>
    <w:rsid w:val="009101D5"/>
    <w:rsid w:val="0091045B"/>
    <w:rsid w:val="00923BD3"/>
    <w:rsid w:val="00931C34"/>
    <w:rsid w:val="00931F37"/>
    <w:rsid w:val="009469D0"/>
    <w:rsid w:val="00964B37"/>
    <w:rsid w:val="009A0EA3"/>
    <w:rsid w:val="009B260A"/>
    <w:rsid w:val="009B3F72"/>
    <w:rsid w:val="009C6AB0"/>
    <w:rsid w:val="009C74D9"/>
    <w:rsid w:val="009E18F8"/>
    <w:rsid w:val="009E308D"/>
    <w:rsid w:val="009E4A44"/>
    <w:rsid w:val="00A20A6B"/>
    <w:rsid w:val="00A23A41"/>
    <w:rsid w:val="00A452A7"/>
    <w:rsid w:val="00A57768"/>
    <w:rsid w:val="00A739FF"/>
    <w:rsid w:val="00AA0292"/>
    <w:rsid w:val="00AC1AED"/>
    <w:rsid w:val="00AD50E7"/>
    <w:rsid w:val="00AE1022"/>
    <w:rsid w:val="00AE2C73"/>
    <w:rsid w:val="00AE3A70"/>
    <w:rsid w:val="00AE65C6"/>
    <w:rsid w:val="00AF244D"/>
    <w:rsid w:val="00B142B1"/>
    <w:rsid w:val="00B2023F"/>
    <w:rsid w:val="00B409AA"/>
    <w:rsid w:val="00B416BC"/>
    <w:rsid w:val="00B62094"/>
    <w:rsid w:val="00B702E4"/>
    <w:rsid w:val="00B802EF"/>
    <w:rsid w:val="00B81273"/>
    <w:rsid w:val="00B84295"/>
    <w:rsid w:val="00B84963"/>
    <w:rsid w:val="00BA333C"/>
    <w:rsid w:val="00BA5DB4"/>
    <w:rsid w:val="00BA7FDB"/>
    <w:rsid w:val="00BB3553"/>
    <w:rsid w:val="00BB70A7"/>
    <w:rsid w:val="00BD46F2"/>
    <w:rsid w:val="00BE03D2"/>
    <w:rsid w:val="00BE3C55"/>
    <w:rsid w:val="00BF3629"/>
    <w:rsid w:val="00C009B0"/>
    <w:rsid w:val="00C0430B"/>
    <w:rsid w:val="00C16B52"/>
    <w:rsid w:val="00C47CE3"/>
    <w:rsid w:val="00C515FC"/>
    <w:rsid w:val="00C52703"/>
    <w:rsid w:val="00C54F33"/>
    <w:rsid w:val="00C56BE1"/>
    <w:rsid w:val="00C63309"/>
    <w:rsid w:val="00C65A2D"/>
    <w:rsid w:val="00C727A1"/>
    <w:rsid w:val="00C904A1"/>
    <w:rsid w:val="00CC532F"/>
    <w:rsid w:val="00D04737"/>
    <w:rsid w:val="00D06FCE"/>
    <w:rsid w:val="00D47ADA"/>
    <w:rsid w:val="00D5089F"/>
    <w:rsid w:val="00D62FA5"/>
    <w:rsid w:val="00D7466D"/>
    <w:rsid w:val="00D7612A"/>
    <w:rsid w:val="00D90DB8"/>
    <w:rsid w:val="00DB1E40"/>
    <w:rsid w:val="00DC26E6"/>
    <w:rsid w:val="00DD2D9B"/>
    <w:rsid w:val="00DD3D34"/>
    <w:rsid w:val="00DD4E32"/>
    <w:rsid w:val="00DE4DE3"/>
    <w:rsid w:val="00DF4909"/>
    <w:rsid w:val="00DF4DB4"/>
    <w:rsid w:val="00E00238"/>
    <w:rsid w:val="00E02441"/>
    <w:rsid w:val="00E24ECB"/>
    <w:rsid w:val="00E54D59"/>
    <w:rsid w:val="00E82A00"/>
    <w:rsid w:val="00E8461A"/>
    <w:rsid w:val="00E87D54"/>
    <w:rsid w:val="00E918B7"/>
    <w:rsid w:val="00E95DDF"/>
    <w:rsid w:val="00EC10BB"/>
    <w:rsid w:val="00EC30F9"/>
    <w:rsid w:val="00ED133D"/>
    <w:rsid w:val="00ED6C55"/>
    <w:rsid w:val="00EE0CB9"/>
    <w:rsid w:val="00EE7866"/>
    <w:rsid w:val="00EF101F"/>
    <w:rsid w:val="00F0446A"/>
    <w:rsid w:val="00F1696D"/>
    <w:rsid w:val="00F25CDB"/>
    <w:rsid w:val="00F27AC9"/>
    <w:rsid w:val="00F532BA"/>
    <w:rsid w:val="00F60DA1"/>
    <w:rsid w:val="00F838FB"/>
    <w:rsid w:val="00F83F17"/>
    <w:rsid w:val="00F97C71"/>
    <w:rsid w:val="00FA7A2C"/>
    <w:rsid w:val="00FC5415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065AD7-5BE7-4915-A0C9-56139396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">
    <w:name w:val="Char Char Char"/>
    <w:basedOn w:val="Normlny"/>
    <w:uiPriority w:val="99"/>
    <w:rsid w:val="001C5B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">
    <w:name w:val="Styl"/>
    <w:basedOn w:val="Normlny"/>
    <w:uiPriority w:val="99"/>
    <w:rsid w:val="0038248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364806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481CEB"/>
    <w:rPr>
      <w:rFonts w:cs="Times New Roman"/>
    </w:rPr>
  </w:style>
  <w:style w:type="paragraph" w:styleId="Pta">
    <w:name w:val="footer"/>
    <w:basedOn w:val="Normlny"/>
    <w:link w:val="PtaChar"/>
    <w:uiPriority w:val="99"/>
    <w:rsid w:val="00481CEB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uiPriority w:val="99"/>
    <w:semiHidden/>
    <w:rPr>
      <w:sz w:val="24"/>
      <w:szCs w:val="24"/>
    </w:rPr>
  </w:style>
  <w:style w:type="character" w:customStyle="1" w:styleId="PtaChar14">
    <w:name w:val="Päta Char14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3">
    <w:name w:val="Päta Char13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2">
    <w:name w:val="Päta Char12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1">
    <w:name w:val="Päta Char11"/>
    <w:basedOn w:val="Predvolenpsmoodseku"/>
    <w:uiPriority w:val="99"/>
    <w:semiHidden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02E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802EF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802EF"/>
    <w:rPr>
      <w:rFonts w:cs="Times New Roman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02E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02EF"/>
    <w:rPr>
      <w:rFonts w:ascii="Lucida Grande CE" w:hAnsi="Lucida Grande CE" w:cs="Lucida Grande CE"/>
      <w:sz w:val="18"/>
      <w:szCs w:val="18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02EF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802EF"/>
    <w:rPr>
      <w:rFonts w:cs="Times New Roman"/>
      <w:b/>
      <w:bCs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5D53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5D53D5"/>
    <w:rPr>
      <w:rFonts w:cs="Times New Roman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EE0CB9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EE0CB9"/>
    <w:rPr>
      <w:rFonts w:asciiTheme="minorHAnsi" w:eastAsiaTheme="minorEastAsia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904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04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58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0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1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2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03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52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70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77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137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58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1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16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5375</Characters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2023-11-28T09:29:00Z</cp:lastPrinted>
  <dcterms:created xsi:type="dcterms:W3CDTF">2023-12-06T07:50:00Z</dcterms:created>
  <dcterms:modified xsi:type="dcterms:W3CDTF">2023-12-06T13:48:00Z</dcterms:modified>
</cp:coreProperties>
</file>