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559" w:rsidRPr="00782C29" w:rsidRDefault="00D40559" w:rsidP="00D40559">
      <w:pPr>
        <w:spacing w:after="0" w:line="240" w:lineRule="auto"/>
        <w:jc w:val="center"/>
        <w:rPr>
          <w:rFonts w:ascii="Times New Roman" w:eastAsia="Times New Roman" w:hAnsi="Times New Roman" w:cs="Times New Roman"/>
          <w:b/>
          <w:color w:val="000000" w:themeColor="text1"/>
          <w:sz w:val="24"/>
          <w:szCs w:val="24"/>
        </w:rPr>
      </w:pPr>
      <w:r w:rsidRPr="00782C29">
        <w:rPr>
          <w:rFonts w:ascii="Times New Roman" w:eastAsia="Times New Roman" w:hAnsi="Times New Roman" w:cs="Times New Roman"/>
          <w:b/>
          <w:color w:val="000000" w:themeColor="text1"/>
          <w:sz w:val="24"/>
          <w:szCs w:val="24"/>
        </w:rPr>
        <w:t>Dôvodová správa</w:t>
      </w:r>
    </w:p>
    <w:p w:rsidR="00D40559" w:rsidRPr="00782C29" w:rsidRDefault="00D40559" w:rsidP="00D40559">
      <w:pPr>
        <w:spacing w:after="0" w:line="240" w:lineRule="auto"/>
        <w:jc w:val="both"/>
        <w:rPr>
          <w:rFonts w:ascii="Times New Roman" w:eastAsia="Times New Roman" w:hAnsi="Times New Roman" w:cs="Times New Roman"/>
          <w:color w:val="000000" w:themeColor="text1"/>
          <w:sz w:val="24"/>
          <w:szCs w:val="24"/>
        </w:rPr>
      </w:pPr>
    </w:p>
    <w:p w:rsidR="00D40559" w:rsidRPr="00782C29" w:rsidRDefault="00D40559" w:rsidP="00D40559">
      <w:pPr>
        <w:spacing w:after="0" w:line="240" w:lineRule="auto"/>
        <w:jc w:val="both"/>
        <w:rPr>
          <w:rFonts w:ascii="Times New Roman" w:hAnsi="Times New Roman" w:cs="Times New Roman"/>
          <w:b/>
          <w:color w:val="000000" w:themeColor="text1"/>
          <w:sz w:val="24"/>
          <w:szCs w:val="24"/>
          <w:u w:val="single"/>
        </w:rPr>
      </w:pPr>
      <w:r w:rsidRPr="00782C29">
        <w:rPr>
          <w:rFonts w:ascii="Times New Roman" w:hAnsi="Times New Roman" w:cs="Times New Roman"/>
          <w:b/>
          <w:color w:val="000000" w:themeColor="text1"/>
          <w:sz w:val="24"/>
          <w:szCs w:val="24"/>
          <w:u w:val="single"/>
        </w:rPr>
        <w:t>Všeobecná časť</w:t>
      </w:r>
    </w:p>
    <w:p w:rsidR="00D40559" w:rsidRPr="00782C29" w:rsidRDefault="00D40559" w:rsidP="00D40559">
      <w:pPr>
        <w:spacing w:after="0" w:line="240" w:lineRule="auto"/>
        <w:jc w:val="both"/>
        <w:rPr>
          <w:rFonts w:ascii="Times New Roman" w:eastAsia="Times New Roman" w:hAnsi="Times New Roman" w:cs="Times New Roman"/>
          <w:color w:val="000000" w:themeColor="text1"/>
          <w:sz w:val="24"/>
          <w:szCs w:val="24"/>
        </w:rPr>
      </w:pPr>
    </w:p>
    <w:p w:rsidR="00D40559" w:rsidRPr="00782C29" w:rsidRDefault="00D40559" w:rsidP="00D40559">
      <w:pPr>
        <w:spacing w:after="0" w:line="240" w:lineRule="auto"/>
        <w:jc w:val="both"/>
        <w:rPr>
          <w:rFonts w:ascii="Times New Roman" w:hAnsi="Times New Roman" w:cs="Times New Roman"/>
          <w:color w:val="000000" w:themeColor="text1"/>
          <w:sz w:val="24"/>
          <w:szCs w:val="24"/>
        </w:rPr>
      </w:pPr>
      <w:r w:rsidRPr="00782C29">
        <w:rPr>
          <w:rFonts w:ascii="Times New Roman" w:hAnsi="Times New Roman" w:cs="Times New Roman"/>
          <w:color w:val="000000" w:themeColor="text1"/>
          <w:sz w:val="24"/>
          <w:szCs w:val="24"/>
        </w:rPr>
        <w:t>Návrh zákona, ktorým sa menia a dopĺňajú niektoré zákony v súvislosti so zlepšením stavu verejných financií, sa predkladá ako iniciatívny materiál.</w:t>
      </w:r>
    </w:p>
    <w:p w:rsidR="00D40559" w:rsidRPr="00782C29" w:rsidRDefault="00D40559" w:rsidP="00D40559">
      <w:pPr>
        <w:spacing w:after="0" w:line="240" w:lineRule="auto"/>
        <w:ind w:firstLine="708"/>
        <w:jc w:val="both"/>
        <w:rPr>
          <w:rFonts w:ascii="Times New Roman" w:hAnsi="Times New Roman" w:cs="Times New Roman"/>
          <w:color w:val="000000" w:themeColor="text1"/>
          <w:sz w:val="24"/>
          <w:szCs w:val="24"/>
        </w:rPr>
      </w:pPr>
    </w:p>
    <w:p w:rsidR="00D40559" w:rsidRPr="00782C29" w:rsidRDefault="00D40559" w:rsidP="00D40559">
      <w:pPr>
        <w:spacing w:after="0" w:line="240" w:lineRule="auto"/>
        <w:jc w:val="both"/>
        <w:rPr>
          <w:rFonts w:ascii="Times New Roman" w:hAnsi="Times New Roman" w:cs="Times New Roman"/>
          <w:sz w:val="24"/>
          <w:szCs w:val="24"/>
        </w:rPr>
      </w:pPr>
      <w:r w:rsidRPr="00782C29">
        <w:rPr>
          <w:rFonts w:ascii="Times New Roman" w:hAnsi="Times New Roman" w:cs="Times New Roman"/>
          <w:sz w:val="24"/>
          <w:szCs w:val="24"/>
        </w:rPr>
        <w:t>Vzhľadom na vysoký deficit verejných financií a enormné zadlženie Slovenska sa predkladaným zákonom navrhuje</w:t>
      </w:r>
      <w:r w:rsidRPr="00782C29">
        <w:rPr>
          <w:rFonts w:ascii="Times New Roman" w:hAnsi="Times New Roman" w:cs="Times New Roman"/>
          <w:color w:val="000000" w:themeColor="text1"/>
          <w:sz w:val="24"/>
          <w:szCs w:val="24"/>
        </w:rPr>
        <w:t xml:space="preserve"> </w:t>
      </w:r>
      <w:r w:rsidRPr="00782C29">
        <w:rPr>
          <w:rFonts w:ascii="Times New Roman" w:hAnsi="Times New Roman" w:cs="Times New Roman"/>
          <w:sz w:val="24"/>
          <w:szCs w:val="24"/>
        </w:rPr>
        <w:t>súbor konsolidačných opatrení</w:t>
      </w:r>
      <w:r w:rsidRPr="00782C29">
        <w:rPr>
          <w:rFonts w:ascii="Times New Roman" w:hAnsi="Times New Roman" w:cs="Times New Roman"/>
          <w:color w:val="000000" w:themeColor="text1"/>
          <w:sz w:val="24"/>
          <w:szCs w:val="24"/>
        </w:rPr>
        <w:t xml:space="preserve">, realizáciou ktorých sa zabezpečia dodatočné príjmy štátneho rozpočtu, čo prispeje k stabilizácii verejných financií a k eliminácii negatívnych vplyvov na vývoj hospodárenia Slovenskej republiky. </w:t>
      </w:r>
      <w:r w:rsidRPr="00782C29">
        <w:rPr>
          <w:rFonts w:ascii="Times New Roman" w:eastAsia="Times New Roman" w:hAnsi="Times New Roman" w:cs="Times New Roman"/>
          <w:sz w:val="24"/>
          <w:szCs w:val="24"/>
        </w:rPr>
        <w:t xml:space="preserve">Pri prijímaní týchto opatrení sa sleduje cieľ primeraného rozdelenia daňovej záťaže medzi rôzne daňové subjekty. </w:t>
      </w:r>
      <w:r w:rsidRPr="00782C29">
        <w:rPr>
          <w:rFonts w:ascii="Times New Roman" w:hAnsi="Times New Roman" w:cs="Times New Roman"/>
          <w:sz w:val="24"/>
          <w:szCs w:val="24"/>
        </w:rPr>
        <w:t xml:space="preserve">Opatrenia v jednotlivých článkoch zákona sú navrhnuté tak, aby mali čo najmenšie negatívne vplyvy na obyvateľov a aby primerane, proporcionálne a nediskriminačne zasiahli predovšetkým subjekty, ktoré dosahovali a je predpoklad, že budú dosahovať mimoriadne zisky. </w:t>
      </w:r>
    </w:p>
    <w:p w:rsidR="00D40559" w:rsidRPr="00782C29" w:rsidRDefault="00D40559" w:rsidP="00D40559">
      <w:pPr>
        <w:spacing w:after="0" w:line="240" w:lineRule="auto"/>
        <w:jc w:val="both"/>
        <w:rPr>
          <w:rFonts w:ascii="Times New Roman" w:hAnsi="Times New Roman" w:cs="Times New Roman"/>
          <w:sz w:val="24"/>
          <w:szCs w:val="24"/>
        </w:rPr>
      </w:pPr>
    </w:p>
    <w:p w:rsidR="00D40559" w:rsidRPr="00782C29" w:rsidRDefault="00D40559" w:rsidP="00D40559">
      <w:pPr>
        <w:autoSpaceDE w:val="0"/>
        <w:autoSpaceDN w:val="0"/>
        <w:jc w:val="both"/>
        <w:rPr>
          <w:rFonts w:ascii="Times New Roman" w:hAnsi="Times New Roman"/>
          <w:sz w:val="24"/>
          <w:szCs w:val="24"/>
        </w:rPr>
      </w:pPr>
      <w:r w:rsidRPr="00782C29">
        <w:rPr>
          <w:rFonts w:ascii="Times New Roman" w:hAnsi="Times New Roman"/>
          <w:sz w:val="24"/>
          <w:szCs w:val="24"/>
        </w:rPr>
        <w:t xml:space="preserve">Zámerom legislatívnej úpravy zákona o správnych poplatkoch a zákona o súdnych poplatkov a poplatku za výpis z registra trestov je valorizácia sadzieb vybraných poplatkov, z ktorých väčšina sa naposledy menila skôr ako pred zavedením eura na Slovensku (rok 2009). Primárne ide o úpravu sadzieb poplatkov v nadväznosti na infláciu (jej zohľadnenie od roku 2009 predstavuje nárast spotrebiteľských cien o približne 54 %), keďže náklady štátu na agendu správnych orgánov, súdov, orgánov súdov a prokuratúry priebežne rastú (mzdy, réžia, IT systémy). V roku 2022 úhrady správnych a súdnych poplatkov do štátneho rozpočtu predstavovali 205 mil. eur (z toho 37,5 mil. eur tvoria súdne poplatky). Valorizácia sadzieb poplatkov sa netýka tzv. percentuálne určených sadzieb poplatkov, pri ktorých sa výška automaticky mení v závislosti od základu poplatku, ako aj poplatkov, pri ktorých nie je rozpočtový vplyv významný alebo došlo k zmene príslušnej časti sadzobníka v posledných rokoch. Nezasahuje sa do nárokov na úľavy a oslobodenia. Zároveň sa preferuje zaokrúhľovanie nových sadzieb poplatkov s cieľom minimalizovať manipuláciu s hotovosťou. </w:t>
      </w:r>
    </w:p>
    <w:p w:rsidR="00D40559" w:rsidRPr="00782C29" w:rsidRDefault="00D40559" w:rsidP="00D40559">
      <w:pPr>
        <w:autoSpaceDE w:val="0"/>
        <w:autoSpaceDN w:val="0"/>
        <w:jc w:val="both"/>
        <w:rPr>
          <w:rFonts w:ascii="Times New Roman" w:hAnsi="Times New Roman"/>
          <w:sz w:val="24"/>
          <w:szCs w:val="24"/>
        </w:rPr>
      </w:pPr>
      <w:r w:rsidRPr="00782C29">
        <w:rPr>
          <w:rFonts w:ascii="Times New Roman" w:hAnsi="Times New Roman"/>
          <w:sz w:val="24"/>
          <w:szCs w:val="24"/>
        </w:rPr>
        <w:t>Novelizuje sa zákon Slovenskej národnej rady č. 310/1992 Zb. o stavebnom sporení v znení neskorších predpisov („ďalej len zákon o stavebnom sporení“), pričom predmetom predloženého návrhu je vypustenie ustanovení zavedených poslednou poslaneckou priamou novelou zákona o stavebnom sporení (zákon č. 316/2023 Z. z.), ktorá by nadobudnutím účinnosti mohla nejednoznačnou vykonateľnosťou, ako aj zavedením diskriminačných prvkov spôsobiť problémy v aplikačnej praxi. Predmetná poslanecká novela zákona o stavebnom sporení nebola prerokovaná ani v Legislatívnej rade vlády SR.</w:t>
      </w:r>
    </w:p>
    <w:p w:rsidR="00D40559" w:rsidRPr="00782C29" w:rsidRDefault="00D40559" w:rsidP="00D40559">
      <w:pPr>
        <w:autoSpaceDE w:val="0"/>
        <w:autoSpaceDN w:val="0"/>
        <w:jc w:val="both"/>
        <w:rPr>
          <w:rFonts w:ascii="Times New Roman" w:hAnsi="Times New Roman"/>
          <w:sz w:val="24"/>
          <w:szCs w:val="24"/>
        </w:rPr>
      </w:pPr>
      <w:r w:rsidRPr="00782C29">
        <w:rPr>
          <w:rFonts w:ascii="Times New Roman" w:hAnsi="Times New Roman"/>
          <w:sz w:val="24"/>
          <w:szCs w:val="24"/>
        </w:rPr>
        <w:t>Vytvorenie tzv. rodinnej zmluvy o stavebnom sporení, pri ktorej je stavebný sporiteľ neprimerane zvýhodnený oproti inému stavebnému sporiteľovi, spôsobuje diskrimináciu ad 1 vo vzťahu k posudzovaniu príjmového limitu, ad 2 vo vzťahu k výške štátnej prémie a ad 3 vo vzťahu k výške poplatkov za vedenie účtu stavebného sporiteľa. Zároveň zavedenie tzv. rodinného stavebného sporenia je podľa názoru Ministerstva práce, sociálnych vecí a rodiny SR výrazne diskriminačné aj z dôvodu, že sa nevzťahuje na jednorodičovské domácnosti s maloletým dieťaťom/deťmi (vrátane osamelých rodičov, ako napr. vdova, vdovec) a tiež ani na domácnosti s maloletým dieťaťom/deťmi, v ktorých rodičovské práva a povinnosti vykonávajú osoby, ktoré nie sú manželmi.</w:t>
      </w:r>
    </w:p>
    <w:p w:rsidR="00D40559" w:rsidRPr="00782C29" w:rsidRDefault="00D40559" w:rsidP="00D40559">
      <w:pPr>
        <w:autoSpaceDE w:val="0"/>
        <w:autoSpaceDN w:val="0"/>
        <w:jc w:val="both"/>
        <w:rPr>
          <w:rFonts w:ascii="Times New Roman" w:hAnsi="Times New Roman"/>
          <w:sz w:val="24"/>
          <w:szCs w:val="24"/>
        </w:rPr>
      </w:pPr>
      <w:r w:rsidRPr="00782C29">
        <w:rPr>
          <w:rFonts w:ascii="Times New Roman" w:hAnsi="Times New Roman"/>
          <w:sz w:val="24"/>
          <w:szCs w:val="24"/>
        </w:rPr>
        <w:lastRenderedPageBreak/>
        <w:t>Schválením zákona č. 316/2023 Z. z. sa vytvorilo neadresné poskytovanie štátnej prémie z hľadiska príjmov stavebných sporiteľov a založili sa výrazne zvýšené nároky na štátny rozpočet. Všetky predchádzajúce úpravy zákona o stavebnom sporení viedli k účelovosti, adresnosti a efektívnosti stavebného sporenia, a to aj tým spôsobom, aby prijímateľmi štátnej prémie mohli byť len ľudia s nižšími príjmami (testuje sa príjem 1,3-násobku priemernej mzdy, nad ktorý už stavebný sporiteľ nemá nárok na štátnu prémiu). Výdavky štátneho rozpočtu na štátnu prémiu sa postupne znížili z cca 20 mil. eur ročne na cca 6. mil. eur ročne. Oproti tomu, v prípade stavebného sporiteľa - člena domácnosti, ktorú tvoria manželia a maloleté dieťa, sa zvyšuje limit spoločného príjmu domácnosti na 3,25-násobok priemernej mzdy, pričom za každé ďalšie dieťa sa limit zvyšuje o ďalších 0,65-násobku priemernej mzdy. Príjmová hranica na získanie podpory tak môže vzrásť až na cca 4-násobok súčasnej hodnoty v prípade sporiteľa v manželskom zväzku s dvoma maloletými deťmi. Keďže priemerná mzda v národnom hospodárstve za rok 2022 dosiahla 1 304 eur, nárok na štátnu prémiu bude mať v takomto prípade aj manžel (ako aj manželka), ktorý zarába až do 5 000 eur mesačne (ak majú rodičia 2 deti). Ak k tomu zohľadníme dvojnásobnú percentuálnu výšku štátnej prémie, domácnosť s vyššími príjmami dokáže bez problémov vložiť znížený efektívny ročný vklad 500 eur za každého sporiteľa (manžel, manželka, 1. dieťa, 2. dieťa - spolu 2 000 eur ročne) a získať tak celkovú ročnú štátnu prémiu vo výške 280 eur. Takéto nastavenie však spôsobuje vyššie zvýhodnenie vysokopríjmových rodín oproti rodinám a slobodným jednotlivcom s nižšími príjmami a neprimerane zvýšené nároky na štátny rozpočet.</w:t>
      </w:r>
    </w:p>
    <w:p w:rsidR="00D40559" w:rsidRPr="00782C29" w:rsidRDefault="00D40559" w:rsidP="00D40559">
      <w:pPr>
        <w:spacing w:after="0" w:line="240" w:lineRule="auto"/>
        <w:jc w:val="both"/>
        <w:rPr>
          <w:rFonts w:ascii="Times New Roman" w:hAnsi="Times New Roman" w:cs="Times New Roman"/>
          <w:color w:val="000000" w:themeColor="text1"/>
          <w:sz w:val="24"/>
          <w:szCs w:val="24"/>
        </w:rPr>
      </w:pPr>
      <w:r w:rsidRPr="00782C29">
        <w:rPr>
          <w:rFonts w:ascii="Times New Roman" w:hAnsi="Times New Roman" w:cs="Times New Roman"/>
          <w:color w:val="000000" w:themeColor="text1"/>
          <w:sz w:val="24"/>
          <w:szCs w:val="24"/>
        </w:rPr>
        <w:t>Vypustením ustanovení súvisiacich s definíciou domácnosti sa zároveň riešia aj legislatívno-právne nedostatky, ktoré by v praxi spôsobovali nutnosť ďalšej právnej úpravy. Procesne zákon č. 316/2023 Z. z. napríklad vôbec nerieši, kedy a komu bude stavebný sporiteľ dokladovať skutočnosti, že je členom domácnosti, a pod. Zákon  neupravuje ani nahlasovanie zmien v centrálnej evidencii zmlúv o stavebnom sporení s nárokom na štátnu prémiu v prípade rodinných zmlúv, že daná domácnosť prestala spĺňať zákonné podmienky domácnosti (napr. manželia sa rozviedli, maloleté dieťa sa stalo dospelým a pod.). Z tohto dôvodu nebude možné kontrolovať oprávnenosť zvýšených nárokov na štátnu prémiu.</w:t>
      </w:r>
    </w:p>
    <w:p w:rsidR="00065C8C" w:rsidRPr="00782C29" w:rsidRDefault="00065C8C" w:rsidP="00D40559">
      <w:pPr>
        <w:spacing w:after="0" w:line="240" w:lineRule="auto"/>
        <w:jc w:val="both"/>
        <w:rPr>
          <w:rFonts w:ascii="Times New Roman" w:hAnsi="Times New Roman" w:cs="Times New Roman"/>
          <w:color w:val="000000" w:themeColor="text1"/>
          <w:sz w:val="24"/>
          <w:szCs w:val="24"/>
        </w:rPr>
      </w:pPr>
    </w:p>
    <w:p w:rsidR="00774076" w:rsidRPr="00782C29" w:rsidRDefault="00774076" w:rsidP="00774076">
      <w:pPr>
        <w:tabs>
          <w:tab w:val="left" w:pos="426"/>
        </w:tabs>
        <w:spacing w:after="0" w:line="240" w:lineRule="auto"/>
        <w:jc w:val="both"/>
        <w:rPr>
          <w:rFonts w:ascii="Times New Roman" w:hAnsi="Times New Roman"/>
          <w:sz w:val="24"/>
          <w:szCs w:val="24"/>
        </w:rPr>
      </w:pPr>
      <w:r w:rsidRPr="00782C29">
        <w:rPr>
          <w:rFonts w:ascii="Times New Roman" w:hAnsi="Times New Roman"/>
          <w:sz w:val="24"/>
          <w:szCs w:val="24"/>
        </w:rPr>
        <w:t xml:space="preserve">Mení a dopĺňa sa zákon č. 595/2003 Z. z. o dani z príjmov v znení neskorších predpisov. Cieľom návrhu zákona je vytvorenie predpokladov pre konsolidáciu verejných financií. Zákon o dani z príjmov sa v rámci konsolidačných opatrení zameral predovšetkým na zvýšenie sadzby dane na podiely na zisku (dividendy) vyplácané fyzickým osobám zo 7 na 10 %, zavedenie minimálnej dane pre právnické osoby, na odstránenie nesystémových opatrení zavedených pri zdaňovaní príjmov z kapitálového majetku a virtuálnej meny a na legislatívno-technické spresnenie v súvislosti s predchádzajúcimi novelami. </w:t>
      </w:r>
    </w:p>
    <w:p w:rsidR="00774076" w:rsidRPr="00782C29" w:rsidRDefault="00774076" w:rsidP="00774076">
      <w:pPr>
        <w:pStyle w:val="Odsekzoznamu"/>
        <w:spacing w:after="0" w:line="240" w:lineRule="auto"/>
        <w:ind w:left="0"/>
        <w:jc w:val="both"/>
        <w:rPr>
          <w:rFonts w:ascii="Times New Roman" w:hAnsi="Times New Roman"/>
          <w:sz w:val="24"/>
          <w:szCs w:val="24"/>
        </w:rPr>
      </w:pPr>
    </w:p>
    <w:p w:rsidR="00774076" w:rsidRPr="00782C29" w:rsidRDefault="00054D30" w:rsidP="00774076">
      <w:pPr>
        <w:pStyle w:val="Odsekzoznamu"/>
        <w:spacing w:after="0" w:line="240" w:lineRule="auto"/>
        <w:ind w:left="0"/>
        <w:jc w:val="both"/>
        <w:rPr>
          <w:rFonts w:ascii="Times New Roman" w:hAnsi="Times New Roman"/>
          <w:sz w:val="24"/>
          <w:szCs w:val="24"/>
        </w:rPr>
      </w:pPr>
      <w:r w:rsidRPr="00782C29">
        <w:rPr>
          <w:rFonts w:ascii="Times New Roman" w:hAnsi="Times New Roman"/>
          <w:sz w:val="24"/>
          <w:szCs w:val="24"/>
        </w:rPr>
        <w:t>Cieľom zvýšenia sadzieb spotrebnej dane z tabakových výrobkov je stabilizovať daňové príjmy, zabrániť ich poklesu a zároveň dosiahnuť rovnováhu aj s cieľmi v oblasti ochrany zdravia obyvateľov, a to s vopred preddefinovaným zvyšovaním sadzieb dane na strednodobý časový horizont, čím sa vytvorí efektívny nástroj predvídateľnosti podnikateľského prostredia a zabezpečenia daňových príjmov. Pokračovanie v daňovom kalendári, pokiaľ ide o sadzby spotrebnej dane z tabakových výrobkov, zabezpečí pre dotknuté daňové subjekty právnu istotu v predikcii sadzieb spotrebnej dane z tabakových výrobkov a transparentnosť zo strany štátu. S cieľom dosiahnutia adekvátneho daňového zaobchádzania s tabakovými výrobkami sa navrhuje úprava sadzieb spotrebnej dane pri cigaretách, tabaku a bezdymovom tabakovom výrobku v dvoch krokoch, v prípade cigár a cigariek sa navrhuje jednokroková úprava sadzby spotrebnej dane.</w:t>
      </w:r>
    </w:p>
    <w:p w:rsidR="00774076" w:rsidRPr="00782C29" w:rsidRDefault="00774076" w:rsidP="00774076">
      <w:pPr>
        <w:pStyle w:val="Odsekzoznamu"/>
        <w:spacing w:after="0" w:line="240" w:lineRule="auto"/>
        <w:ind w:left="0"/>
        <w:jc w:val="both"/>
        <w:rPr>
          <w:rFonts w:ascii="Times New Roman" w:hAnsi="Times New Roman"/>
          <w:sz w:val="24"/>
          <w:szCs w:val="24"/>
        </w:rPr>
      </w:pPr>
    </w:p>
    <w:p w:rsidR="00774076" w:rsidRPr="00782C29" w:rsidRDefault="00865D4A" w:rsidP="00774076">
      <w:pPr>
        <w:pStyle w:val="Odsekzoznamu"/>
        <w:spacing w:after="0" w:line="240" w:lineRule="auto"/>
        <w:ind w:left="0"/>
        <w:jc w:val="both"/>
        <w:rPr>
          <w:rFonts w:ascii="Times New Roman" w:hAnsi="Times New Roman"/>
          <w:sz w:val="24"/>
          <w:szCs w:val="24"/>
        </w:rPr>
      </w:pPr>
      <w:r w:rsidRPr="00782C29">
        <w:rPr>
          <w:rFonts w:ascii="Times New Roman" w:hAnsi="Times New Roman"/>
          <w:sz w:val="24"/>
          <w:szCs w:val="24"/>
        </w:rPr>
        <w:t>Doplnením zákona č. 222/2004 Z. z. o dani z pridanej hodnoty v znení neskoršíc</w:t>
      </w:r>
      <w:r w:rsidR="00C81715" w:rsidRPr="00782C29">
        <w:rPr>
          <w:rFonts w:ascii="Times New Roman" w:hAnsi="Times New Roman"/>
          <w:sz w:val="24"/>
          <w:szCs w:val="24"/>
        </w:rPr>
        <w:t>h predpisov dôjde od 1. januára</w:t>
      </w:r>
      <w:r w:rsidRPr="00782C29">
        <w:rPr>
          <w:rFonts w:ascii="Times New Roman" w:hAnsi="Times New Roman"/>
          <w:sz w:val="24"/>
          <w:szCs w:val="24"/>
        </w:rPr>
        <w:t xml:space="preserve"> 2024 k vylúčeniu podávania alkoholických nápojov z uplatňovania zníženej sadzby dane vo výške 10 % zo základu dane, ktorá sa uplatňuje na reštauračné a stravovacie služby. Podávanie alkoholických nápojov v rámci poskytovania reštauračných a stravovacích služieb bude podliehať základnej sadzbe dane vo výške 20 % zo základu dane.</w:t>
      </w:r>
    </w:p>
    <w:p w:rsidR="00865D4A" w:rsidRPr="00782C29" w:rsidRDefault="00865D4A" w:rsidP="00774076">
      <w:pPr>
        <w:pStyle w:val="Odsekzoznamu"/>
        <w:spacing w:after="0" w:line="240" w:lineRule="auto"/>
        <w:ind w:left="0"/>
        <w:jc w:val="both"/>
        <w:rPr>
          <w:rFonts w:ascii="Times New Roman" w:hAnsi="Times New Roman"/>
          <w:sz w:val="24"/>
          <w:szCs w:val="24"/>
        </w:rPr>
      </w:pPr>
    </w:p>
    <w:p w:rsidR="00865D4A" w:rsidRPr="00782C29" w:rsidRDefault="00865D4A" w:rsidP="00865D4A">
      <w:pPr>
        <w:spacing w:after="0" w:line="240" w:lineRule="auto"/>
        <w:jc w:val="both"/>
        <w:rPr>
          <w:rFonts w:ascii="Times New Roman" w:eastAsia="Times New Roman" w:hAnsi="Times New Roman" w:cs="Times New Roman"/>
          <w:sz w:val="24"/>
          <w:szCs w:val="24"/>
        </w:rPr>
      </w:pPr>
      <w:r w:rsidRPr="00782C29">
        <w:rPr>
          <w:rFonts w:ascii="Times New Roman" w:hAnsi="Times New Roman" w:cs="Times New Roman"/>
          <w:sz w:val="24"/>
          <w:szCs w:val="24"/>
        </w:rPr>
        <w:t xml:space="preserve">Novelizácia zákona o osobitnom odvode predstavuje nevyhnuté opatrenie v rámci konsolidácie verejných financií. V súčasnosti nie je možné konsolidovať verejné financie len cez znižovanie výdavkov bez zvyšovania príjmov štátu. Keďže subjekty patriace do jedného regulovaného sektora dosahujú výrazne vyššie zisky oproti iným regulovaným sektorom, zákonodarca pristúpil k úprave zákona o osobitnom odvode a osobitných sadzieb v ňom zakotvených. </w:t>
      </w:r>
      <w:r w:rsidRPr="00782C29">
        <w:rPr>
          <w:rFonts w:ascii="Times New Roman" w:eastAsia="Times New Roman" w:hAnsi="Times New Roman" w:cs="Times New Roman"/>
          <w:sz w:val="24"/>
          <w:szCs w:val="24"/>
        </w:rPr>
        <w:t>Sektorové dane sú štandardnou súčasťou daňových systémov a štáty nimi sledujú objektívne ciele svojej fiškálnej politiky, ktoré súvisia s výzvami vo verejných financiách a so správnym výkonom vnútroštátnych právomocí v daňovej oblasti. Tieto dane zaťažujú navyše daňovníkov, pri ktorých je predpoklad, že majú schopnosť platiť do verejných zdrojov viac ako iné daňové subjekty.</w:t>
      </w:r>
    </w:p>
    <w:p w:rsidR="00865D4A" w:rsidRPr="00782C29" w:rsidRDefault="00865D4A" w:rsidP="00774076">
      <w:pPr>
        <w:pStyle w:val="Odsekzoznamu"/>
        <w:spacing w:after="0" w:line="240" w:lineRule="auto"/>
        <w:ind w:left="0"/>
        <w:jc w:val="both"/>
        <w:rPr>
          <w:rFonts w:ascii="Times New Roman" w:hAnsi="Times New Roman"/>
          <w:sz w:val="24"/>
          <w:szCs w:val="24"/>
        </w:rPr>
      </w:pPr>
    </w:p>
    <w:p w:rsidR="00054D30" w:rsidRPr="00782C29" w:rsidRDefault="00A974DD" w:rsidP="00774076">
      <w:pPr>
        <w:pStyle w:val="Odsekzoznamu"/>
        <w:spacing w:after="0" w:line="240" w:lineRule="auto"/>
        <w:ind w:left="0"/>
        <w:jc w:val="both"/>
        <w:rPr>
          <w:rFonts w:ascii="Times New Roman" w:hAnsi="Times New Roman"/>
          <w:sz w:val="24"/>
          <w:szCs w:val="24"/>
        </w:rPr>
      </w:pPr>
      <w:r w:rsidRPr="00782C29">
        <w:rPr>
          <w:rFonts w:ascii="Times New Roman" w:hAnsi="Times New Roman"/>
          <w:sz w:val="24"/>
          <w:szCs w:val="24"/>
        </w:rPr>
        <w:t>V návrhu zákona, ktorý mení a dopĺňa zákon o solidárnom príspevku sa navrhuje predlžiť uplatňovanie solidárneho príspevku aj na zdaňovacie obdobia dane z príjmov začínajúce po 31. decembri 2023 z dôvodu, že rozdiel medzi ropou Urals a Brent zostáva stále na vysokej úrovni, čo vytvára potenciál pre dodatočné nadzisky firiem aj v roku 2024.</w:t>
      </w:r>
    </w:p>
    <w:p w:rsidR="00A974DD" w:rsidRPr="00782C29" w:rsidRDefault="00A974DD" w:rsidP="00774076">
      <w:pPr>
        <w:pStyle w:val="Odsekzoznamu"/>
        <w:spacing w:after="0" w:line="240" w:lineRule="auto"/>
        <w:ind w:left="0"/>
        <w:jc w:val="both"/>
        <w:rPr>
          <w:rFonts w:ascii="Times New Roman" w:hAnsi="Times New Roman"/>
          <w:sz w:val="24"/>
          <w:szCs w:val="24"/>
        </w:rPr>
      </w:pPr>
    </w:p>
    <w:p w:rsidR="00774076" w:rsidRPr="00782C29" w:rsidRDefault="00774076" w:rsidP="00774076">
      <w:pPr>
        <w:pStyle w:val="Odsekzoznamu"/>
        <w:spacing w:after="0" w:line="240" w:lineRule="auto"/>
        <w:ind w:left="0"/>
        <w:jc w:val="both"/>
        <w:rPr>
          <w:rFonts w:ascii="Times New Roman" w:hAnsi="Times New Roman"/>
          <w:sz w:val="24"/>
          <w:szCs w:val="24"/>
        </w:rPr>
      </w:pPr>
      <w:r w:rsidRPr="00782C29">
        <w:rPr>
          <w:rFonts w:ascii="Times New Roman" w:hAnsi="Times New Roman"/>
          <w:sz w:val="24"/>
          <w:szCs w:val="24"/>
        </w:rPr>
        <w:t>Mení sa zákon č. 309/2023 Z. z. o premenách obchodných spoločností a družstiev a o zmene a doplne</w:t>
      </w:r>
      <w:r w:rsidR="003C358D" w:rsidRPr="00782C29">
        <w:rPr>
          <w:rFonts w:ascii="Times New Roman" w:hAnsi="Times New Roman"/>
          <w:sz w:val="24"/>
          <w:szCs w:val="24"/>
        </w:rPr>
        <w:t xml:space="preserve">ní niektorých zákonov spôsobom, že sa </w:t>
      </w:r>
      <w:r w:rsidRPr="00782C29">
        <w:rPr>
          <w:rFonts w:ascii="Times New Roman" w:hAnsi="Times New Roman"/>
          <w:sz w:val="24"/>
          <w:szCs w:val="24"/>
        </w:rPr>
        <w:t>novelizuje</w:t>
      </w:r>
      <w:r w:rsidR="003C358D" w:rsidRPr="00782C29">
        <w:rPr>
          <w:rFonts w:ascii="Times New Roman" w:hAnsi="Times New Roman"/>
          <w:sz w:val="24"/>
          <w:szCs w:val="24"/>
        </w:rPr>
        <w:t xml:space="preserve"> v ňom obsiahnutý</w:t>
      </w:r>
      <w:r w:rsidRPr="00782C29">
        <w:rPr>
          <w:rFonts w:ascii="Times New Roman" w:hAnsi="Times New Roman"/>
          <w:sz w:val="24"/>
          <w:szCs w:val="24"/>
        </w:rPr>
        <w:t xml:space="preserve"> zákon o dani z prí</w:t>
      </w:r>
      <w:r w:rsidR="003C358D" w:rsidRPr="00782C29">
        <w:rPr>
          <w:rFonts w:ascii="Times New Roman" w:hAnsi="Times New Roman"/>
          <w:sz w:val="24"/>
          <w:szCs w:val="24"/>
        </w:rPr>
        <w:t>jmov, kde sa</w:t>
      </w:r>
      <w:r w:rsidRPr="00782C29">
        <w:rPr>
          <w:rFonts w:ascii="Times New Roman" w:hAnsi="Times New Roman"/>
          <w:sz w:val="24"/>
          <w:szCs w:val="24"/>
        </w:rPr>
        <w:t xml:space="preserve"> vykona</w:t>
      </w:r>
      <w:r w:rsidR="003C358D" w:rsidRPr="00782C29">
        <w:rPr>
          <w:rFonts w:ascii="Times New Roman" w:hAnsi="Times New Roman"/>
          <w:sz w:val="24"/>
          <w:szCs w:val="24"/>
        </w:rPr>
        <w:t>li potrebné legislatívno-technické zmeny.</w:t>
      </w:r>
    </w:p>
    <w:p w:rsidR="00774076" w:rsidRPr="00782C29" w:rsidRDefault="00774076" w:rsidP="00774076">
      <w:pPr>
        <w:pStyle w:val="Odsekzoznamu"/>
        <w:spacing w:after="0" w:line="240" w:lineRule="auto"/>
        <w:ind w:left="0"/>
        <w:jc w:val="both"/>
        <w:rPr>
          <w:rFonts w:ascii="Times New Roman" w:hAnsi="Times New Roman"/>
          <w:sz w:val="24"/>
          <w:szCs w:val="24"/>
        </w:rPr>
      </w:pPr>
    </w:p>
    <w:p w:rsidR="00774076" w:rsidRPr="00782C29" w:rsidRDefault="00774076" w:rsidP="00774076">
      <w:pPr>
        <w:pStyle w:val="Odsekzoznamu"/>
        <w:spacing w:after="0" w:line="240" w:lineRule="auto"/>
        <w:ind w:left="0"/>
        <w:jc w:val="both"/>
        <w:rPr>
          <w:rFonts w:ascii="Times New Roman" w:hAnsi="Times New Roman"/>
          <w:sz w:val="24"/>
          <w:szCs w:val="24"/>
        </w:rPr>
      </w:pPr>
      <w:r w:rsidRPr="00782C29">
        <w:rPr>
          <w:rFonts w:ascii="Times New Roman" w:hAnsi="Times New Roman"/>
          <w:sz w:val="24"/>
          <w:szCs w:val="24"/>
        </w:rPr>
        <w:t>Mení sa zákon č. 315/2023 Z. z., ktorým sa mení a dopĺňa zákon č. 595/2003 Z. z. o dani z príjmov v znení neskorších predpisov a ktorým sa menia a dopĺňajú niektoré zákony. Úpravou návrhu zákona sa odstraňujú nesystémové opatrenia zavedené pri zdaňovaní príjmov z kapitálového majetku vrátane príjmov súvisiacich so zdanením virtuálnej meny, ktoré narúšali horizontálnu spravodlivosť medzi podobnými aktívami, keďže išlo o výnimku pre špecifický druh majetku.</w:t>
      </w:r>
    </w:p>
    <w:p w:rsidR="00A974DD" w:rsidRPr="00782C29" w:rsidRDefault="00A974DD" w:rsidP="00774076">
      <w:pPr>
        <w:pStyle w:val="Odsekzoznamu"/>
        <w:spacing w:after="0" w:line="240" w:lineRule="auto"/>
        <w:ind w:left="0"/>
        <w:jc w:val="both"/>
        <w:rPr>
          <w:rFonts w:ascii="Times New Roman" w:hAnsi="Times New Roman"/>
          <w:sz w:val="24"/>
          <w:szCs w:val="24"/>
        </w:rPr>
      </w:pPr>
    </w:p>
    <w:p w:rsidR="00A974DD" w:rsidRPr="00782C29" w:rsidRDefault="00A974DD" w:rsidP="00A974DD">
      <w:pPr>
        <w:pStyle w:val="Odsekzoznamu"/>
        <w:spacing w:after="0" w:line="240" w:lineRule="auto"/>
        <w:ind w:left="0"/>
        <w:jc w:val="both"/>
        <w:rPr>
          <w:rFonts w:ascii="Times New Roman" w:hAnsi="Times New Roman"/>
          <w:sz w:val="24"/>
          <w:szCs w:val="24"/>
        </w:rPr>
      </w:pPr>
      <w:r w:rsidRPr="00782C29">
        <w:rPr>
          <w:rFonts w:ascii="Times New Roman" w:hAnsi="Times New Roman"/>
          <w:sz w:val="24"/>
          <w:szCs w:val="24"/>
        </w:rPr>
        <w:t>Cieľom návrhu zákona, ktorým sa mení zákon č. 530/2011 Z. z. o spotrebnej dani z alkoholických nápojov v znení neskorších predpisov, je zvýšenie sadzby spotrebnej dane z alkoholického nápoja, ktorým je lieh.</w:t>
      </w:r>
    </w:p>
    <w:p w:rsidR="0086778A" w:rsidRPr="00782C29" w:rsidRDefault="0086778A" w:rsidP="00774076">
      <w:pPr>
        <w:pStyle w:val="Odsekzoznamu"/>
        <w:spacing w:after="0" w:line="240" w:lineRule="auto"/>
        <w:ind w:left="0"/>
        <w:jc w:val="both"/>
        <w:rPr>
          <w:rFonts w:ascii="Times New Roman" w:hAnsi="Times New Roman"/>
          <w:sz w:val="24"/>
          <w:szCs w:val="24"/>
        </w:rPr>
      </w:pPr>
    </w:p>
    <w:p w:rsidR="0086778A" w:rsidRPr="00782C29" w:rsidRDefault="0086778A" w:rsidP="0086778A">
      <w:pPr>
        <w:shd w:val="clear" w:color="auto" w:fill="FFFFFF"/>
        <w:autoSpaceDE w:val="0"/>
        <w:autoSpaceDN w:val="0"/>
        <w:spacing w:line="240" w:lineRule="auto"/>
        <w:jc w:val="both"/>
        <w:rPr>
          <w:rFonts w:ascii="Times New Roman" w:hAnsi="Times New Roman"/>
          <w:sz w:val="24"/>
          <w:szCs w:val="24"/>
        </w:rPr>
      </w:pPr>
      <w:r w:rsidRPr="00782C29">
        <w:rPr>
          <w:rFonts w:ascii="Times New Roman" w:hAnsi="Times New Roman"/>
          <w:sz w:val="24"/>
          <w:szCs w:val="24"/>
        </w:rPr>
        <w:t xml:space="preserve">V zákone č. 461/2003 Z. z. o sociálnom poistení sa navrhuje, aby sa rodičovský dôchodok vyplatil každý rok raz ročne v júni v jednej úhrnnej splátke. </w:t>
      </w:r>
    </w:p>
    <w:p w:rsidR="0086778A" w:rsidRPr="00782C29" w:rsidRDefault="0086778A" w:rsidP="0086778A">
      <w:pPr>
        <w:spacing w:after="0" w:line="240" w:lineRule="auto"/>
        <w:jc w:val="both"/>
        <w:rPr>
          <w:rFonts w:ascii="Times New Roman" w:hAnsi="Times New Roman"/>
          <w:sz w:val="24"/>
          <w:szCs w:val="24"/>
        </w:rPr>
      </w:pPr>
      <w:r w:rsidRPr="00782C29">
        <w:rPr>
          <w:rFonts w:ascii="Times New Roman" w:hAnsi="Times New Roman"/>
          <w:sz w:val="24"/>
          <w:szCs w:val="24"/>
        </w:rPr>
        <w:t>Súčasne sa navrhuje zvýšenie sadzby poistného na starobné poistenie pre sporiteľov v zákone č. 461/2003 Z. z. o sociálnom poistení a zníženie sadzby povinných príspevkov na starobné dôchodkové sporenie v zákone č. 43/2004 Z. z. o starobnom dôchodkovom sporení a o zmene a doplnení niektorých zákonov. Z uvedeného dôvodu sa súčasne navrhuje upraviť aj krátenie sumy dôchodku z I. piliera pre poistenca, ktorý je sporiteľ alebo bol sporiteľ za obdobie účasti na starobnom dôchodkovom sporení.</w:t>
      </w:r>
    </w:p>
    <w:p w:rsidR="00276C5E" w:rsidRPr="00782C29" w:rsidRDefault="00276C5E" w:rsidP="00774076">
      <w:pPr>
        <w:pStyle w:val="Odsekzoznamu"/>
        <w:spacing w:after="0" w:line="240" w:lineRule="auto"/>
        <w:ind w:left="0"/>
        <w:jc w:val="both"/>
        <w:rPr>
          <w:rFonts w:ascii="Times New Roman" w:hAnsi="Times New Roman"/>
          <w:color w:val="000000" w:themeColor="text1"/>
          <w:sz w:val="24"/>
          <w:szCs w:val="24"/>
        </w:rPr>
      </w:pPr>
    </w:p>
    <w:p w:rsidR="00276C5E" w:rsidRPr="00782C29" w:rsidRDefault="00276C5E" w:rsidP="00276C5E">
      <w:pPr>
        <w:spacing w:after="0" w:line="240" w:lineRule="auto"/>
        <w:jc w:val="both"/>
        <w:rPr>
          <w:rFonts w:ascii="Times New Roman" w:hAnsi="Times New Roman"/>
          <w:color w:val="000000" w:themeColor="text1"/>
          <w:sz w:val="24"/>
          <w:szCs w:val="24"/>
        </w:rPr>
      </w:pPr>
      <w:r w:rsidRPr="00782C29">
        <w:rPr>
          <w:rFonts w:ascii="Times New Roman" w:hAnsi="Times New Roman"/>
          <w:color w:val="000000" w:themeColor="text1"/>
          <w:sz w:val="24"/>
          <w:szCs w:val="24"/>
        </w:rPr>
        <w:t xml:space="preserve">V zákone č. 580/2004 Z. z. sa navrhuje zvýšenie sadzieb odvodov na zdravotné poistenie pre zamestnávateľa, samostatne zárobkovo činnú osobu a tzv. samoplatiteľa z dôvodu kritickej </w:t>
      </w:r>
      <w:r w:rsidRPr="00782C29">
        <w:rPr>
          <w:rFonts w:ascii="Times New Roman" w:hAnsi="Times New Roman"/>
          <w:color w:val="000000" w:themeColor="text1"/>
          <w:sz w:val="24"/>
          <w:szCs w:val="24"/>
        </w:rPr>
        <w:lastRenderedPageBreak/>
        <w:t xml:space="preserve">situácie s verejnými financiami, kedy príjmy nepostačujú na krytie výdavkov na zdravotnú starostlivosť. </w:t>
      </w:r>
    </w:p>
    <w:p w:rsidR="00276C5E" w:rsidRPr="00782C29" w:rsidRDefault="00276C5E" w:rsidP="00276C5E">
      <w:pPr>
        <w:spacing w:after="0" w:line="240" w:lineRule="auto"/>
        <w:jc w:val="both"/>
        <w:rPr>
          <w:rFonts w:ascii="Times New Roman" w:hAnsi="Times New Roman"/>
          <w:color w:val="000000" w:themeColor="text1"/>
          <w:sz w:val="24"/>
          <w:szCs w:val="24"/>
        </w:rPr>
      </w:pPr>
    </w:p>
    <w:p w:rsidR="00982BB9" w:rsidRPr="00782C29" w:rsidRDefault="00982BB9" w:rsidP="00982BB9">
      <w:pPr>
        <w:spacing w:after="0" w:line="240" w:lineRule="auto"/>
        <w:jc w:val="both"/>
        <w:rPr>
          <w:rFonts w:ascii="Times New Roman" w:hAnsi="Times New Roman"/>
          <w:color w:val="000000" w:themeColor="text1"/>
          <w:sz w:val="24"/>
          <w:szCs w:val="24"/>
        </w:rPr>
      </w:pPr>
      <w:r w:rsidRPr="00782C29">
        <w:rPr>
          <w:rFonts w:ascii="Times New Roman" w:hAnsi="Times New Roman" w:cs="Times New Roman"/>
          <w:sz w:val="24"/>
          <w:szCs w:val="24"/>
        </w:rPr>
        <w:t>Súčasne sa navrhuje  zníženie výšky percentuálnej sadzby príspevkov na činnosť Operačných stredísk tiesňového volania záchrannej zdravotnej služby, Národného centra zdravotníckych informácií a Úradu pre dohľad nad zdravotnou starostlivosťou, keďže príj</w:t>
      </w:r>
      <w:r w:rsidR="00E12627" w:rsidRPr="00782C29">
        <w:rPr>
          <w:rFonts w:ascii="Times New Roman" w:hAnsi="Times New Roman" w:cs="Times New Roman"/>
          <w:sz w:val="24"/>
          <w:szCs w:val="24"/>
        </w:rPr>
        <w:t>my sú výrazne vyššie, a v záujme</w:t>
      </w:r>
      <w:r w:rsidRPr="00782C29">
        <w:rPr>
          <w:rFonts w:ascii="Times New Roman" w:hAnsi="Times New Roman" w:cs="Times New Roman"/>
          <w:sz w:val="24"/>
          <w:szCs w:val="24"/>
        </w:rPr>
        <w:t xml:space="preserve"> šetrenia prostriedkov verejného zdravotného poistenia, je tento krok nevyhnutný.</w:t>
      </w:r>
    </w:p>
    <w:p w:rsidR="0086778A" w:rsidRPr="00782C29" w:rsidRDefault="0086778A" w:rsidP="00774076">
      <w:pPr>
        <w:pStyle w:val="Odsekzoznamu"/>
        <w:spacing w:after="0" w:line="240" w:lineRule="auto"/>
        <w:ind w:left="0"/>
        <w:jc w:val="both"/>
        <w:rPr>
          <w:rFonts w:ascii="Times New Roman" w:hAnsi="Times New Roman"/>
          <w:color w:val="000000" w:themeColor="text1"/>
          <w:sz w:val="24"/>
          <w:szCs w:val="24"/>
        </w:rPr>
      </w:pPr>
    </w:p>
    <w:p w:rsidR="0086778A" w:rsidRPr="00782C29" w:rsidRDefault="0086778A" w:rsidP="00774076">
      <w:pPr>
        <w:pStyle w:val="Odsekzoznamu"/>
        <w:spacing w:after="0" w:line="240" w:lineRule="auto"/>
        <w:ind w:left="0"/>
        <w:jc w:val="both"/>
        <w:rPr>
          <w:rFonts w:ascii="Times New Roman" w:hAnsi="Times New Roman"/>
          <w:color w:val="000000" w:themeColor="text1"/>
          <w:sz w:val="24"/>
          <w:szCs w:val="24"/>
        </w:rPr>
      </w:pPr>
      <w:r w:rsidRPr="00782C29">
        <w:rPr>
          <w:rFonts w:ascii="Times New Roman" w:hAnsi="Times New Roman"/>
          <w:color w:val="000000" w:themeColor="text1"/>
          <w:sz w:val="24"/>
          <w:szCs w:val="24"/>
        </w:rPr>
        <w:t xml:space="preserve">V zákone č. 532/2010 Z. z. o Rozhlase a televízii Slovenska sa v súvislosti s potrebou ozdravenia verejných financií ustanovuje príspevok pre RTVS vo výške najmenej 0,12% z HDP. </w:t>
      </w:r>
    </w:p>
    <w:p w:rsidR="0086778A" w:rsidRPr="00782C29" w:rsidRDefault="0086778A" w:rsidP="00774076">
      <w:pPr>
        <w:pStyle w:val="Odsekzoznamu"/>
        <w:spacing w:after="0" w:line="240" w:lineRule="auto"/>
        <w:ind w:left="0"/>
        <w:jc w:val="both"/>
        <w:rPr>
          <w:rFonts w:ascii="Times New Roman" w:hAnsi="Times New Roman"/>
          <w:color w:val="000000" w:themeColor="text1"/>
          <w:sz w:val="24"/>
          <w:szCs w:val="24"/>
        </w:rPr>
      </w:pPr>
    </w:p>
    <w:p w:rsidR="008D6426" w:rsidRPr="00782C29" w:rsidRDefault="0086778A" w:rsidP="00774076">
      <w:pPr>
        <w:pStyle w:val="Odsekzoznamu"/>
        <w:spacing w:after="0" w:line="240" w:lineRule="auto"/>
        <w:ind w:left="0"/>
        <w:jc w:val="both"/>
        <w:rPr>
          <w:rFonts w:ascii="Times New Roman" w:hAnsi="Times New Roman"/>
          <w:sz w:val="24"/>
          <w:szCs w:val="24"/>
        </w:rPr>
      </w:pPr>
      <w:r w:rsidRPr="00782C29">
        <w:rPr>
          <w:rFonts w:ascii="Times New Roman" w:hAnsi="Times New Roman"/>
          <w:color w:val="000000" w:themeColor="text1"/>
          <w:sz w:val="24"/>
          <w:szCs w:val="24"/>
        </w:rPr>
        <w:t>Novelizuje sa aj zákon</w:t>
      </w:r>
      <w:r w:rsidR="008D6426" w:rsidRPr="00782C29">
        <w:rPr>
          <w:rFonts w:ascii="Times New Roman" w:hAnsi="Times New Roman"/>
          <w:color w:val="000000" w:themeColor="text1"/>
          <w:sz w:val="24"/>
          <w:szCs w:val="24"/>
        </w:rPr>
        <w:t xml:space="preserve"> č. 241/1993 Z. z. o štátnych sviatkoch, dňoch pracovného pokoja a pamätných dňoch.  Pre štátny sviatok 1. september - Deň Ústavy Slovenskej republiky sa navrhuje ustanoviť výnimka z pravidla, že štátne sviatky sú dňami pracovného pokoja. 1. september bude štátnym sviatkom, ale nebude dňom pracovného pokoja, ani sviatkom v zmysle príslušných ustanovení Zákonníka práce. Uvedená úprava sa navrhuje z dôvodu potreby zníženia celkového počtu dní pracovného pokoja, čo bude mať pozitívny vplyv na hospodárenie štátu a zamestnanosť.</w:t>
      </w:r>
    </w:p>
    <w:p w:rsidR="008D6426" w:rsidRDefault="008D6426" w:rsidP="00774076">
      <w:pPr>
        <w:pStyle w:val="Odsekzoznamu"/>
        <w:spacing w:after="0" w:line="240" w:lineRule="auto"/>
        <w:ind w:left="0"/>
        <w:jc w:val="both"/>
        <w:rPr>
          <w:rFonts w:ascii="Times New Roman" w:hAnsi="Times New Roman"/>
          <w:sz w:val="24"/>
          <w:szCs w:val="24"/>
        </w:rPr>
      </w:pPr>
    </w:p>
    <w:p w:rsidR="00782C29" w:rsidRPr="00A16EEA" w:rsidRDefault="00782C29" w:rsidP="00782C29">
      <w:pPr>
        <w:pStyle w:val="Bezriadkovania"/>
        <w:jc w:val="both"/>
        <w:rPr>
          <w:rFonts w:ascii="Times New Roman" w:hAnsi="Times New Roman" w:cs="Times New Roman"/>
          <w:sz w:val="24"/>
          <w:szCs w:val="24"/>
        </w:rPr>
      </w:pPr>
      <w:r w:rsidRPr="004F6C41">
        <w:rPr>
          <w:rFonts w:ascii="Times New Roman" w:hAnsi="Times New Roman" w:cs="Times New Roman"/>
          <w:sz w:val="24"/>
          <w:szCs w:val="24"/>
        </w:rPr>
        <w:t>Navrhuje sa účinnosť návrhu zákona, pričom z dôvodu potreby konsolidácie verejných financií by väčšina opatrení mala nadobudnúť účinnosť ku koncu roka 2023, resp. 1. januára 2024.</w:t>
      </w:r>
      <w:r>
        <w:rPr>
          <w:rFonts w:ascii="Times New Roman" w:hAnsi="Times New Roman" w:cs="Times New Roman"/>
          <w:sz w:val="24"/>
          <w:szCs w:val="24"/>
        </w:rPr>
        <w:t xml:space="preserve"> </w:t>
      </w:r>
    </w:p>
    <w:p w:rsidR="00782C29" w:rsidRDefault="00782C29" w:rsidP="00503E62">
      <w:pPr>
        <w:pStyle w:val="Bezriadkovania"/>
        <w:jc w:val="both"/>
        <w:rPr>
          <w:rFonts w:ascii="Times New Roman" w:hAnsi="Times New Roman" w:cs="Times New Roman"/>
          <w:sz w:val="24"/>
          <w:szCs w:val="24"/>
        </w:rPr>
      </w:pPr>
    </w:p>
    <w:p w:rsidR="00503E62" w:rsidRPr="00782C29" w:rsidRDefault="00503E62" w:rsidP="00503E62">
      <w:pPr>
        <w:pStyle w:val="Bezriadkovania"/>
        <w:jc w:val="both"/>
        <w:rPr>
          <w:rFonts w:ascii="Times New Roman" w:hAnsi="Times New Roman" w:cs="Times New Roman"/>
          <w:sz w:val="24"/>
          <w:szCs w:val="24"/>
        </w:rPr>
      </w:pPr>
      <w:r w:rsidRPr="00782C29">
        <w:rPr>
          <w:rFonts w:ascii="Times New Roman" w:hAnsi="Times New Roman" w:cs="Times New Roman"/>
          <w:sz w:val="24"/>
          <w:szCs w:val="24"/>
        </w:rPr>
        <w:t xml:space="preserve">Návrh zákona predpokladá vplyv na rozpočet verejnej správy, na podnikateľské prostredie, </w:t>
      </w:r>
      <w:r w:rsidR="00377AD0" w:rsidRPr="00782C29">
        <w:rPr>
          <w:rFonts w:ascii="Times New Roman" w:hAnsi="Times New Roman" w:cs="Times New Roman"/>
          <w:sz w:val="24"/>
          <w:szCs w:val="24"/>
        </w:rPr>
        <w:t>na informatizáciu spoločnosti a s</w:t>
      </w:r>
      <w:r w:rsidRPr="00782C29">
        <w:rPr>
          <w:rFonts w:ascii="Times New Roman" w:hAnsi="Times New Roman" w:cs="Times New Roman"/>
          <w:sz w:val="24"/>
          <w:szCs w:val="24"/>
        </w:rPr>
        <w:t>ociálne vplyvy a</w:t>
      </w:r>
      <w:r w:rsidR="00377AD0" w:rsidRPr="00782C29">
        <w:rPr>
          <w:rFonts w:ascii="Times New Roman" w:hAnsi="Times New Roman" w:cs="Times New Roman"/>
          <w:sz w:val="24"/>
          <w:szCs w:val="24"/>
        </w:rPr>
        <w:t xml:space="preserve"> nepredpokladá </w:t>
      </w:r>
      <w:r w:rsidRPr="00782C29">
        <w:rPr>
          <w:rFonts w:ascii="Times New Roman" w:hAnsi="Times New Roman" w:cs="Times New Roman"/>
          <w:sz w:val="24"/>
          <w:szCs w:val="24"/>
        </w:rPr>
        <w:t>vplyv na životné prostredie, na služby verejnej správy pre občana a na manželstvo, rodičovstvo a rodinu.</w:t>
      </w:r>
      <w:r w:rsidR="00BC5BF0">
        <w:rPr>
          <w:rFonts w:ascii="Times New Roman" w:hAnsi="Times New Roman" w:cs="Times New Roman"/>
          <w:sz w:val="24"/>
          <w:szCs w:val="24"/>
        </w:rPr>
        <w:t xml:space="preserve"> Jednotlivé vplyvy sú uvedené v doložke vybraných vplyvov a v príslušných analýzach vplyvov.</w:t>
      </w:r>
    </w:p>
    <w:p w:rsidR="002A570D" w:rsidRPr="00782C29" w:rsidRDefault="002A570D" w:rsidP="002A570D">
      <w:pPr>
        <w:pStyle w:val="Bezriadkovania"/>
        <w:jc w:val="both"/>
        <w:rPr>
          <w:rFonts w:ascii="Times New Roman" w:hAnsi="Times New Roman" w:cs="Times New Roman"/>
          <w:sz w:val="24"/>
          <w:szCs w:val="24"/>
        </w:rPr>
      </w:pPr>
    </w:p>
    <w:p w:rsidR="002A570D" w:rsidRDefault="002A570D" w:rsidP="002A570D">
      <w:pPr>
        <w:pStyle w:val="Bezriadkovania"/>
        <w:jc w:val="both"/>
        <w:rPr>
          <w:rFonts w:ascii="Times New Roman" w:hAnsi="Times New Roman" w:cs="Times New Roman"/>
          <w:sz w:val="24"/>
          <w:szCs w:val="24"/>
        </w:rPr>
      </w:pPr>
      <w:r w:rsidRPr="00782C29">
        <w:rPr>
          <w:rFonts w:ascii="Times New Roman" w:hAnsi="Times New Roman" w:cs="Times New Roman"/>
          <w:sz w:val="24"/>
          <w:szCs w:val="24"/>
        </w:rPr>
        <w:t>Návrh zákona je v súlade s Ústavou Slovenskej republiky, ústavnými zákonmi a nálezmi Ústavného súdu Slovenskej republiky, s inými zákonmi a ostatnými všeobecne záväznými právnymi predpismi, s medzinárodnými zmluvami a inými medzinárodnými dokumentmi, ktorými je Slovenská republika viazaná, ako aj s právom Európskej únie.</w:t>
      </w:r>
    </w:p>
    <w:p w:rsidR="00A74FE9" w:rsidRDefault="00A74FE9" w:rsidP="002A570D">
      <w:pPr>
        <w:pStyle w:val="Bezriadkovania"/>
        <w:jc w:val="both"/>
        <w:rPr>
          <w:rFonts w:ascii="Times New Roman" w:hAnsi="Times New Roman" w:cs="Times New Roman"/>
          <w:sz w:val="24"/>
          <w:szCs w:val="24"/>
        </w:rPr>
      </w:pPr>
    </w:p>
    <w:p w:rsidR="00A74FE9" w:rsidRDefault="00A74FE9" w:rsidP="00A74FE9">
      <w:pPr>
        <w:spacing w:after="0" w:line="240" w:lineRule="auto"/>
        <w:jc w:val="center"/>
        <w:rPr>
          <w:rFonts w:ascii="Times New Roman" w:eastAsia="Times New Roman" w:hAnsi="Times New Roman" w:cs="Times New Roman"/>
          <w:b/>
          <w:sz w:val="28"/>
          <w:szCs w:val="28"/>
          <w:lang w:eastAsia="sk-SK"/>
        </w:rPr>
      </w:pPr>
    </w:p>
    <w:p w:rsidR="00A74FE9" w:rsidRDefault="00A74FE9" w:rsidP="00A74FE9">
      <w:pPr>
        <w:spacing w:after="0" w:line="240" w:lineRule="auto"/>
        <w:jc w:val="center"/>
        <w:rPr>
          <w:rFonts w:ascii="Times New Roman" w:eastAsia="Times New Roman" w:hAnsi="Times New Roman" w:cs="Times New Roman"/>
          <w:b/>
          <w:sz w:val="28"/>
          <w:szCs w:val="28"/>
          <w:lang w:eastAsia="sk-SK"/>
        </w:rPr>
      </w:pPr>
    </w:p>
    <w:p w:rsidR="00EE5546" w:rsidRDefault="00EE5546" w:rsidP="00EE5546">
      <w:pPr>
        <w:spacing w:after="0" w:line="240" w:lineRule="auto"/>
        <w:rPr>
          <w:rFonts w:ascii="Times New Roman" w:eastAsia="Times New Roman" w:hAnsi="Times New Roman" w:cs="Times New Roman"/>
          <w:b/>
          <w:sz w:val="28"/>
          <w:szCs w:val="28"/>
          <w:lang w:eastAsia="sk-SK"/>
        </w:rPr>
        <w:sectPr w:rsidR="00EE5546" w:rsidSect="00A74F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A74FE9" w:rsidRPr="00612E08" w:rsidRDefault="00A74FE9" w:rsidP="00EE5546">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rsidR="00A74FE9" w:rsidRPr="00612E08" w:rsidRDefault="00A74FE9" w:rsidP="00A74FE9">
      <w:pPr>
        <w:spacing w:after="0" w:line="240" w:lineRule="auto"/>
        <w:jc w:val="center"/>
        <w:rPr>
          <w:rFonts w:ascii="Times New Roman" w:eastAsia="Times New Roman" w:hAnsi="Times New Roman" w:cs="Times New Roman"/>
          <w:b/>
          <w:sz w:val="28"/>
          <w:szCs w:val="28"/>
          <w:lang w:eastAsia="sk-SK"/>
        </w:rPr>
      </w:pPr>
    </w:p>
    <w:p w:rsidR="00A74FE9" w:rsidRPr="00612E08" w:rsidRDefault="00A74FE9" w:rsidP="00A74FE9">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74FE9" w:rsidRPr="00612E08" w:rsidTr="00A74FE9">
        <w:tc>
          <w:tcPr>
            <w:tcW w:w="9180" w:type="dxa"/>
            <w:gridSpan w:val="11"/>
            <w:tcBorders>
              <w:bottom w:val="single" w:sz="4" w:space="0" w:color="FFFFFF"/>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A74FE9" w:rsidRPr="00612E08" w:rsidTr="00A74FE9">
        <w:tc>
          <w:tcPr>
            <w:tcW w:w="9180" w:type="dxa"/>
            <w:gridSpan w:val="11"/>
            <w:tcBorders>
              <w:bottom w:val="single" w:sz="4" w:space="0" w:color="FFFFFF"/>
            </w:tcBorders>
            <w:shd w:val="clear" w:color="auto" w:fill="E2E2E2"/>
          </w:tcPr>
          <w:p w:rsidR="00A74FE9" w:rsidRPr="00612E08" w:rsidRDefault="00A74FE9" w:rsidP="00A74FE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A74FE9" w:rsidRPr="00612E08" w:rsidTr="00A74FE9">
        <w:tc>
          <w:tcPr>
            <w:tcW w:w="9180" w:type="dxa"/>
            <w:gridSpan w:val="11"/>
            <w:tcBorders>
              <w:top w:val="single" w:sz="4" w:space="0" w:color="FFFFFF"/>
              <w:bottom w:val="single" w:sz="4" w:space="0" w:color="auto"/>
            </w:tcBorders>
          </w:tcPr>
          <w:p w:rsidR="00A74FE9" w:rsidRPr="00612E08" w:rsidRDefault="00A74FE9" w:rsidP="00A74FE9">
            <w:pPr>
              <w:rPr>
                <w:rFonts w:ascii="Times New Roman" w:eastAsia="Times New Roman" w:hAnsi="Times New Roman" w:cs="Times New Roman"/>
                <w:sz w:val="20"/>
                <w:szCs w:val="20"/>
                <w:lang w:eastAsia="sk-SK"/>
              </w:rPr>
            </w:pPr>
            <w:r w:rsidRPr="00FB4E79">
              <w:rPr>
                <w:rFonts w:ascii="Times New Roman" w:eastAsia="Times New Roman" w:hAnsi="Times New Roman" w:cs="Times New Roman"/>
                <w:sz w:val="20"/>
                <w:szCs w:val="20"/>
                <w:lang w:eastAsia="sk-SK"/>
              </w:rPr>
              <w:t>Návrh zákona, ktorým sa menia a dopĺňajú niektoré zákony v súvislosti so zlepšením stavu verejných financií.</w:t>
            </w:r>
          </w:p>
          <w:p w:rsidR="00A74FE9" w:rsidRPr="00612E08" w:rsidRDefault="00A74FE9" w:rsidP="00A74FE9">
            <w:pPr>
              <w:rPr>
                <w:rFonts w:ascii="Times New Roman" w:eastAsia="Times New Roman" w:hAnsi="Times New Roman" w:cs="Times New Roman"/>
                <w:sz w:val="20"/>
                <w:szCs w:val="20"/>
                <w:lang w:eastAsia="sk-SK"/>
              </w:rPr>
            </w:pPr>
          </w:p>
        </w:tc>
      </w:tr>
      <w:tr w:rsidR="00A74FE9" w:rsidRPr="00612E08" w:rsidTr="00A74FE9">
        <w:tc>
          <w:tcPr>
            <w:tcW w:w="9180" w:type="dxa"/>
            <w:gridSpan w:val="11"/>
            <w:tcBorders>
              <w:top w:val="single" w:sz="4" w:space="0" w:color="auto"/>
              <w:left w:val="single" w:sz="4" w:space="0" w:color="auto"/>
              <w:bottom w:val="single" w:sz="4" w:space="0" w:color="FFFFFF"/>
            </w:tcBorders>
            <w:shd w:val="clear" w:color="auto" w:fill="E2E2E2"/>
          </w:tcPr>
          <w:p w:rsidR="00A74FE9" w:rsidRPr="00612E08" w:rsidRDefault="00A74FE9" w:rsidP="00A74FE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A74FE9" w:rsidRPr="00612E08" w:rsidTr="00A74FE9">
        <w:tc>
          <w:tcPr>
            <w:tcW w:w="9180" w:type="dxa"/>
            <w:gridSpan w:val="11"/>
            <w:tcBorders>
              <w:top w:val="single" w:sz="4" w:space="0" w:color="FFFFFF"/>
              <w:left w:val="single" w:sz="4" w:space="0" w:color="auto"/>
              <w:bottom w:val="single" w:sz="4" w:space="0" w:color="auto"/>
            </w:tcBorders>
            <w:shd w:val="clear" w:color="auto" w:fill="FFFFFF"/>
          </w:tcPr>
          <w:p w:rsidR="00A74FE9" w:rsidRPr="00612E08" w:rsidRDefault="00A74FE9" w:rsidP="00A74FE9">
            <w:pPr>
              <w:rPr>
                <w:rFonts w:ascii="Times New Roman" w:eastAsia="Times New Roman" w:hAnsi="Times New Roman" w:cs="Times New Roman"/>
                <w:sz w:val="20"/>
                <w:szCs w:val="20"/>
                <w:lang w:eastAsia="sk-SK"/>
              </w:rPr>
            </w:pPr>
            <w:r w:rsidRPr="00367F1D">
              <w:rPr>
                <w:rFonts w:ascii="Times New Roman" w:eastAsia="Times New Roman" w:hAnsi="Times New Roman" w:cs="Times New Roman"/>
                <w:sz w:val="20"/>
                <w:szCs w:val="20"/>
                <w:lang w:eastAsia="sk-SK"/>
              </w:rPr>
              <w:t>Ministerstvo financií Slovenskej republiky</w:t>
            </w:r>
          </w:p>
          <w:p w:rsidR="00A74FE9" w:rsidRPr="00612E08" w:rsidRDefault="00A74FE9" w:rsidP="00A74FE9">
            <w:pPr>
              <w:rPr>
                <w:rFonts w:ascii="Times New Roman" w:eastAsia="Times New Roman" w:hAnsi="Times New Roman" w:cs="Times New Roman"/>
                <w:sz w:val="20"/>
                <w:szCs w:val="20"/>
                <w:lang w:eastAsia="sk-SK"/>
              </w:rPr>
            </w:pPr>
          </w:p>
        </w:tc>
      </w:tr>
      <w:tr w:rsidR="00A74FE9" w:rsidRPr="00612E08" w:rsidTr="00A74FE9">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A74FE9" w:rsidRPr="00612E08" w:rsidRDefault="00A74FE9" w:rsidP="00A74FE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A74FE9" w:rsidRPr="00612E08" w:rsidRDefault="00A74FE9" w:rsidP="00A74FE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A74FE9" w:rsidRPr="00612E08" w:rsidTr="00A74FE9">
        <w:tc>
          <w:tcPr>
            <w:tcW w:w="4212" w:type="dxa"/>
            <w:gridSpan w:val="2"/>
            <w:vMerge/>
            <w:tcBorders>
              <w:top w:val="nil"/>
              <w:left w:val="single" w:sz="4" w:space="0" w:color="auto"/>
              <w:bottom w:val="single" w:sz="4" w:space="0" w:color="FFFFFF"/>
            </w:tcBorders>
            <w:shd w:val="clear" w:color="auto" w:fill="E2E2E2"/>
          </w:tcPr>
          <w:p w:rsidR="00A74FE9" w:rsidRPr="00612E08" w:rsidRDefault="00A74FE9" w:rsidP="00A74FE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A74FE9" w:rsidRPr="00612E08" w:rsidRDefault="00A74FE9" w:rsidP="00A74FE9">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A74FE9" w:rsidRPr="00612E08" w:rsidTr="00A74FE9">
        <w:tc>
          <w:tcPr>
            <w:tcW w:w="4212" w:type="dxa"/>
            <w:gridSpan w:val="2"/>
            <w:vMerge/>
            <w:tcBorders>
              <w:top w:val="nil"/>
              <w:left w:val="single" w:sz="4" w:space="0" w:color="auto"/>
              <w:bottom w:val="single" w:sz="4" w:space="0" w:color="auto"/>
            </w:tcBorders>
            <w:shd w:val="clear" w:color="auto" w:fill="E2E2E2"/>
          </w:tcPr>
          <w:p w:rsidR="00A74FE9" w:rsidRPr="00612E08" w:rsidRDefault="00A74FE9" w:rsidP="00A74FE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A74FE9" w:rsidRPr="00612E08" w:rsidTr="00A74FE9">
        <w:tc>
          <w:tcPr>
            <w:tcW w:w="9180" w:type="dxa"/>
            <w:gridSpan w:val="11"/>
            <w:tcBorders>
              <w:top w:val="single" w:sz="4" w:space="0" w:color="auto"/>
              <w:left w:val="single" w:sz="4" w:space="0" w:color="auto"/>
              <w:bottom w:val="single" w:sz="4" w:space="0" w:color="FFFFFF"/>
            </w:tcBorders>
            <w:shd w:val="clear" w:color="auto" w:fill="FFFFFF"/>
          </w:tcPr>
          <w:p w:rsidR="00A74FE9" w:rsidRDefault="00A74FE9" w:rsidP="00A74FE9">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A74FE9" w:rsidRPr="00612E08" w:rsidRDefault="00A74FE9" w:rsidP="00A74FE9">
            <w:pPr>
              <w:rPr>
                <w:rFonts w:ascii="Times New Roman" w:eastAsia="Times New Roman" w:hAnsi="Times New Roman" w:cs="Times New Roman"/>
                <w:sz w:val="20"/>
                <w:szCs w:val="20"/>
                <w:lang w:eastAsia="sk-SK"/>
              </w:rPr>
            </w:pPr>
            <w:r w:rsidRPr="007E1969">
              <w:rPr>
                <w:rFonts w:ascii="Times New Roman" w:hAnsi="Times New Roman" w:cs="Times New Roman"/>
                <w:sz w:val="20"/>
                <w:szCs w:val="20"/>
              </w:rPr>
              <w:t xml:space="preserve">Smernica Rady 2006/112/ES z  28. novembra </w:t>
            </w:r>
            <w:r w:rsidRPr="00307BC4">
              <w:rPr>
                <w:rFonts w:ascii="Times New Roman" w:hAnsi="Times New Roman" w:cs="Times New Roman"/>
                <w:sz w:val="20"/>
                <w:szCs w:val="20"/>
              </w:rPr>
              <w:t xml:space="preserve">2006 o spoločnom systéme dane z pridanej </w:t>
            </w:r>
            <w:r w:rsidRPr="004223D4">
              <w:rPr>
                <w:rFonts w:ascii="Times New Roman" w:hAnsi="Times New Roman" w:cs="Times New Roman"/>
                <w:sz w:val="20"/>
                <w:szCs w:val="20"/>
              </w:rPr>
              <w:t>hodnoty (</w:t>
            </w:r>
            <w:r w:rsidRPr="003B279B">
              <w:rPr>
                <w:rStyle w:val="Zvraznenie"/>
                <w:rFonts w:ascii="Times New Roman" w:hAnsi="Times New Roman" w:cs="Times New Roman"/>
                <w:sz w:val="20"/>
                <w:szCs w:val="20"/>
              </w:rPr>
              <w:t xml:space="preserve">Ú. v. EÚ L 347, 11.12.2006) </w:t>
            </w:r>
            <w:r w:rsidRPr="004223D4">
              <w:rPr>
                <w:rStyle w:val="Zvraznenie"/>
                <w:rFonts w:ascii="Times New Roman" w:hAnsi="Times New Roman" w:cs="Times New Roman"/>
                <w:sz w:val="20"/>
                <w:szCs w:val="20"/>
              </w:rPr>
              <w:t>v platnom znení.</w:t>
            </w:r>
          </w:p>
        </w:tc>
      </w:tr>
      <w:tr w:rsidR="00A74FE9" w:rsidRPr="00612E08" w:rsidTr="00A74FE9">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A74FE9" w:rsidRPr="00612E08" w:rsidRDefault="00A74FE9" w:rsidP="00A74FE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A74FE9" w:rsidRPr="00612E08" w:rsidRDefault="00A74FE9" w:rsidP="00A74FE9">
            <w:pPr>
              <w:rPr>
                <w:rFonts w:ascii="Times New Roman" w:eastAsia="Times New Roman" w:hAnsi="Times New Roman" w:cs="Times New Roman"/>
                <w:i/>
                <w:sz w:val="20"/>
                <w:szCs w:val="20"/>
                <w:lang w:eastAsia="sk-SK"/>
              </w:rPr>
            </w:pPr>
          </w:p>
        </w:tc>
      </w:tr>
      <w:tr w:rsidR="00A74FE9" w:rsidRPr="00612E08" w:rsidTr="00A74FE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A74FE9" w:rsidRPr="00612E08" w:rsidRDefault="00A74FE9" w:rsidP="00A74FE9">
            <w:pPr>
              <w:rPr>
                <w:rFonts w:ascii="Times New Roman" w:eastAsia="Times New Roman" w:hAnsi="Times New Roman" w:cs="Times New Roman"/>
                <w:i/>
                <w:sz w:val="20"/>
                <w:szCs w:val="20"/>
                <w:lang w:eastAsia="sk-SK"/>
              </w:rPr>
            </w:pPr>
          </w:p>
        </w:tc>
      </w:tr>
      <w:tr w:rsidR="00A74FE9" w:rsidRPr="00612E08" w:rsidTr="00A74FE9">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A74FE9" w:rsidRPr="00612E08" w:rsidRDefault="00A74FE9">
            <w:pPr>
              <w:rPr>
                <w:rFonts w:ascii="Times New Roman" w:eastAsia="Times New Roman" w:hAnsi="Times New Roman" w:cs="Times New Roman"/>
                <w:i/>
                <w:sz w:val="20"/>
                <w:szCs w:val="20"/>
                <w:lang w:eastAsia="sk-SK"/>
              </w:rPr>
            </w:pPr>
          </w:p>
        </w:tc>
      </w:tr>
      <w:tr w:rsidR="00A74FE9" w:rsidRPr="00612E08" w:rsidTr="00A74FE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A74FE9" w:rsidRPr="00612E08" w:rsidRDefault="00A74FE9" w:rsidP="00A74FE9">
            <w:pPr>
              <w:rPr>
                <w:rFonts w:ascii="Times New Roman" w:eastAsia="Times New Roman" w:hAnsi="Times New Roman" w:cs="Times New Roman"/>
                <w:i/>
                <w:sz w:val="20"/>
                <w:szCs w:val="20"/>
                <w:lang w:eastAsia="sk-SK"/>
              </w:rPr>
            </w:pPr>
            <w:r>
              <w:rPr>
                <w:rFonts w:ascii="Times New Roman" w:hAnsi="Times New Roman"/>
                <w:sz w:val="20"/>
                <w:szCs w:val="20"/>
              </w:rPr>
              <w:t>december</w:t>
            </w:r>
            <w:r>
              <w:rPr>
                <w:rFonts w:ascii="Times New Roman" w:eastAsia="Times New Roman" w:hAnsi="Times New Roman" w:cs="Times New Roman"/>
                <w:sz w:val="20"/>
                <w:szCs w:val="20"/>
                <w:lang w:eastAsia="sk-SK"/>
              </w:rPr>
              <w:t xml:space="preserve"> 2023</w:t>
            </w:r>
          </w:p>
        </w:tc>
      </w:tr>
      <w:tr w:rsidR="00A74FE9" w:rsidRPr="00612E08" w:rsidTr="00A74FE9">
        <w:tc>
          <w:tcPr>
            <w:tcW w:w="9180" w:type="dxa"/>
            <w:gridSpan w:val="11"/>
            <w:tcBorders>
              <w:top w:val="single" w:sz="4" w:space="0" w:color="auto"/>
              <w:left w:val="nil"/>
              <w:bottom w:val="single" w:sz="4" w:space="0" w:color="auto"/>
              <w:right w:val="nil"/>
            </w:tcBorders>
            <w:shd w:val="clear" w:color="auto" w:fill="FFFFFF"/>
          </w:tcPr>
          <w:p w:rsidR="00A74FE9" w:rsidRPr="00612E08" w:rsidRDefault="00A74FE9" w:rsidP="00A74FE9">
            <w:pPr>
              <w:rPr>
                <w:rFonts w:ascii="Times New Roman" w:eastAsia="Times New Roman" w:hAnsi="Times New Roman" w:cs="Times New Roman"/>
                <w:sz w:val="20"/>
                <w:szCs w:val="20"/>
                <w:lang w:eastAsia="sk-SK"/>
              </w:rPr>
            </w:pPr>
          </w:p>
        </w:tc>
      </w:tr>
      <w:tr w:rsidR="00A74FE9" w:rsidRPr="00612E08" w:rsidTr="00A74F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A74FE9" w:rsidRPr="00612E08" w:rsidTr="00A74FE9">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74FE9" w:rsidRPr="00FC5943" w:rsidRDefault="00A74FE9" w:rsidP="00A74FE9">
            <w:pPr>
              <w:jc w:val="both"/>
              <w:rPr>
                <w:rFonts w:ascii="Times New Roman" w:eastAsia="Times New Roman" w:hAnsi="Times New Roman" w:cs="Times New Roman"/>
                <w:b/>
                <w:sz w:val="20"/>
                <w:szCs w:val="20"/>
                <w:highlight w:val="yellow"/>
                <w:lang w:eastAsia="sk-SK"/>
              </w:rPr>
            </w:pPr>
          </w:p>
          <w:p w:rsidR="00A74FE9" w:rsidRPr="00814821" w:rsidRDefault="00A74FE9" w:rsidP="00A74FE9">
            <w:pPr>
              <w:jc w:val="both"/>
              <w:rPr>
                <w:rFonts w:ascii="Times New Roman" w:hAnsi="Times New Roman" w:cs="Times New Roman"/>
                <w:bCs/>
                <w:sz w:val="20"/>
                <w:szCs w:val="20"/>
                <w:shd w:val="clear" w:color="auto" w:fill="FFFFFF"/>
              </w:rPr>
            </w:pPr>
            <w:r w:rsidRPr="00814821">
              <w:rPr>
                <w:rFonts w:ascii="Times New Roman" w:hAnsi="Times New Roman" w:cs="Times New Roman"/>
                <w:bCs/>
                <w:sz w:val="20"/>
                <w:szCs w:val="20"/>
                <w:shd w:val="clear" w:color="auto" w:fill="FFFFFF"/>
              </w:rPr>
              <w:t>Prijatím</w:t>
            </w:r>
            <w:r>
              <w:rPr>
                <w:rFonts w:ascii="Times New Roman" w:hAnsi="Times New Roman" w:cs="Times New Roman"/>
                <w:bCs/>
                <w:sz w:val="20"/>
                <w:szCs w:val="20"/>
                <w:shd w:val="clear" w:color="auto" w:fill="FFFFFF"/>
              </w:rPr>
              <w:t xml:space="preserve"> </w:t>
            </w:r>
            <w:r w:rsidRPr="00814821">
              <w:rPr>
                <w:rFonts w:ascii="Times New Roman" w:hAnsi="Times New Roman" w:cs="Times New Roman"/>
                <w:bCs/>
                <w:sz w:val="20"/>
                <w:szCs w:val="20"/>
                <w:shd w:val="clear" w:color="auto" w:fill="FFFFFF"/>
              </w:rPr>
              <w:t xml:space="preserve"> zákona, ktorým sa menia a dopĺňajú niektoré zákony v súvislosti so zlepšením stavu verejných financií sa navrhuje konsolidácia verejných financií a</w:t>
            </w:r>
            <w:r>
              <w:rPr>
                <w:rFonts w:ascii="Times New Roman" w:hAnsi="Times New Roman" w:cs="Times New Roman"/>
                <w:bCs/>
                <w:sz w:val="20"/>
                <w:szCs w:val="20"/>
                <w:shd w:val="clear" w:color="auto" w:fill="FFFFFF"/>
              </w:rPr>
              <w:t> </w:t>
            </w:r>
            <w:r w:rsidRPr="00814821">
              <w:rPr>
                <w:rFonts w:ascii="Times New Roman" w:hAnsi="Times New Roman" w:cs="Times New Roman"/>
                <w:bCs/>
                <w:sz w:val="20"/>
                <w:szCs w:val="20"/>
                <w:shd w:val="clear" w:color="auto" w:fill="FFFFFF"/>
              </w:rPr>
              <w:t>stabilizácia</w:t>
            </w:r>
            <w:r>
              <w:rPr>
                <w:rFonts w:ascii="Times New Roman" w:hAnsi="Times New Roman" w:cs="Times New Roman"/>
                <w:bCs/>
                <w:sz w:val="20"/>
                <w:szCs w:val="20"/>
                <w:shd w:val="clear" w:color="auto" w:fill="FFFFFF"/>
              </w:rPr>
              <w:t xml:space="preserve"> verejného</w:t>
            </w:r>
            <w:r w:rsidRPr="00814821">
              <w:rPr>
                <w:rFonts w:ascii="Times New Roman" w:hAnsi="Times New Roman" w:cs="Times New Roman"/>
                <w:bCs/>
                <w:sz w:val="20"/>
                <w:szCs w:val="20"/>
                <w:shd w:val="clear" w:color="auto" w:fill="FFFFFF"/>
              </w:rPr>
              <w:t xml:space="preserve"> dlhu, nakoľko je nevyhnutné znížiť deficit štátneho rozpočtu. </w:t>
            </w:r>
          </w:p>
          <w:p w:rsidR="00A74FE9" w:rsidRPr="00FC5943" w:rsidRDefault="00A74FE9" w:rsidP="00A74FE9">
            <w:pPr>
              <w:jc w:val="both"/>
              <w:rPr>
                <w:rFonts w:ascii="Times New Roman" w:eastAsia="Times New Roman" w:hAnsi="Times New Roman" w:cs="Times New Roman"/>
                <w:b/>
                <w:sz w:val="20"/>
                <w:szCs w:val="20"/>
                <w:highlight w:val="yellow"/>
                <w:lang w:eastAsia="sk-SK"/>
              </w:rPr>
            </w:pPr>
          </w:p>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súdnych a správnych poplatkoch</w:t>
            </w:r>
          </w:p>
          <w:p w:rsidR="00A74FE9" w:rsidRPr="00FC5943" w:rsidRDefault="00A74FE9" w:rsidP="00A74FE9">
            <w:pPr>
              <w:jc w:val="both"/>
              <w:rPr>
                <w:rFonts w:ascii="Times New Roman" w:hAnsi="Times New Roman" w:cs="Times New Roman"/>
                <w:bCs/>
                <w:sz w:val="20"/>
                <w:szCs w:val="20"/>
                <w:shd w:val="clear" w:color="auto" w:fill="FFFFFF"/>
              </w:rPr>
            </w:pPr>
            <w:r w:rsidRPr="00FC5943">
              <w:rPr>
                <w:rFonts w:ascii="Times New Roman" w:hAnsi="Times New Roman" w:cs="Times New Roman"/>
                <w:bCs/>
                <w:sz w:val="20"/>
                <w:szCs w:val="20"/>
                <w:shd w:val="clear" w:color="auto" w:fill="FFFFFF"/>
              </w:rPr>
              <w:t>Zámerom legislatívnej úpravy zákona o súdnych poplatkoch a zákona o správnych poplatkoch je valorizácia sadzieb vybraných poplatkov, z ktorých väčšina sa naposledy menila skôr ako pred zavedením eura na Slovensku (rok 2009). Primárne ide o úpravu sadzieb poplatkov v nadväznosti na infláciu (jej zohľadnenie od roku 2009 predstavuje nárast spotrebiteľských cien o približne 54</w:t>
            </w:r>
            <w:r>
              <w:rPr>
                <w:rFonts w:ascii="Times New Roman" w:hAnsi="Times New Roman" w:cs="Times New Roman"/>
                <w:bCs/>
                <w:sz w:val="20"/>
                <w:szCs w:val="20"/>
                <w:shd w:val="clear" w:color="auto" w:fill="FFFFFF"/>
              </w:rPr>
              <w:t xml:space="preserve"> </w:t>
            </w:r>
            <w:r w:rsidRPr="00FC5943">
              <w:rPr>
                <w:rFonts w:ascii="Times New Roman" w:hAnsi="Times New Roman" w:cs="Times New Roman"/>
                <w:bCs/>
                <w:sz w:val="20"/>
                <w:szCs w:val="20"/>
                <w:shd w:val="clear" w:color="auto" w:fill="FFFFFF"/>
              </w:rPr>
              <w:t>%), nakoľko náklady štátu na agendu správnych orgánov, súdov, orgánov súdov a prokuratúry priebežne rastú (mzdy, réžia, IT systémy).</w:t>
            </w:r>
          </w:p>
          <w:p w:rsidR="00A74FE9" w:rsidRPr="00FC5943" w:rsidRDefault="00A74FE9" w:rsidP="00A74FE9">
            <w:pPr>
              <w:jc w:val="both"/>
              <w:rPr>
                <w:rFonts w:ascii="Times New Roman" w:eastAsia="Times New Roman" w:hAnsi="Times New Roman" w:cs="Times New Roman"/>
                <w:b/>
                <w:sz w:val="20"/>
                <w:szCs w:val="20"/>
                <w:highlight w:val="yellow"/>
                <w:lang w:eastAsia="sk-SK"/>
              </w:rPr>
            </w:pPr>
          </w:p>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stavebnom sporení</w:t>
            </w:r>
          </w:p>
          <w:p w:rsidR="00A74FE9" w:rsidRPr="00FC5943" w:rsidRDefault="00A74FE9" w:rsidP="00A74FE9">
            <w:pPr>
              <w:jc w:val="both"/>
              <w:rPr>
                <w:rFonts w:ascii="Times New Roman" w:hAnsi="Times New Roman" w:cs="Times New Roman"/>
                <w:sz w:val="20"/>
                <w:szCs w:val="20"/>
              </w:rPr>
            </w:pPr>
            <w:r w:rsidRPr="00FC5943">
              <w:rPr>
                <w:rFonts w:ascii="Times New Roman" w:hAnsi="Times New Roman" w:cs="Times New Roman"/>
                <w:sz w:val="20"/>
                <w:szCs w:val="20"/>
              </w:rPr>
              <w:t>Poslednou poslaneckou priamou novelou zákona o stavebnom sporení /zákon č. 316/2023 Z. z./ sa zaviedla definícia domácnosti, ktorú tvoria manžel, manželka a ich deti, pričom stavebný sporiteľ, ktorý je členom domácnosti – manžel alebo manželka, je oproti stavebnému sporiteľovi, ktorý nie je členom domácnosti, neprimerane zvýhodnený oproti inému stavebnému sporiteľovi a spôsobuje diskrimináciu ad 1 vo vzťahu k posudzovaniu príjmového limitu, ad 2 vo vzťahu k výške štátnej prémie a ad 3 vo vzťahu k výške poplatkov za vedenie účtu stavebného sporiteľa. Zároveň je zavedenie tzv. rodinného stavebného sporenia výrazne diskriminačné aj z dôvodu, že sa nevzťahuje na jednorodičovské domácnosti s maloletým dieťaťom/deťmi (vrátane osamelých rodičov ako napr. vdova, vdovec) a tiež ani na domácnosti s maloletým dieťaťom/deťmi, v ktorých rodičovské práva a povinnosti vykonávajú osoby, ktoré nie sú manželmi. Takéto nastavenie však spôsobuje aj vyššie zvýhodnenie vysokopríjmových rodín oproti rodinám a slobodným jednotlivcom s nižšími príjmami. Naviac uvedená úprava veľmi výrazne posúva nahor príjmovú hranicu na získanie podpory a zároveň významne rozširuje okruh oprávnených osôb zvýšením príjmovej hranice na získanie štátnej prémie, čo má za následok znegovanie poskytovania štátnej podpory pre nízkopríjmové skupiny obyvateľstva. Takéto nastavenie zakladá výrazne zvýšené nároky na štátnu prémiu.</w:t>
            </w:r>
          </w:p>
          <w:p w:rsidR="00A74FE9" w:rsidRPr="00FC5943" w:rsidRDefault="00A74FE9" w:rsidP="00A74FE9">
            <w:pPr>
              <w:jc w:val="both"/>
              <w:rPr>
                <w:rFonts w:ascii="Times New Roman" w:eastAsia="Times New Roman" w:hAnsi="Times New Roman" w:cs="Times New Roman"/>
                <w:b/>
                <w:sz w:val="20"/>
                <w:szCs w:val="20"/>
                <w:lang w:eastAsia="sk-SK"/>
              </w:rPr>
            </w:pPr>
          </w:p>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dani z príjmov</w:t>
            </w:r>
          </w:p>
          <w:p w:rsidR="00A74FE9" w:rsidRPr="00FC5943" w:rsidRDefault="00A74FE9" w:rsidP="00A74FE9">
            <w:pPr>
              <w:pStyle w:val="Odsekzoznamu"/>
              <w:numPr>
                <w:ilvl w:val="0"/>
                <w:numId w:val="2"/>
              </w:numPr>
              <w:jc w:val="both"/>
              <w:rPr>
                <w:rFonts w:ascii="Times New Roman" w:hAnsi="Times New Roman"/>
                <w:color w:val="000000" w:themeColor="text1"/>
                <w:sz w:val="20"/>
                <w:szCs w:val="20"/>
                <w:u w:val="single"/>
              </w:rPr>
            </w:pPr>
            <w:r w:rsidRPr="00FC5943">
              <w:rPr>
                <w:rFonts w:ascii="Times New Roman" w:hAnsi="Times New Roman"/>
                <w:color w:val="000000" w:themeColor="text1"/>
                <w:sz w:val="20"/>
                <w:szCs w:val="20"/>
                <w:u w:val="single"/>
              </w:rPr>
              <w:t>Zrážková daň z dividend</w:t>
            </w:r>
          </w:p>
          <w:p w:rsidR="00A74FE9" w:rsidRPr="00FC5943" w:rsidRDefault="00A74FE9" w:rsidP="00A74FE9">
            <w:pPr>
              <w:jc w:val="both"/>
              <w:rPr>
                <w:rFonts w:ascii="Times New Roman" w:hAnsi="Times New Roman" w:cs="Times New Roman"/>
                <w:color w:val="000000" w:themeColor="text1"/>
                <w:sz w:val="20"/>
                <w:szCs w:val="20"/>
              </w:rPr>
            </w:pPr>
            <w:r w:rsidRPr="00FC5943">
              <w:rPr>
                <w:rFonts w:ascii="Times New Roman" w:hAnsi="Times New Roman" w:cs="Times New Roman"/>
                <w:color w:val="000000" w:themeColor="text1"/>
                <w:sz w:val="20"/>
                <w:szCs w:val="20"/>
              </w:rPr>
              <w:t>Z medzinárodného pohľadu má Slovensko jedno z najnižšieho efektívneho zdanenia dividend. Aktuálne je efektívne zdanenie dividend (vrátane korporátnej dane vo výške 21</w:t>
            </w:r>
            <w:r>
              <w:rPr>
                <w:rFonts w:ascii="Times New Roman" w:hAnsi="Times New Roman" w:cs="Times New Roman"/>
                <w:color w:val="000000" w:themeColor="text1"/>
                <w:sz w:val="20"/>
                <w:szCs w:val="20"/>
              </w:rPr>
              <w:t xml:space="preserve"> </w:t>
            </w:r>
            <w:r w:rsidRPr="00FC5943">
              <w:rPr>
                <w:rFonts w:ascii="Times New Roman" w:hAnsi="Times New Roman" w:cs="Times New Roman"/>
                <w:color w:val="000000" w:themeColor="text1"/>
                <w:sz w:val="20"/>
                <w:szCs w:val="20"/>
              </w:rPr>
              <w:t>%) 26,5</w:t>
            </w:r>
            <w:r>
              <w:rPr>
                <w:rFonts w:ascii="Times New Roman" w:hAnsi="Times New Roman" w:cs="Times New Roman"/>
                <w:color w:val="000000" w:themeColor="text1"/>
                <w:sz w:val="20"/>
                <w:szCs w:val="20"/>
              </w:rPr>
              <w:t xml:space="preserve"> </w:t>
            </w:r>
            <w:r w:rsidRPr="00FC5943">
              <w:rPr>
                <w:rFonts w:ascii="Times New Roman" w:hAnsi="Times New Roman" w:cs="Times New Roman"/>
                <w:color w:val="000000" w:themeColor="text1"/>
                <w:sz w:val="20"/>
                <w:szCs w:val="20"/>
              </w:rPr>
              <w:t xml:space="preserve">%. V rámci V4 je to po Maďarsku </w:t>
            </w:r>
            <w:r w:rsidRPr="00FC5943">
              <w:rPr>
                <w:rFonts w:ascii="Times New Roman" w:hAnsi="Times New Roman" w:cs="Times New Roman"/>
                <w:color w:val="000000" w:themeColor="text1"/>
                <w:sz w:val="20"/>
                <w:szCs w:val="20"/>
              </w:rPr>
              <w:lastRenderedPageBreak/>
              <w:t>druhé najnižšie zaťaženie. Z pohľadu EÚ krajín v OECD sme hlboko pod priemerom. Ak by sa zrážková daň z dividend zvýšila zo 7</w:t>
            </w:r>
            <w:r>
              <w:rPr>
                <w:rFonts w:ascii="Times New Roman" w:hAnsi="Times New Roman" w:cs="Times New Roman"/>
                <w:color w:val="000000" w:themeColor="text1"/>
                <w:sz w:val="20"/>
                <w:szCs w:val="20"/>
              </w:rPr>
              <w:t xml:space="preserve"> </w:t>
            </w:r>
            <w:r w:rsidRPr="00FC5943">
              <w:rPr>
                <w:rFonts w:ascii="Times New Roman" w:hAnsi="Times New Roman" w:cs="Times New Roman"/>
                <w:color w:val="000000" w:themeColor="text1"/>
                <w:sz w:val="20"/>
                <w:szCs w:val="20"/>
              </w:rPr>
              <w:t>% na 10</w:t>
            </w:r>
            <w:r>
              <w:rPr>
                <w:rFonts w:ascii="Times New Roman" w:hAnsi="Times New Roman" w:cs="Times New Roman"/>
                <w:color w:val="000000" w:themeColor="text1"/>
                <w:sz w:val="20"/>
                <w:szCs w:val="20"/>
              </w:rPr>
              <w:t xml:space="preserve"> </w:t>
            </w:r>
            <w:r w:rsidRPr="00FC5943">
              <w:rPr>
                <w:rFonts w:ascii="Times New Roman" w:hAnsi="Times New Roman" w:cs="Times New Roman"/>
                <w:color w:val="000000" w:themeColor="text1"/>
                <w:sz w:val="20"/>
                <w:szCs w:val="20"/>
              </w:rPr>
              <w:t>%, efektívne zdanenie by sa zvýšilo na úroveň 32,9</w:t>
            </w:r>
            <w:r>
              <w:rPr>
                <w:rFonts w:ascii="Times New Roman" w:hAnsi="Times New Roman" w:cs="Times New Roman"/>
                <w:color w:val="000000" w:themeColor="text1"/>
                <w:sz w:val="20"/>
                <w:szCs w:val="20"/>
              </w:rPr>
              <w:t xml:space="preserve"> </w:t>
            </w:r>
            <w:r w:rsidRPr="00FC5943">
              <w:rPr>
                <w:rFonts w:ascii="Times New Roman" w:hAnsi="Times New Roman" w:cs="Times New Roman"/>
                <w:color w:val="000000" w:themeColor="text1"/>
                <w:sz w:val="20"/>
                <w:szCs w:val="20"/>
              </w:rPr>
              <w:t>%.</w:t>
            </w:r>
          </w:p>
          <w:p w:rsidR="00A74FE9" w:rsidRPr="00FC5943" w:rsidRDefault="00A74FE9" w:rsidP="00A74FE9">
            <w:pPr>
              <w:jc w:val="both"/>
              <w:rPr>
                <w:rFonts w:ascii="Times New Roman" w:hAnsi="Times New Roman" w:cs="Times New Roman"/>
                <w:color w:val="000000" w:themeColor="text1"/>
                <w:sz w:val="20"/>
                <w:szCs w:val="20"/>
              </w:rPr>
            </w:pPr>
          </w:p>
          <w:p w:rsidR="00A74FE9" w:rsidRPr="00FC5943" w:rsidRDefault="00A74FE9" w:rsidP="00A74FE9">
            <w:pPr>
              <w:pStyle w:val="Odsekzoznamu"/>
              <w:numPr>
                <w:ilvl w:val="0"/>
                <w:numId w:val="2"/>
              </w:numPr>
              <w:jc w:val="both"/>
              <w:rPr>
                <w:rFonts w:ascii="Times New Roman" w:hAnsi="Times New Roman"/>
                <w:sz w:val="20"/>
                <w:szCs w:val="20"/>
                <w:u w:val="single"/>
              </w:rPr>
            </w:pPr>
            <w:r w:rsidRPr="00FC5943">
              <w:rPr>
                <w:rFonts w:ascii="Times New Roman" w:hAnsi="Times New Roman"/>
                <w:color w:val="000000" w:themeColor="text1"/>
                <w:sz w:val="20"/>
                <w:szCs w:val="20"/>
                <w:u w:val="single"/>
              </w:rPr>
              <w:t>Kapitálové príjmy fyzických osôb</w:t>
            </w:r>
          </w:p>
          <w:p w:rsidR="00A74FE9" w:rsidRPr="00FC5943" w:rsidRDefault="00A74FE9" w:rsidP="00A74FE9">
            <w:pPr>
              <w:jc w:val="both"/>
              <w:rPr>
                <w:rFonts w:ascii="Times New Roman" w:hAnsi="Times New Roman" w:cs="Times New Roman"/>
                <w:color w:val="000000" w:themeColor="text1"/>
                <w:sz w:val="20"/>
                <w:szCs w:val="20"/>
              </w:rPr>
            </w:pPr>
            <w:r w:rsidRPr="00FC5943">
              <w:rPr>
                <w:rFonts w:ascii="Times New Roman" w:hAnsi="Times New Roman" w:cs="Times New Roman"/>
                <w:color w:val="000000" w:themeColor="text1"/>
                <w:sz w:val="20"/>
                <w:szCs w:val="20"/>
              </w:rPr>
              <w:t>Žiadny z druhov „majetkových príjmov</w:t>
            </w:r>
            <w:r>
              <w:rPr>
                <w:rFonts w:ascii="Times New Roman" w:hAnsi="Times New Roman" w:cs="Times New Roman"/>
                <w:color w:val="000000" w:themeColor="text1"/>
                <w:sz w:val="20"/>
                <w:szCs w:val="20"/>
              </w:rPr>
              <w:t>“</w:t>
            </w:r>
            <w:r w:rsidRPr="00FC5943">
              <w:rPr>
                <w:rFonts w:ascii="Times New Roman" w:hAnsi="Times New Roman" w:cs="Times New Roman"/>
                <w:color w:val="000000" w:themeColor="text1"/>
                <w:sz w:val="20"/>
                <w:szCs w:val="20"/>
              </w:rPr>
              <w:t xml:space="preserve"> nemá toľko oslobodení, ako majú práve investície fyzických osôb do cenných papierov.</w:t>
            </w:r>
          </w:p>
          <w:p w:rsidR="00A74FE9" w:rsidRPr="00FC5943" w:rsidRDefault="00A74FE9" w:rsidP="00A74FE9">
            <w:pPr>
              <w:jc w:val="both"/>
              <w:rPr>
                <w:rFonts w:ascii="Times New Roman" w:hAnsi="Times New Roman" w:cs="Times New Roman"/>
                <w:color w:val="000000" w:themeColor="text1"/>
                <w:sz w:val="20"/>
                <w:szCs w:val="20"/>
                <w:u w:val="single"/>
              </w:rPr>
            </w:pPr>
          </w:p>
          <w:p w:rsidR="00A74FE9" w:rsidRPr="00FC5943" w:rsidRDefault="00A74FE9" w:rsidP="00A74FE9">
            <w:pPr>
              <w:pStyle w:val="Odsekzoznamu"/>
              <w:numPr>
                <w:ilvl w:val="0"/>
                <w:numId w:val="2"/>
              </w:numPr>
              <w:jc w:val="both"/>
              <w:rPr>
                <w:rFonts w:ascii="Times New Roman" w:hAnsi="Times New Roman"/>
                <w:color w:val="000000" w:themeColor="text1"/>
                <w:sz w:val="20"/>
                <w:szCs w:val="20"/>
                <w:u w:val="single"/>
              </w:rPr>
            </w:pPr>
            <w:r w:rsidRPr="00FC5943">
              <w:rPr>
                <w:rFonts w:ascii="Times New Roman" w:hAnsi="Times New Roman"/>
                <w:color w:val="000000" w:themeColor="text1"/>
                <w:sz w:val="20"/>
                <w:szCs w:val="20"/>
                <w:u w:val="single"/>
              </w:rPr>
              <w:t>Minimálna daň pre právnické osoby</w:t>
            </w:r>
          </w:p>
          <w:p w:rsidR="00A74FE9" w:rsidRPr="00FC5943" w:rsidRDefault="00A74FE9" w:rsidP="00A74FE9">
            <w:pPr>
              <w:jc w:val="both"/>
              <w:rPr>
                <w:rFonts w:ascii="Times New Roman" w:hAnsi="Times New Roman" w:cs="Times New Roman"/>
                <w:sz w:val="20"/>
                <w:szCs w:val="20"/>
              </w:rPr>
            </w:pPr>
            <w:r w:rsidRPr="00FC5943">
              <w:rPr>
                <w:rFonts w:ascii="Times New Roman" w:hAnsi="Times New Roman" w:cs="Times New Roman"/>
                <w:sz w:val="20"/>
                <w:szCs w:val="20"/>
              </w:rPr>
              <w:t xml:space="preserve">Do zákona o dani z príjmov sa dopĺňa inštitút minimálnej dane pre vymedzené právnické osoby. V prípade právnických osôb dochádza dlhodobo k optimalizácií daňovej povinnosti, čo má za následok nižšie príjmy štátneho rozpočtu. </w:t>
            </w:r>
          </w:p>
          <w:p w:rsidR="00A74FE9" w:rsidRPr="00FC5943" w:rsidRDefault="00A74FE9" w:rsidP="00A74FE9">
            <w:pPr>
              <w:jc w:val="both"/>
              <w:rPr>
                <w:rFonts w:ascii="Times New Roman" w:hAnsi="Times New Roman" w:cs="Times New Roman"/>
                <w:color w:val="000000" w:themeColor="text1"/>
                <w:sz w:val="20"/>
                <w:szCs w:val="20"/>
                <w:u w:val="single"/>
              </w:rPr>
            </w:pPr>
          </w:p>
          <w:p w:rsidR="00A74FE9" w:rsidRPr="00FC5943" w:rsidRDefault="00A74FE9" w:rsidP="00A74FE9">
            <w:pPr>
              <w:pStyle w:val="Odsekzoznamu"/>
              <w:numPr>
                <w:ilvl w:val="0"/>
                <w:numId w:val="2"/>
              </w:numPr>
              <w:jc w:val="both"/>
              <w:rPr>
                <w:rFonts w:ascii="Times New Roman" w:hAnsi="Times New Roman"/>
                <w:sz w:val="20"/>
                <w:szCs w:val="20"/>
                <w:lang w:eastAsia="sk-SK"/>
              </w:rPr>
            </w:pPr>
            <w:r w:rsidRPr="00FC5943">
              <w:rPr>
                <w:rFonts w:ascii="Times New Roman" w:hAnsi="Times New Roman"/>
                <w:sz w:val="20"/>
                <w:szCs w:val="20"/>
                <w:lang w:eastAsia="sk-SK"/>
              </w:rPr>
              <w:t>Z</w:t>
            </w:r>
            <w:r w:rsidRPr="00FC5943">
              <w:rPr>
                <w:rFonts w:ascii="Times New Roman" w:hAnsi="Times New Roman"/>
                <w:sz w:val="20"/>
                <w:szCs w:val="20"/>
                <w:u w:val="single"/>
                <w:lang w:eastAsia="sk-SK"/>
              </w:rPr>
              <w:t>výšenie hranice pre použitie sadzby dane 15 % a súčasne pre využitie statusu mikrodaňovníka</w:t>
            </w:r>
          </w:p>
          <w:p w:rsidR="00A74FE9"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sz w:val="20"/>
                <w:szCs w:val="20"/>
                <w:lang w:eastAsia="sk-SK"/>
              </w:rPr>
              <w:t>Hranica výšky zdaniteľných príjmov rozhodná pre zníženej sadzby dane z príjmov 15 % sa zvyšuje z úrovne 49 790 eur na pevne stanovenú sumu 60 000 eur. Táto hranica sa použije rovnako pre použitie statusu mikrodaňovníka, ktorý požíva niektoré daňové výhody spojené so zisťovaním základu dane.</w:t>
            </w:r>
            <w:r w:rsidRPr="00FC5943">
              <w:rPr>
                <w:rFonts w:ascii="Times New Roman" w:eastAsia="Times New Roman" w:hAnsi="Times New Roman" w:cs="Times New Roman"/>
                <w:b/>
                <w:sz w:val="20"/>
                <w:szCs w:val="20"/>
                <w:lang w:eastAsia="sk-SK"/>
              </w:rPr>
              <w:t xml:space="preserve">  </w:t>
            </w:r>
          </w:p>
          <w:p w:rsidR="00A74FE9" w:rsidRDefault="00A74FE9" w:rsidP="00A74FE9">
            <w:pPr>
              <w:jc w:val="both"/>
              <w:rPr>
                <w:rFonts w:ascii="Times New Roman" w:eastAsia="Times New Roman" w:hAnsi="Times New Roman" w:cs="Times New Roman"/>
                <w:b/>
                <w:sz w:val="20"/>
                <w:szCs w:val="20"/>
                <w:lang w:eastAsia="sk-SK"/>
              </w:rPr>
            </w:pPr>
          </w:p>
          <w:p w:rsidR="00A74FE9" w:rsidRPr="00C04CD9" w:rsidRDefault="00A74FE9" w:rsidP="00A74FE9">
            <w:pPr>
              <w:jc w:val="both"/>
              <w:rPr>
                <w:rFonts w:ascii="Times New Roman" w:eastAsia="Times New Roman" w:hAnsi="Times New Roman" w:cs="Times New Roman"/>
                <w:b/>
                <w:sz w:val="20"/>
                <w:szCs w:val="20"/>
                <w:lang w:eastAsia="sk-SK"/>
              </w:rPr>
            </w:pPr>
            <w:r w:rsidRPr="00C04CD9">
              <w:rPr>
                <w:rFonts w:ascii="Times New Roman" w:eastAsia="Times New Roman" w:hAnsi="Times New Roman" w:cs="Times New Roman"/>
                <w:b/>
                <w:sz w:val="20"/>
                <w:szCs w:val="20"/>
                <w:lang w:eastAsia="sk-SK"/>
              </w:rPr>
              <w:t>Zákon o spotrebnej dani z tabakových výrobkov</w:t>
            </w:r>
          </w:p>
          <w:p w:rsidR="00A74FE9" w:rsidRDefault="00A74FE9" w:rsidP="00A74FE9">
            <w:pPr>
              <w:jc w:val="both"/>
              <w:rPr>
                <w:rFonts w:ascii="Times New Roman" w:eastAsia="Times New Roman" w:hAnsi="Times New Roman" w:cs="Times New Roman"/>
                <w:bCs/>
                <w:sz w:val="20"/>
                <w:szCs w:val="20"/>
                <w:lang w:eastAsia="sk-SK"/>
              </w:rPr>
            </w:pPr>
            <w:r w:rsidRPr="00005313">
              <w:rPr>
                <w:rFonts w:ascii="Times New Roman" w:eastAsia="Times New Roman" w:hAnsi="Times New Roman" w:cs="Times New Roman"/>
                <w:sz w:val="20"/>
                <w:szCs w:val="20"/>
                <w:lang w:eastAsia="sk-SK"/>
              </w:rPr>
              <w:t xml:space="preserve">Primárnym dôvodom novelizácie zákona č. 106/2004 Z. z. o spotrebnej dani z tabakových výrobkov v znení neskorších predpisov (ďalej len „zákon </w:t>
            </w:r>
            <w:r w:rsidRPr="00005313">
              <w:rPr>
                <w:rFonts w:ascii="Times New Roman" w:eastAsia="Times New Roman" w:hAnsi="Times New Roman" w:cs="Times New Roman"/>
                <w:bCs/>
                <w:sz w:val="20"/>
                <w:szCs w:val="20"/>
                <w:lang w:eastAsia="sk-SK"/>
              </w:rPr>
              <w:t>č. 106/2004 Z. z.</w:t>
            </w:r>
            <w:r w:rsidRPr="00005313">
              <w:rPr>
                <w:rFonts w:ascii="Times New Roman" w:eastAsia="Times New Roman" w:hAnsi="Times New Roman" w:cs="Times New Roman"/>
                <w:sz w:val="20"/>
                <w:szCs w:val="20"/>
                <w:lang w:eastAsia="sk-SK"/>
              </w:rPr>
              <w:t xml:space="preserve">“) je </w:t>
            </w:r>
            <w:r w:rsidRPr="002B3BFE">
              <w:rPr>
                <w:rFonts w:ascii="Times New Roman" w:eastAsia="Times New Roman" w:hAnsi="Times New Roman" w:cs="Times New Roman"/>
                <w:sz w:val="20"/>
                <w:szCs w:val="20"/>
                <w:lang w:eastAsia="sk-SK"/>
              </w:rPr>
              <w:t xml:space="preserve">pokračovanie v nastavení mechanizmu zvyšovania sadzieb spotrebnej dane z tabakových výrobkov vo viacročnom horizonte (v tzv. </w:t>
            </w:r>
            <w:r>
              <w:rPr>
                <w:rFonts w:ascii="Times New Roman" w:eastAsia="Times New Roman" w:hAnsi="Times New Roman" w:cs="Times New Roman"/>
                <w:sz w:val="20"/>
                <w:szCs w:val="20"/>
                <w:lang w:eastAsia="sk-SK"/>
              </w:rPr>
              <w:t>d</w:t>
            </w:r>
            <w:r w:rsidRPr="002B3BFE">
              <w:rPr>
                <w:rFonts w:ascii="Times New Roman" w:eastAsia="Times New Roman" w:hAnsi="Times New Roman" w:cs="Times New Roman"/>
                <w:sz w:val="20"/>
                <w:szCs w:val="20"/>
                <w:lang w:eastAsia="sk-SK"/>
              </w:rPr>
              <w:t>aňovom kalendári) s</w:t>
            </w:r>
            <w:r>
              <w:rPr>
                <w:rFonts w:ascii="Times New Roman" w:eastAsia="Times New Roman" w:hAnsi="Times New Roman" w:cs="Times New Roman"/>
                <w:sz w:val="20"/>
                <w:szCs w:val="20"/>
                <w:lang w:eastAsia="sk-SK"/>
              </w:rPr>
              <w:t> </w:t>
            </w:r>
            <w:r w:rsidRPr="002B3BFE">
              <w:rPr>
                <w:rFonts w:ascii="Times New Roman" w:eastAsia="Times New Roman" w:hAnsi="Times New Roman" w:cs="Times New Roman"/>
                <w:sz w:val="20"/>
                <w:szCs w:val="20"/>
                <w:lang w:eastAsia="sk-SK"/>
              </w:rPr>
              <w:t>cieľom</w:t>
            </w:r>
            <w:r>
              <w:rPr>
                <w:rFonts w:ascii="Times New Roman" w:eastAsia="Times New Roman" w:hAnsi="Times New Roman" w:cs="Times New Roman"/>
                <w:sz w:val="20"/>
                <w:szCs w:val="20"/>
                <w:lang w:eastAsia="sk-SK"/>
              </w:rPr>
              <w:t xml:space="preserve"> </w:t>
            </w:r>
            <w:r w:rsidRPr="002B3BFE">
              <w:rPr>
                <w:rFonts w:ascii="Times New Roman" w:eastAsia="Times New Roman" w:hAnsi="Times New Roman" w:cs="Times New Roman"/>
                <w:sz w:val="20"/>
                <w:szCs w:val="20"/>
                <w:lang w:eastAsia="sk-SK"/>
              </w:rPr>
              <w:t xml:space="preserve"> zabezpečiť</w:t>
            </w:r>
            <w:r>
              <w:rPr>
                <w:rFonts w:ascii="Times New Roman" w:eastAsia="Times New Roman" w:hAnsi="Times New Roman" w:cs="Times New Roman"/>
                <w:sz w:val="20"/>
                <w:szCs w:val="20"/>
                <w:lang w:eastAsia="sk-SK"/>
              </w:rPr>
              <w:t xml:space="preserve"> nielen</w:t>
            </w:r>
            <w:r w:rsidRPr="002B3BFE">
              <w:rPr>
                <w:rFonts w:ascii="Times New Roman" w:eastAsia="Times New Roman" w:hAnsi="Times New Roman" w:cs="Times New Roman"/>
                <w:sz w:val="20"/>
                <w:szCs w:val="20"/>
                <w:lang w:eastAsia="sk-SK"/>
              </w:rPr>
              <w:t xml:space="preserve"> daňové výnosy zo spotrebnej dane </w:t>
            </w:r>
            <w:r>
              <w:rPr>
                <w:rFonts w:ascii="Times New Roman" w:eastAsia="Times New Roman" w:hAnsi="Times New Roman" w:cs="Times New Roman"/>
                <w:sz w:val="20"/>
                <w:szCs w:val="20"/>
                <w:lang w:eastAsia="sk-SK"/>
              </w:rPr>
              <w:t xml:space="preserve">z tabakových výrobkov, </w:t>
            </w:r>
            <w:r w:rsidRPr="002B3BFE">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tým aj</w:t>
            </w:r>
            <w:r w:rsidRPr="002B3BFE">
              <w:rPr>
                <w:rFonts w:ascii="Times New Roman" w:eastAsia="Times New Roman" w:hAnsi="Times New Roman" w:cs="Times New Roman"/>
                <w:sz w:val="20"/>
                <w:szCs w:val="20"/>
                <w:lang w:eastAsia="sk-SK"/>
              </w:rPr>
              <w:t xml:space="preserve"> predvídateľnosť daňovej legislatívy pre dotknuté podnikateľské prostredie</w:t>
            </w:r>
            <w:r>
              <w:rPr>
                <w:rFonts w:ascii="Times New Roman" w:eastAsia="Times New Roman" w:hAnsi="Times New Roman" w:cs="Times New Roman"/>
                <w:sz w:val="20"/>
                <w:szCs w:val="20"/>
                <w:lang w:eastAsia="sk-SK"/>
              </w:rPr>
              <w:t>,</w:t>
            </w:r>
            <w:r w:rsidRPr="002B3BF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ale aj</w:t>
            </w:r>
            <w:r>
              <w:rPr>
                <w:rFonts w:ascii="Times New Roman" w:eastAsia="Times New Roman" w:hAnsi="Times New Roman" w:cs="Times New Roman"/>
                <w:bCs/>
                <w:sz w:val="20"/>
                <w:szCs w:val="20"/>
                <w:lang w:eastAsia="sk-SK"/>
              </w:rPr>
              <w:t xml:space="preserve"> dosiahnuť ciele </w:t>
            </w:r>
            <w:r w:rsidRPr="002B3BFE">
              <w:rPr>
                <w:rFonts w:ascii="Times New Roman" w:eastAsia="Times New Roman" w:hAnsi="Times New Roman" w:cs="Times New Roman"/>
                <w:bCs/>
                <w:sz w:val="20"/>
                <w:szCs w:val="20"/>
                <w:lang w:eastAsia="sk-SK"/>
              </w:rPr>
              <w:t>v oblasti verejného zdravia</w:t>
            </w:r>
            <w:r>
              <w:rPr>
                <w:rFonts w:ascii="Times New Roman" w:eastAsia="Times New Roman" w:hAnsi="Times New Roman" w:cs="Times New Roman"/>
                <w:bCs/>
                <w:sz w:val="20"/>
                <w:szCs w:val="20"/>
                <w:lang w:eastAsia="sk-SK"/>
              </w:rPr>
              <w:t>.</w:t>
            </w:r>
          </w:p>
          <w:p w:rsidR="00A74FE9" w:rsidRPr="00FC5943" w:rsidRDefault="00A74FE9" w:rsidP="00A74FE9">
            <w:pPr>
              <w:jc w:val="both"/>
              <w:rPr>
                <w:rFonts w:ascii="Times New Roman" w:hAnsi="Times New Roman" w:cs="Times New Roman"/>
                <w:color w:val="000000" w:themeColor="text1"/>
                <w:sz w:val="20"/>
                <w:szCs w:val="20"/>
              </w:rPr>
            </w:pPr>
          </w:p>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dani z pridanej hodnoty</w:t>
            </w:r>
          </w:p>
          <w:p w:rsidR="00A74FE9" w:rsidRPr="00FC5943" w:rsidRDefault="00A74FE9" w:rsidP="00A74FE9">
            <w:pPr>
              <w:jc w:val="both"/>
              <w:rPr>
                <w:rFonts w:ascii="Times New Roman" w:hAnsi="Times New Roman" w:cs="Times New Roman"/>
                <w:sz w:val="20"/>
                <w:szCs w:val="20"/>
              </w:rPr>
            </w:pPr>
            <w:r w:rsidRPr="00FC5943">
              <w:rPr>
                <w:rFonts w:ascii="Times New Roman" w:hAnsi="Times New Roman" w:cs="Times New Roman"/>
                <w:sz w:val="20"/>
                <w:szCs w:val="20"/>
              </w:rPr>
              <w:t>Znížená sadzba dane vo výške 10 % zo základu dane na poskytovanie reštauračných a stravovacích služieb tak, ako sú vymedzené v článku 6 vykonávacieho nariadenia Rady (EÚ) č. 282/2011 z 15. marca 2011, ktorým sa ustanovujú vykonávacie opatrenia smernice 2006/112/ES o spoločnom systéme dane z pridanej hodnoty, zavedená od 1. januára 2023 vzhľadom na vtedajšiu negatívnu situáciu, sa vzťahuje aj na podávanie alkoholických nápojov.</w:t>
            </w:r>
          </w:p>
          <w:p w:rsidR="00A74FE9" w:rsidRPr="00FC5943" w:rsidRDefault="00A74FE9" w:rsidP="00A74FE9">
            <w:pPr>
              <w:jc w:val="both"/>
              <w:rPr>
                <w:rFonts w:ascii="Times New Roman" w:eastAsia="Times New Roman" w:hAnsi="Times New Roman" w:cs="Times New Roman"/>
                <w:i/>
                <w:sz w:val="20"/>
                <w:szCs w:val="20"/>
                <w:highlight w:val="yellow"/>
                <w:lang w:eastAsia="sk-SK"/>
              </w:rPr>
            </w:pPr>
          </w:p>
          <w:p w:rsidR="00A74FE9" w:rsidRDefault="00A74FE9" w:rsidP="00A74FE9">
            <w:pPr>
              <w:jc w:val="both"/>
              <w:rPr>
                <w:rFonts w:ascii="Times New Roman" w:hAnsi="Times New Roman"/>
                <w:b/>
                <w:sz w:val="20"/>
                <w:szCs w:val="20"/>
              </w:rPr>
            </w:pPr>
            <w:r w:rsidRPr="005F7F2F">
              <w:rPr>
                <w:rFonts w:ascii="Times New Roman" w:hAnsi="Times New Roman"/>
                <w:b/>
                <w:sz w:val="20"/>
                <w:szCs w:val="20"/>
              </w:rPr>
              <w:t>Zákon o spotrebnej dani z alkoholických nápojov</w:t>
            </w:r>
          </w:p>
          <w:p w:rsidR="00A74FE9" w:rsidRDefault="00A74FE9" w:rsidP="00A74FE9">
            <w:pPr>
              <w:jc w:val="both"/>
              <w:rPr>
                <w:rFonts w:ascii="Times New Roman" w:hAnsi="Times New Roman"/>
                <w:sz w:val="20"/>
                <w:szCs w:val="20"/>
              </w:rPr>
            </w:pPr>
            <w:r>
              <w:rPr>
                <w:rFonts w:ascii="Times New Roman" w:hAnsi="Times New Roman"/>
                <w:sz w:val="20"/>
                <w:szCs w:val="20"/>
              </w:rPr>
              <w:t>V rámci konsolidácie verejných financií sa navrhuje zvýšiť spotrebnú daň z alkoholického nápoja, ktorým je lieh.</w:t>
            </w:r>
          </w:p>
          <w:p w:rsidR="00A74FE9" w:rsidRDefault="00A74FE9" w:rsidP="00A74FE9">
            <w:pPr>
              <w:jc w:val="both"/>
              <w:rPr>
                <w:rFonts w:ascii="Times New Roman" w:hAnsi="Times New Roman"/>
                <w:sz w:val="20"/>
                <w:szCs w:val="20"/>
              </w:rPr>
            </w:pPr>
          </w:p>
          <w:p w:rsidR="00A74FE9" w:rsidRPr="00043BB2" w:rsidRDefault="00A74FE9" w:rsidP="00A74FE9">
            <w:pPr>
              <w:rPr>
                <w:rFonts w:ascii="Times New Roman" w:eastAsia="Times New Roman" w:hAnsi="Times New Roman" w:cs="Times New Roman"/>
                <w:b/>
                <w:sz w:val="20"/>
                <w:szCs w:val="20"/>
                <w:lang w:eastAsia="sk-SK"/>
              </w:rPr>
            </w:pPr>
            <w:r w:rsidRPr="001E0FD3">
              <w:rPr>
                <w:rFonts w:ascii="Times New Roman" w:eastAsia="Times New Roman" w:hAnsi="Times New Roman" w:cs="Times New Roman"/>
                <w:b/>
                <w:sz w:val="20"/>
                <w:szCs w:val="20"/>
                <w:lang w:eastAsia="sk-SK"/>
              </w:rPr>
              <w:t>Zákon o Rozhlase a televízii Slovenska</w:t>
            </w:r>
          </w:p>
          <w:p w:rsidR="00A74FE9" w:rsidRDefault="00A74FE9" w:rsidP="00A74FE9">
            <w:pPr>
              <w:rPr>
                <w:rFonts w:ascii="Times New Roman" w:eastAsia="Times New Roman" w:hAnsi="Times New Roman" w:cs="Times New Roman"/>
                <w:bCs/>
                <w:sz w:val="20"/>
                <w:szCs w:val="20"/>
                <w:lang w:eastAsia="sk-SK"/>
              </w:rPr>
            </w:pPr>
            <w:r w:rsidRPr="006624E2">
              <w:rPr>
                <w:rFonts w:ascii="Times New Roman" w:eastAsia="Times New Roman" w:hAnsi="Times New Roman" w:cs="Times New Roman"/>
                <w:bCs/>
                <w:sz w:val="20"/>
                <w:szCs w:val="20"/>
                <w:lang w:eastAsia="sk-SK"/>
              </w:rPr>
              <w:t xml:space="preserve">Nárokovateľný príspevok sa aktuálne </w:t>
            </w:r>
            <w:r>
              <w:rPr>
                <w:rFonts w:ascii="Times New Roman" w:eastAsia="Times New Roman" w:hAnsi="Times New Roman" w:cs="Times New Roman"/>
                <w:bCs/>
                <w:sz w:val="20"/>
                <w:szCs w:val="20"/>
                <w:lang w:eastAsia="sk-SK"/>
              </w:rPr>
              <w:t xml:space="preserve">v zmysle platnej legislatívy </w:t>
            </w:r>
            <w:r w:rsidRPr="006624E2">
              <w:rPr>
                <w:rFonts w:ascii="Times New Roman" w:eastAsia="Times New Roman" w:hAnsi="Times New Roman" w:cs="Times New Roman"/>
                <w:bCs/>
                <w:sz w:val="20"/>
                <w:szCs w:val="20"/>
                <w:lang w:eastAsia="sk-SK"/>
              </w:rPr>
              <w:t>poskytuje každoročne zo štátneho rozpočtu v sume rovnajúcej sa 0,17 % z hrubého domáceho produktu Slovenskej republiky vyjadreného v bežných cenách za kalendárny rok, ktorý dva roky predchádza kalendárnemu roku, na ktorý sa nárokovateľný príspevok poskytuje..</w:t>
            </w:r>
            <w:r>
              <w:rPr>
                <w:rFonts w:ascii="Times New Roman" w:eastAsia="Times New Roman" w:hAnsi="Times New Roman" w:cs="Times New Roman"/>
                <w:bCs/>
                <w:sz w:val="20"/>
                <w:szCs w:val="20"/>
                <w:lang w:eastAsia="sk-SK"/>
              </w:rPr>
              <w:t xml:space="preserve"> Navrhuje</w:t>
            </w:r>
            <w:r w:rsidRPr="006624E2">
              <w:rPr>
                <w:rFonts w:ascii="Times New Roman" w:eastAsia="Times New Roman" w:hAnsi="Times New Roman" w:cs="Times New Roman"/>
                <w:bCs/>
                <w:sz w:val="20"/>
                <w:szCs w:val="20"/>
                <w:lang w:eastAsia="sk-SK"/>
              </w:rPr>
              <w:t xml:space="preserve"> sa </w:t>
            </w:r>
            <w:r>
              <w:rPr>
                <w:rFonts w:ascii="Times New Roman" w:eastAsia="Times New Roman" w:hAnsi="Times New Roman" w:cs="Times New Roman"/>
                <w:bCs/>
                <w:sz w:val="20"/>
                <w:szCs w:val="20"/>
                <w:lang w:eastAsia="sk-SK"/>
              </w:rPr>
              <w:t>zníženie percentuálneho</w:t>
            </w:r>
            <w:r w:rsidRPr="006624E2">
              <w:rPr>
                <w:rFonts w:ascii="Times New Roman" w:eastAsia="Times New Roman" w:hAnsi="Times New Roman" w:cs="Times New Roman"/>
                <w:bCs/>
                <w:sz w:val="20"/>
                <w:szCs w:val="20"/>
                <w:lang w:eastAsia="sk-SK"/>
              </w:rPr>
              <w:t xml:space="preserve"> podiel</w:t>
            </w:r>
            <w:r>
              <w:rPr>
                <w:rFonts w:ascii="Times New Roman" w:eastAsia="Times New Roman" w:hAnsi="Times New Roman" w:cs="Times New Roman"/>
                <w:bCs/>
                <w:sz w:val="20"/>
                <w:szCs w:val="20"/>
                <w:lang w:eastAsia="sk-SK"/>
              </w:rPr>
              <w:t>u</w:t>
            </w:r>
            <w:r w:rsidRPr="006624E2">
              <w:rPr>
                <w:rFonts w:ascii="Times New Roman" w:eastAsia="Times New Roman" w:hAnsi="Times New Roman" w:cs="Times New Roman"/>
                <w:bCs/>
                <w:sz w:val="20"/>
                <w:szCs w:val="20"/>
                <w:lang w:eastAsia="sk-SK"/>
              </w:rPr>
              <w:t xml:space="preserve"> z 0,17 % HDP na 0,12 % HDP, čím by sa zabezpečila porovnateľná úroveň štandardných príjmov RTVS z predchádzajúcich rokov.</w:t>
            </w:r>
          </w:p>
          <w:p w:rsidR="00A74FE9" w:rsidRDefault="00A74FE9" w:rsidP="00A74FE9">
            <w:pPr>
              <w:rPr>
                <w:rFonts w:ascii="Times New Roman" w:eastAsia="Times New Roman" w:hAnsi="Times New Roman" w:cs="Times New Roman"/>
                <w:bCs/>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Zákon </w:t>
            </w:r>
            <w:r w:rsidRPr="000A4180">
              <w:rPr>
                <w:rFonts w:ascii="Times New Roman" w:eastAsia="Times New Roman" w:hAnsi="Times New Roman" w:cs="Times New Roman"/>
                <w:b/>
                <w:sz w:val="20"/>
                <w:szCs w:val="20"/>
                <w:lang w:eastAsia="sk-SK"/>
              </w:rPr>
              <w:t xml:space="preserve">o sociálnom poistení </w:t>
            </w:r>
          </w:p>
          <w:p w:rsidR="00A74FE9" w:rsidRPr="000A4180" w:rsidRDefault="00A74FE9" w:rsidP="00A74FE9">
            <w:pPr>
              <w:jc w:val="both"/>
              <w:rPr>
                <w:rFonts w:ascii="Times New Roman" w:eastAsia="Times New Roman" w:hAnsi="Times New Roman" w:cs="Times New Roman"/>
                <w:b/>
                <w:sz w:val="20"/>
                <w:szCs w:val="20"/>
                <w:lang w:eastAsia="sk-SK"/>
              </w:rPr>
            </w:pPr>
            <w:r w:rsidRPr="00493C7F">
              <w:rPr>
                <w:rFonts w:ascii="Times New Roman" w:hAnsi="Times New Roman" w:cs="Times New Roman"/>
                <w:bCs/>
                <w:sz w:val="20"/>
                <w:szCs w:val="20"/>
              </w:rPr>
              <w:t xml:space="preserve">V roku 2023 dosahuje sadzba povinných príspevkov na starobné dôchodkové sporenia úroveň 5,5 % z vymeriavacieho základu. Na základe súčasného právneho stavu sa zároveň sadzba povinných príspevkov do II. piliera má postupne zvyšovať a v roku 2027 mala dosiahnuť konečnú hodnotu 6 % z vymeriavacieho základu. </w:t>
            </w:r>
          </w:p>
          <w:p w:rsidR="00A74FE9" w:rsidRDefault="00A74FE9" w:rsidP="00A74FE9">
            <w:pPr>
              <w:jc w:val="both"/>
              <w:rPr>
                <w:rFonts w:ascii="Times New Roman" w:eastAsia="Times New Roman" w:hAnsi="Times New Roman" w:cs="Times New Roman"/>
                <w:b/>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Zákon o zdravotnom poistení</w:t>
            </w:r>
          </w:p>
          <w:p w:rsidR="00A74FE9" w:rsidRPr="009648DC" w:rsidRDefault="00A74FE9" w:rsidP="00A74FE9">
            <w:pPr>
              <w:jc w:val="both"/>
              <w:rPr>
                <w:rFonts w:ascii="Times New Roman" w:hAnsi="Times New Roman" w:cs="Times New Roman"/>
                <w:bCs/>
                <w:sz w:val="20"/>
                <w:szCs w:val="20"/>
              </w:rPr>
            </w:pPr>
            <w:r w:rsidRPr="009648DC">
              <w:rPr>
                <w:rFonts w:ascii="Times New Roman" w:hAnsi="Times New Roman" w:cs="Times New Roman"/>
                <w:bCs/>
                <w:sz w:val="20"/>
                <w:szCs w:val="20"/>
              </w:rPr>
              <w:t>Navrhuje sa zvýšiť sadzba poisteného pre</w:t>
            </w:r>
            <w:r>
              <w:rPr>
                <w:rFonts w:ascii="Times New Roman" w:hAnsi="Times New Roman" w:cs="Times New Roman"/>
                <w:bCs/>
                <w:sz w:val="20"/>
                <w:szCs w:val="20"/>
              </w:rPr>
              <w:t>:</w:t>
            </w:r>
            <w:r w:rsidRPr="009648DC">
              <w:rPr>
                <w:rFonts w:ascii="Times New Roman" w:hAnsi="Times New Roman" w:cs="Times New Roman"/>
                <w:bCs/>
                <w:sz w:val="20"/>
                <w:szCs w:val="20"/>
              </w:rPr>
              <w:t xml:space="preserve"> </w:t>
            </w:r>
          </w:p>
          <w:p w:rsidR="00A74FE9" w:rsidRPr="009648DC" w:rsidRDefault="00A74FE9" w:rsidP="00A74FE9">
            <w:pPr>
              <w:numPr>
                <w:ilvl w:val="0"/>
                <w:numId w:val="7"/>
              </w:numPr>
              <w:contextualSpacing/>
              <w:jc w:val="both"/>
              <w:rPr>
                <w:rFonts w:ascii="Times New Roman" w:hAnsi="Times New Roman" w:cs="Times New Roman"/>
                <w:bCs/>
                <w:sz w:val="20"/>
                <w:szCs w:val="20"/>
              </w:rPr>
            </w:pPr>
            <w:r w:rsidRPr="009648DC">
              <w:rPr>
                <w:rFonts w:ascii="Times New Roman" w:hAnsi="Times New Roman" w:cs="Times New Roman"/>
                <w:bCs/>
                <w:sz w:val="20"/>
                <w:szCs w:val="20"/>
              </w:rPr>
              <w:t>zamestnávateľa z 10% na 11%, ak zamestnávateľ zamestnáva osoby so zdravotným postihnutím, sadzba poistného sa upravuje z 5% na 5,5% z vymeriavacieho základu podľa § 13 ods. 1,</w:t>
            </w:r>
          </w:p>
          <w:p w:rsidR="00A74FE9" w:rsidRDefault="00A74FE9" w:rsidP="00A74FE9">
            <w:pPr>
              <w:numPr>
                <w:ilvl w:val="0"/>
                <w:numId w:val="7"/>
              </w:numPr>
              <w:contextualSpacing/>
              <w:jc w:val="both"/>
              <w:rPr>
                <w:rFonts w:ascii="Times New Roman" w:hAnsi="Times New Roman" w:cs="Times New Roman"/>
                <w:bCs/>
                <w:sz w:val="20"/>
                <w:szCs w:val="20"/>
              </w:rPr>
            </w:pPr>
            <w:r w:rsidRPr="009648DC">
              <w:rPr>
                <w:rFonts w:ascii="Times New Roman" w:hAnsi="Times New Roman" w:cs="Times New Roman"/>
                <w:bCs/>
                <w:sz w:val="20"/>
                <w:szCs w:val="20"/>
              </w:rPr>
              <w:t>samostatne zárobkovo činnú osobu z 14% na 15%, ak ide o samostatne zárobkovo činnú osobu so zdravotným postihnutím z 7% na 7,5% z vymeriavacieho základu,</w:t>
            </w:r>
          </w:p>
          <w:p w:rsidR="00A74FE9" w:rsidRDefault="00A74FE9" w:rsidP="00A74FE9">
            <w:pPr>
              <w:numPr>
                <w:ilvl w:val="0"/>
                <w:numId w:val="7"/>
              </w:numPr>
              <w:contextualSpacing/>
              <w:jc w:val="both"/>
              <w:rPr>
                <w:rFonts w:ascii="Times New Roman" w:hAnsi="Times New Roman" w:cs="Times New Roman"/>
                <w:bCs/>
                <w:sz w:val="20"/>
                <w:szCs w:val="20"/>
              </w:rPr>
            </w:pPr>
            <w:r w:rsidRPr="009648DC">
              <w:rPr>
                <w:rFonts w:ascii="Times New Roman" w:hAnsi="Times New Roman" w:cs="Times New Roman"/>
                <w:bCs/>
                <w:sz w:val="20"/>
                <w:szCs w:val="20"/>
              </w:rPr>
              <w:t>tzv. samoplatiteľa zo 14 % na 15 % z vymeriavacieho základu.</w:t>
            </w:r>
          </w:p>
          <w:p w:rsidR="00A74FE9" w:rsidRDefault="00A74FE9" w:rsidP="00A74FE9">
            <w:pPr>
              <w:contextualSpacing/>
              <w:jc w:val="both"/>
              <w:rPr>
                <w:rFonts w:ascii="Times New Roman" w:hAnsi="Times New Roman" w:cs="Times New Roman"/>
                <w:bCs/>
                <w:sz w:val="20"/>
                <w:szCs w:val="20"/>
              </w:rPr>
            </w:pPr>
          </w:p>
          <w:p w:rsidR="00A74FE9" w:rsidRPr="00F84228" w:rsidRDefault="00A74FE9" w:rsidP="00A74FE9">
            <w:pPr>
              <w:contextualSpacing/>
              <w:jc w:val="both"/>
              <w:rPr>
                <w:rFonts w:ascii="Times New Roman" w:hAnsi="Times New Roman" w:cs="Times New Roman"/>
                <w:b/>
                <w:bCs/>
                <w:sz w:val="20"/>
                <w:szCs w:val="20"/>
              </w:rPr>
            </w:pPr>
            <w:r>
              <w:rPr>
                <w:rFonts w:ascii="Times New Roman" w:hAnsi="Times New Roman" w:cs="Times New Roman"/>
                <w:b/>
                <w:bCs/>
                <w:sz w:val="20"/>
                <w:szCs w:val="20"/>
              </w:rPr>
              <w:t>Zákon o štátnych</w:t>
            </w:r>
            <w:r w:rsidRPr="00F84228">
              <w:rPr>
                <w:rFonts w:ascii="Times New Roman" w:hAnsi="Times New Roman" w:cs="Times New Roman"/>
                <w:b/>
                <w:bCs/>
                <w:sz w:val="20"/>
                <w:szCs w:val="20"/>
              </w:rPr>
              <w:t xml:space="preserve"> sviatk</w:t>
            </w:r>
            <w:r>
              <w:rPr>
                <w:rFonts w:ascii="Times New Roman" w:hAnsi="Times New Roman" w:cs="Times New Roman"/>
                <w:b/>
                <w:bCs/>
                <w:sz w:val="20"/>
                <w:szCs w:val="20"/>
              </w:rPr>
              <w:t>och</w:t>
            </w:r>
          </w:p>
          <w:p w:rsidR="00A74FE9" w:rsidRPr="00F84228" w:rsidRDefault="00A74FE9" w:rsidP="00A74FE9">
            <w:pPr>
              <w:jc w:val="both"/>
              <w:rPr>
                <w:rFonts w:ascii="Times New Roman" w:hAnsi="Times New Roman" w:cs="Times New Roman"/>
                <w:bCs/>
                <w:sz w:val="20"/>
                <w:szCs w:val="20"/>
              </w:rPr>
            </w:pPr>
            <w:r w:rsidRPr="00F84228">
              <w:rPr>
                <w:rFonts w:ascii="Times New Roman" w:hAnsi="Times New Roman" w:cs="Times New Roman"/>
                <w:bCs/>
                <w:sz w:val="20"/>
                <w:szCs w:val="20"/>
              </w:rPr>
              <w:t>Slovensko má najväčší počet dní pracovného pokoja v rámci Európskej únie. Na Slovensku je 15 dní pracovného pokoja okrem tých</w:t>
            </w:r>
            <w:r>
              <w:rPr>
                <w:rFonts w:ascii="Times New Roman" w:hAnsi="Times New Roman" w:cs="Times New Roman"/>
                <w:bCs/>
                <w:sz w:val="20"/>
                <w:szCs w:val="20"/>
              </w:rPr>
              <w:t>,</w:t>
            </w:r>
            <w:r w:rsidRPr="00F84228">
              <w:rPr>
                <w:rFonts w:ascii="Times New Roman" w:hAnsi="Times New Roman" w:cs="Times New Roman"/>
                <w:bCs/>
                <w:sz w:val="20"/>
                <w:szCs w:val="20"/>
              </w:rPr>
              <w:t xml:space="preserve"> ktoré pravidelne spadajú na nedeľu. Portugalsko, Španielsko, Švédsko a Chorvátsko majú 14 a </w:t>
            </w:r>
            <w:r>
              <w:rPr>
                <w:rFonts w:ascii="Times New Roman" w:hAnsi="Times New Roman" w:cs="Times New Roman"/>
                <w:bCs/>
                <w:sz w:val="20"/>
                <w:szCs w:val="20"/>
              </w:rPr>
              <w:t>o</w:t>
            </w:r>
            <w:r w:rsidRPr="00F84228">
              <w:rPr>
                <w:rFonts w:ascii="Times New Roman" w:hAnsi="Times New Roman" w:cs="Times New Roman"/>
                <w:bCs/>
                <w:sz w:val="20"/>
                <w:szCs w:val="20"/>
              </w:rPr>
              <w:t xml:space="preserve">statné krajiny ešte menej. Slovensko, podobne ako iné krajiny, čelia zlému demografickému vývoju a každoročne dochádza k poklesu počtu ľudí v práceschopnom veku. Preto </w:t>
            </w:r>
            <w:r>
              <w:rPr>
                <w:rFonts w:ascii="Times New Roman" w:hAnsi="Times New Roman" w:cs="Times New Roman"/>
                <w:bCs/>
                <w:sz w:val="20"/>
                <w:szCs w:val="20"/>
              </w:rPr>
              <w:t xml:space="preserve">sa </w:t>
            </w:r>
            <w:r w:rsidRPr="00F84228">
              <w:rPr>
                <w:rFonts w:ascii="Times New Roman" w:hAnsi="Times New Roman" w:cs="Times New Roman"/>
                <w:bCs/>
                <w:sz w:val="20"/>
                <w:szCs w:val="20"/>
              </w:rPr>
              <w:t>navrhuje znížiť počet sviatkov na úroveň okolitých krajín. Návrh predpokladá zrušenie 1.9. ako štátneho sviatku.</w:t>
            </w:r>
          </w:p>
          <w:p w:rsidR="00A74FE9" w:rsidRPr="009648DC" w:rsidRDefault="00A74FE9" w:rsidP="00A74FE9">
            <w:pPr>
              <w:contextualSpacing/>
              <w:jc w:val="both"/>
              <w:rPr>
                <w:rFonts w:ascii="Times New Roman" w:hAnsi="Times New Roman" w:cs="Times New Roman"/>
                <w:bCs/>
                <w:sz w:val="20"/>
                <w:szCs w:val="20"/>
              </w:rPr>
            </w:pPr>
          </w:p>
          <w:p w:rsidR="00A74FE9" w:rsidRPr="005F7F2F" w:rsidRDefault="00A74FE9" w:rsidP="00A74FE9">
            <w:pPr>
              <w:jc w:val="both"/>
              <w:rPr>
                <w:rFonts w:ascii="Times New Roman" w:eastAsia="Times New Roman" w:hAnsi="Times New Roman" w:cs="Times New Roman"/>
                <w:b/>
                <w:sz w:val="20"/>
                <w:szCs w:val="20"/>
                <w:lang w:eastAsia="sk-SK"/>
              </w:rPr>
            </w:pPr>
          </w:p>
        </w:tc>
      </w:tr>
      <w:tr w:rsidR="00A74FE9" w:rsidRPr="00612E08" w:rsidTr="00A74FE9">
        <w:tc>
          <w:tcPr>
            <w:tcW w:w="9180" w:type="dxa"/>
            <w:gridSpan w:val="11"/>
            <w:tcBorders>
              <w:top w:val="single" w:sz="4" w:space="0" w:color="auto"/>
              <w:left w:val="single" w:sz="4" w:space="0" w:color="auto"/>
              <w:bottom w:val="nil"/>
              <w:right w:val="single" w:sz="4" w:space="0" w:color="auto"/>
            </w:tcBorders>
            <w:shd w:val="clear" w:color="auto" w:fill="E2E2E2"/>
          </w:tcPr>
          <w:p w:rsidR="00A74FE9" w:rsidRPr="00FC5943" w:rsidRDefault="00A74FE9" w:rsidP="00A74FE9">
            <w:pPr>
              <w:numPr>
                <w:ilvl w:val="0"/>
                <w:numId w:val="1"/>
              </w:numPr>
              <w:ind w:left="426"/>
              <w:contextualSpacing/>
              <w:rPr>
                <w:rFonts w:ascii="Times New Roman" w:eastAsia="Calibri" w:hAnsi="Times New Roman" w:cs="Times New Roman"/>
                <w:b/>
              </w:rPr>
            </w:pPr>
            <w:r w:rsidRPr="00FC5943">
              <w:rPr>
                <w:rFonts w:ascii="Times New Roman" w:eastAsia="Calibri" w:hAnsi="Times New Roman" w:cs="Times New Roman"/>
                <w:b/>
              </w:rPr>
              <w:lastRenderedPageBreak/>
              <w:t>Ciele a výsledný stav</w:t>
            </w:r>
          </w:p>
        </w:tc>
      </w:tr>
      <w:tr w:rsidR="00A74FE9" w:rsidRPr="00612E08" w:rsidTr="00A74FE9">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súdnych a správnych poplatkoch</w:t>
            </w:r>
          </w:p>
          <w:p w:rsidR="00A74FE9" w:rsidRPr="00FC5943" w:rsidRDefault="00A74FE9" w:rsidP="00A74FE9">
            <w:pPr>
              <w:jc w:val="both"/>
              <w:rPr>
                <w:rFonts w:ascii="Times New Roman" w:hAnsi="Times New Roman" w:cs="Times New Roman"/>
                <w:sz w:val="20"/>
                <w:szCs w:val="20"/>
                <w:shd w:val="clear" w:color="auto" w:fill="FFFFFF"/>
              </w:rPr>
            </w:pPr>
            <w:r w:rsidRPr="00FC5943">
              <w:rPr>
                <w:rFonts w:ascii="Times New Roman" w:hAnsi="Times New Roman" w:cs="Times New Roman"/>
                <w:sz w:val="20"/>
                <w:szCs w:val="20"/>
                <w:shd w:val="clear" w:color="auto" w:fill="FFFFFF"/>
              </w:rPr>
              <w:t>Valorizácia sadzieb poplatkov, ktoré sú nastavené v sadzobníkoch pevnou sumou, t. j. nebude sa to týkať tzv. percentuálne určených sadzieb poplatkov, pri ktorých sa  výška automaticky mení od základu poplatku, ďalej poplatkov, pri ktorých nie je rozpočtový vplyv významný alebo došlo k zmene príslušnej časti sadzobníka v posledných rokoch. Nezasahuje sa do nárokov na úľavy a oslobodenia. Zároveň sa preferuje zaokrúhľovanie nových sadzieb poplatkov za účelom minimalizácie manipulácie s hotovosťou.</w:t>
            </w:r>
          </w:p>
          <w:p w:rsidR="00A74FE9" w:rsidRPr="00FC5943" w:rsidRDefault="00A74FE9" w:rsidP="00A74FE9">
            <w:pPr>
              <w:jc w:val="both"/>
              <w:rPr>
                <w:rFonts w:ascii="Times New Roman" w:eastAsia="Times New Roman" w:hAnsi="Times New Roman" w:cs="Times New Roman"/>
                <w:b/>
                <w:sz w:val="20"/>
                <w:szCs w:val="20"/>
                <w:highlight w:val="yellow"/>
                <w:lang w:eastAsia="sk-SK"/>
              </w:rPr>
            </w:pPr>
          </w:p>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stavebnom sporení</w:t>
            </w:r>
          </w:p>
          <w:p w:rsidR="00A74FE9" w:rsidRPr="00FC5943" w:rsidRDefault="00A74FE9" w:rsidP="00A74FE9">
            <w:pPr>
              <w:jc w:val="both"/>
              <w:rPr>
                <w:rFonts w:ascii="Times New Roman" w:hAnsi="Times New Roman" w:cs="Times New Roman"/>
                <w:sz w:val="20"/>
                <w:szCs w:val="20"/>
                <w:shd w:val="clear" w:color="auto" w:fill="FFFFFF"/>
              </w:rPr>
            </w:pPr>
            <w:r w:rsidRPr="00FC5943">
              <w:rPr>
                <w:rFonts w:ascii="Times New Roman" w:hAnsi="Times New Roman" w:cs="Times New Roman"/>
                <w:sz w:val="20"/>
                <w:szCs w:val="20"/>
                <w:shd w:val="clear" w:color="auto" w:fill="FFFFFF"/>
              </w:rPr>
              <w:t>Cieľom návrhu novely zákona o stavebnom sporení je vypustenie pojmu domácnosť, ktorú tvoria manžel, manželka a ich deti a s tým súvisiacich ustanovení tak, aby sa znegovali zvýšené nároky na štátny rozpočet.</w:t>
            </w:r>
          </w:p>
          <w:p w:rsidR="00A74FE9" w:rsidRPr="00FC5943" w:rsidRDefault="00A74FE9" w:rsidP="00A74FE9">
            <w:pPr>
              <w:jc w:val="both"/>
              <w:rPr>
                <w:rFonts w:ascii="Times New Roman" w:eastAsia="Times New Roman" w:hAnsi="Times New Roman" w:cs="Times New Roman"/>
                <w:b/>
                <w:sz w:val="20"/>
                <w:szCs w:val="20"/>
                <w:lang w:eastAsia="sk-SK"/>
              </w:rPr>
            </w:pPr>
          </w:p>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dani z príjmov</w:t>
            </w:r>
          </w:p>
          <w:p w:rsidR="00A74FE9" w:rsidRPr="00FC5943" w:rsidRDefault="00A74FE9" w:rsidP="00A74FE9">
            <w:pPr>
              <w:pStyle w:val="Odsekzoznamu"/>
              <w:numPr>
                <w:ilvl w:val="0"/>
                <w:numId w:val="6"/>
              </w:numPr>
              <w:jc w:val="both"/>
              <w:rPr>
                <w:rFonts w:ascii="Times New Roman" w:hAnsi="Times New Roman"/>
                <w:color w:val="000000" w:themeColor="text1"/>
                <w:sz w:val="20"/>
                <w:szCs w:val="20"/>
                <w:u w:val="single"/>
              </w:rPr>
            </w:pPr>
            <w:r w:rsidRPr="00FC5943">
              <w:rPr>
                <w:rFonts w:ascii="Times New Roman" w:hAnsi="Times New Roman"/>
                <w:color w:val="000000" w:themeColor="text1"/>
                <w:sz w:val="20"/>
                <w:szCs w:val="20"/>
                <w:u w:val="single"/>
              </w:rPr>
              <w:t>Zrážková daň z dividend</w:t>
            </w:r>
          </w:p>
          <w:p w:rsidR="00A74FE9" w:rsidRPr="00FC5943" w:rsidRDefault="00A74FE9" w:rsidP="00A74FE9">
            <w:pPr>
              <w:jc w:val="both"/>
              <w:rPr>
                <w:rFonts w:ascii="Times New Roman" w:hAnsi="Times New Roman" w:cs="Times New Roman"/>
                <w:color w:val="000000" w:themeColor="text1"/>
                <w:sz w:val="20"/>
                <w:szCs w:val="20"/>
              </w:rPr>
            </w:pPr>
            <w:r w:rsidRPr="00FC5943">
              <w:rPr>
                <w:rFonts w:ascii="Times New Roman" w:hAnsi="Times New Roman" w:cs="Times New Roman"/>
                <w:color w:val="000000" w:themeColor="text1"/>
                <w:sz w:val="20"/>
                <w:szCs w:val="20"/>
              </w:rPr>
              <w:t xml:space="preserve">Z dôvodu konsolidácie verejných financií sa s účinnosťou od 1. 1. 2024 navrhuje zvýšenie sadzby pre podiely na zisku vyplácané fyzickým osobám zo sadzby dane 7 % na 10 % (obdobne aj pre vyrovnacie podiely, likvidačné zostatky a podiel na zisku vyplácaný tichému spoločníkovi). Predmetné zvýšenie bude uplatňované už pri podieloch na zisku vykázaných z hospodárskeho výsledku vyčísleného za zdaňovacie obdobie, ktoré začína najskôr 1. 1. 2023. </w:t>
            </w:r>
          </w:p>
          <w:p w:rsidR="00A74FE9" w:rsidRPr="00FC5943" w:rsidRDefault="00A74FE9" w:rsidP="00A74FE9">
            <w:pPr>
              <w:jc w:val="both"/>
              <w:rPr>
                <w:rFonts w:ascii="Times New Roman" w:hAnsi="Times New Roman" w:cs="Times New Roman"/>
                <w:color w:val="000000" w:themeColor="text1"/>
                <w:sz w:val="20"/>
                <w:szCs w:val="20"/>
              </w:rPr>
            </w:pPr>
          </w:p>
          <w:p w:rsidR="00A74FE9" w:rsidRPr="00FC5943" w:rsidRDefault="00A74FE9" w:rsidP="00A74FE9">
            <w:pPr>
              <w:pStyle w:val="Odsekzoznamu"/>
              <w:numPr>
                <w:ilvl w:val="0"/>
                <w:numId w:val="6"/>
              </w:numPr>
              <w:jc w:val="both"/>
              <w:rPr>
                <w:rFonts w:ascii="Times New Roman" w:hAnsi="Times New Roman"/>
                <w:sz w:val="20"/>
                <w:szCs w:val="20"/>
                <w:u w:val="single"/>
              </w:rPr>
            </w:pPr>
            <w:r w:rsidRPr="00FC5943">
              <w:rPr>
                <w:rFonts w:ascii="Times New Roman" w:hAnsi="Times New Roman"/>
                <w:color w:val="000000" w:themeColor="text1"/>
                <w:sz w:val="20"/>
                <w:szCs w:val="20"/>
                <w:u w:val="single"/>
              </w:rPr>
              <w:t>Kapitálové príjmy fyzických osôb</w:t>
            </w:r>
          </w:p>
          <w:p w:rsidR="00A74FE9" w:rsidRPr="00FC5943" w:rsidRDefault="00A74FE9" w:rsidP="00A74FE9">
            <w:pPr>
              <w:tabs>
                <w:tab w:val="left" w:pos="426"/>
              </w:tabs>
              <w:jc w:val="both"/>
              <w:rPr>
                <w:rFonts w:ascii="Times New Roman" w:hAnsi="Times New Roman" w:cs="Times New Roman"/>
                <w:sz w:val="20"/>
                <w:szCs w:val="20"/>
              </w:rPr>
            </w:pPr>
            <w:r w:rsidRPr="00FC5943">
              <w:rPr>
                <w:rFonts w:ascii="Times New Roman" w:hAnsi="Times New Roman" w:cs="Times New Roman"/>
                <w:sz w:val="20"/>
                <w:szCs w:val="20"/>
              </w:rPr>
              <w:t xml:space="preserve">Zrušiť: </w:t>
            </w:r>
          </w:p>
          <w:p w:rsidR="00A74FE9" w:rsidRPr="00FC5943" w:rsidRDefault="00A74FE9" w:rsidP="00A74FE9">
            <w:pPr>
              <w:pStyle w:val="Odsekzoznamu"/>
              <w:numPr>
                <w:ilvl w:val="0"/>
                <w:numId w:val="4"/>
              </w:numPr>
              <w:tabs>
                <w:tab w:val="left" w:pos="426"/>
              </w:tabs>
              <w:jc w:val="both"/>
              <w:rPr>
                <w:rFonts w:ascii="Times New Roman" w:hAnsi="Times New Roman"/>
                <w:sz w:val="20"/>
                <w:szCs w:val="20"/>
              </w:rPr>
            </w:pPr>
            <w:r w:rsidRPr="00FC5943">
              <w:rPr>
                <w:rFonts w:ascii="Times New Roman" w:hAnsi="Times New Roman"/>
                <w:sz w:val="20"/>
                <w:szCs w:val="20"/>
              </w:rPr>
              <w:t xml:space="preserve"> výnimku spočívajúcu v oslobodení príjmov z výmeny virtuálnej meny za majetok alebo službu vo výške 2</w:t>
            </w:r>
            <w:r>
              <w:rPr>
                <w:rFonts w:ascii="Times New Roman" w:hAnsi="Times New Roman"/>
                <w:sz w:val="20"/>
                <w:szCs w:val="20"/>
              </w:rPr>
              <w:t> </w:t>
            </w:r>
            <w:r w:rsidRPr="00FC5943">
              <w:rPr>
                <w:rFonts w:ascii="Times New Roman" w:hAnsi="Times New Roman"/>
                <w:sz w:val="20"/>
                <w:szCs w:val="20"/>
              </w:rPr>
              <w:t>400 eur</w:t>
            </w:r>
            <w:r>
              <w:rPr>
                <w:rFonts w:ascii="Times New Roman" w:hAnsi="Times New Roman"/>
                <w:sz w:val="20"/>
                <w:szCs w:val="20"/>
              </w:rPr>
              <w:t>,</w:t>
            </w:r>
            <w:r w:rsidRPr="00FC5943">
              <w:rPr>
                <w:rFonts w:ascii="Times New Roman" w:hAnsi="Times New Roman"/>
                <w:sz w:val="20"/>
                <w:szCs w:val="20"/>
              </w:rPr>
              <w:t xml:space="preserve"> </w:t>
            </w:r>
          </w:p>
          <w:p w:rsidR="00A74FE9" w:rsidRPr="00FC5943" w:rsidRDefault="00A74FE9" w:rsidP="00A74FE9">
            <w:pPr>
              <w:pStyle w:val="Odsekzoznamu"/>
              <w:numPr>
                <w:ilvl w:val="0"/>
                <w:numId w:val="4"/>
              </w:numPr>
              <w:tabs>
                <w:tab w:val="left" w:pos="426"/>
              </w:tabs>
              <w:jc w:val="both"/>
              <w:rPr>
                <w:rFonts w:ascii="Times New Roman" w:hAnsi="Times New Roman"/>
                <w:sz w:val="20"/>
                <w:szCs w:val="20"/>
              </w:rPr>
            </w:pPr>
            <w:r w:rsidRPr="00FC5943">
              <w:rPr>
                <w:rFonts w:ascii="Times New Roman" w:hAnsi="Times New Roman"/>
                <w:sz w:val="20"/>
                <w:szCs w:val="20"/>
              </w:rPr>
              <w:t xml:space="preserve"> časový test pre uplatnenie nižšieho zdanenia príjmov z predaja virtuálnej meny po uplynutí 1 roka,</w:t>
            </w:r>
          </w:p>
          <w:p w:rsidR="00A74FE9" w:rsidRPr="00FC5943" w:rsidRDefault="00A74FE9" w:rsidP="00A74FE9">
            <w:pPr>
              <w:pStyle w:val="Odsekzoznamu"/>
              <w:numPr>
                <w:ilvl w:val="0"/>
                <w:numId w:val="4"/>
              </w:numPr>
              <w:tabs>
                <w:tab w:val="left" w:pos="426"/>
              </w:tabs>
              <w:jc w:val="both"/>
              <w:rPr>
                <w:rFonts w:ascii="Times New Roman" w:hAnsi="Times New Roman"/>
                <w:sz w:val="20"/>
                <w:szCs w:val="20"/>
              </w:rPr>
            </w:pPr>
            <w:r w:rsidRPr="00FC5943">
              <w:rPr>
                <w:rFonts w:ascii="Times New Roman" w:hAnsi="Times New Roman"/>
                <w:sz w:val="20"/>
                <w:szCs w:val="20"/>
              </w:rPr>
              <w:t xml:space="preserve"> výnimku spočívajúcu v oslobodení príjmov z vrátenia podielových listov po uplynutí 3 rokov,</w:t>
            </w:r>
          </w:p>
          <w:p w:rsidR="00A74FE9" w:rsidRPr="00FC5943" w:rsidRDefault="00A74FE9" w:rsidP="00A74FE9">
            <w:pPr>
              <w:tabs>
                <w:tab w:val="left" w:pos="426"/>
              </w:tabs>
              <w:jc w:val="both"/>
              <w:rPr>
                <w:rFonts w:ascii="Times New Roman" w:hAnsi="Times New Roman" w:cs="Times New Roman"/>
                <w:sz w:val="20"/>
                <w:szCs w:val="20"/>
              </w:rPr>
            </w:pPr>
            <w:r w:rsidRPr="00FC5943">
              <w:rPr>
                <w:rFonts w:ascii="Times New Roman" w:hAnsi="Times New Roman" w:cs="Times New Roman"/>
                <w:sz w:val="20"/>
                <w:szCs w:val="20"/>
              </w:rPr>
              <w:t>Navrhované úpravy rušia opatrenia, ktoré bol</w:t>
            </w:r>
            <w:r>
              <w:rPr>
                <w:rFonts w:ascii="Times New Roman" w:hAnsi="Times New Roman" w:cs="Times New Roman"/>
                <w:sz w:val="20"/>
                <w:szCs w:val="20"/>
              </w:rPr>
              <w:t>i schválené</w:t>
            </w:r>
            <w:r w:rsidRPr="00FC5943">
              <w:rPr>
                <w:rFonts w:ascii="Times New Roman" w:hAnsi="Times New Roman" w:cs="Times New Roman"/>
                <w:sz w:val="20"/>
                <w:szCs w:val="20"/>
              </w:rPr>
              <w:t xml:space="preserve"> zákonom č. 315/2023 Z. z., ktorý mal nadobudnúť účinnosť 1. januára 2024. </w:t>
            </w:r>
          </w:p>
          <w:p w:rsidR="00A74FE9" w:rsidRPr="00FC5943" w:rsidRDefault="00A74FE9" w:rsidP="00A74FE9">
            <w:pPr>
              <w:jc w:val="both"/>
              <w:rPr>
                <w:rFonts w:ascii="Times New Roman" w:hAnsi="Times New Roman" w:cs="Times New Roman"/>
                <w:color w:val="000000" w:themeColor="text1"/>
                <w:sz w:val="20"/>
                <w:szCs w:val="20"/>
                <w:u w:val="single"/>
              </w:rPr>
            </w:pPr>
          </w:p>
          <w:p w:rsidR="00A74FE9" w:rsidRPr="00FC5943" w:rsidRDefault="00A74FE9" w:rsidP="00A74FE9">
            <w:pPr>
              <w:pStyle w:val="Odsekzoznamu"/>
              <w:numPr>
                <w:ilvl w:val="0"/>
                <w:numId w:val="6"/>
              </w:numPr>
              <w:jc w:val="both"/>
              <w:rPr>
                <w:rFonts w:ascii="Times New Roman" w:hAnsi="Times New Roman"/>
                <w:color w:val="000000" w:themeColor="text1"/>
                <w:sz w:val="20"/>
                <w:szCs w:val="20"/>
                <w:u w:val="single"/>
              </w:rPr>
            </w:pPr>
            <w:r w:rsidRPr="00FC5943">
              <w:rPr>
                <w:rFonts w:ascii="Times New Roman" w:hAnsi="Times New Roman"/>
                <w:color w:val="000000" w:themeColor="text1"/>
                <w:sz w:val="20"/>
                <w:szCs w:val="20"/>
                <w:u w:val="single"/>
              </w:rPr>
              <w:t>Minimálna daň pre právnické osoby</w:t>
            </w:r>
          </w:p>
          <w:p w:rsidR="00A74FE9" w:rsidRPr="00FC5943" w:rsidRDefault="00A74FE9" w:rsidP="00A74FE9">
            <w:pPr>
              <w:jc w:val="both"/>
              <w:rPr>
                <w:rFonts w:ascii="Times New Roman" w:hAnsi="Times New Roman" w:cs="Times New Roman"/>
                <w:color w:val="000000" w:themeColor="text1"/>
                <w:sz w:val="20"/>
                <w:szCs w:val="20"/>
              </w:rPr>
            </w:pPr>
            <w:r w:rsidRPr="00FC5943">
              <w:rPr>
                <w:rFonts w:ascii="Times New Roman" w:hAnsi="Times New Roman" w:cs="Times New Roman"/>
                <w:color w:val="000000" w:themeColor="text1"/>
                <w:sz w:val="20"/>
                <w:szCs w:val="20"/>
              </w:rPr>
              <w:t>Cieľom je zvýšenie príjmov štátneho rozpočtu a boj proti daňovej optimalizácií firiem. Daňová licencia tak pomáha zmierňovať nedostatky daňového systému v podobe chýbajúcej daňovej kontroly finančnej správy. Minimálnu daň platí daňovník, ktorého daňová povinnosť vypočítaná v daňovom priznaní je nižšia ako ustanovená výška minimálnej dane pre daňovníka – právnickú osobu, t. j. tento daňovník minimálnu daň platí aj v prípade vykázania daňovej straty. Ustanovená sadzba minimálnej dane sa znižuje na polovicu, ak ide o daňovníka, ktorý zamestnáva pracovníkov so zdravotným postihnutím. Minimálna daň je splatná v rovnakej lehote ako daňová povinnosť, t. j. v lehote na podanie daňového priznania. Súčasne sa ustanovuje možnosť zápočtu zaplatenej minimálnej dane (resp. kladného rozdielu medzi minimálnou daňou a daňou vypočítanou v daňovom priznaní) v troch bezprostredne po sebe nasledujúcich zdaňovacích obdobiach, ale len vo výške, ktorá presahuje minimálnu daň. V ustanovení sú navrhnuté aj situácie, kedy sa minimálna daň neplatí.</w:t>
            </w:r>
          </w:p>
          <w:p w:rsidR="00A74FE9" w:rsidRPr="00FC5943" w:rsidRDefault="00A74FE9" w:rsidP="00A74FE9">
            <w:pPr>
              <w:jc w:val="both"/>
              <w:rPr>
                <w:rFonts w:ascii="Times New Roman" w:hAnsi="Times New Roman" w:cs="Times New Roman"/>
                <w:color w:val="000000" w:themeColor="text1"/>
                <w:sz w:val="20"/>
                <w:szCs w:val="20"/>
                <w:u w:val="single"/>
              </w:rPr>
            </w:pPr>
          </w:p>
          <w:p w:rsidR="00A74FE9" w:rsidRPr="00FC5943" w:rsidRDefault="00A74FE9" w:rsidP="00A74FE9">
            <w:pPr>
              <w:pStyle w:val="Odsekzoznamu"/>
              <w:numPr>
                <w:ilvl w:val="0"/>
                <w:numId w:val="6"/>
              </w:numPr>
              <w:jc w:val="both"/>
              <w:rPr>
                <w:rFonts w:ascii="Times New Roman" w:hAnsi="Times New Roman"/>
                <w:sz w:val="20"/>
                <w:szCs w:val="20"/>
                <w:u w:val="single"/>
                <w:lang w:eastAsia="sk-SK"/>
              </w:rPr>
            </w:pPr>
            <w:r w:rsidRPr="00FC5943">
              <w:rPr>
                <w:rFonts w:ascii="Times New Roman" w:hAnsi="Times New Roman"/>
                <w:sz w:val="20"/>
                <w:szCs w:val="20"/>
                <w:u w:val="single"/>
                <w:lang w:eastAsia="sk-SK"/>
              </w:rPr>
              <w:t>Zvýšenie hranice pre použitie sadzby dane 15 % a súčasne pre využitie statusu mikrodaňovníka</w:t>
            </w:r>
          </w:p>
          <w:p w:rsidR="00A74FE9" w:rsidRDefault="00A74FE9" w:rsidP="00A74FE9">
            <w:pPr>
              <w:jc w:val="both"/>
              <w:rPr>
                <w:rFonts w:ascii="Times New Roman" w:eastAsia="Times New Roman" w:hAnsi="Times New Roman" w:cs="Times New Roman"/>
                <w:sz w:val="20"/>
                <w:szCs w:val="20"/>
                <w:lang w:eastAsia="sk-SK"/>
              </w:rPr>
            </w:pPr>
            <w:r w:rsidRPr="00FC5943">
              <w:rPr>
                <w:rFonts w:ascii="Times New Roman" w:eastAsia="Times New Roman" w:hAnsi="Times New Roman" w:cs="Times New Roman"/>
                <w:sz w:val="20"/>
                <w:szCs w:val="20"/>
                <w:lang w:eastAsia="sk-SK"/>
              </w:rPr>
              <w:t>Cieľom je zvýšenie hranice výšky zdaniteľných príjmov</w:t>
            </w:r>
            <w:r>
              <w:rPr>
                <w:rFonts w:ascii="Times New Roman" w:eastAsia="Times New Roman" w:hAnsi="Times New Roman" w:cs="Times New Roman"/>
                <w:sz w:val="20"/>
                <w:szCs w:val="20"/>
                <w:lang w:eastAsia="sk-SK"/>
              </w:rPr>
              <w:t>, ktorá je</w:t>
            </w:r>
            <w:r w:rsidRPr="00FC5943">
              <w:rPr>
                <w:rFonts w:ascii="Times New Roman" w:eastAsia="Times New Roman" w:hAnsi="Times New Roman" w:cs="Times New Roman"/>
                <w:sz w:val="20"/>
                <w:szCs w:val="20"/>
                <w:lang w:eastAsia="sk-SK"/>
              </w:rPr>
              <w:t xml:space="preserve"> rozhodná pre zníženej sadzby dane z príjmov 15 % </w:t>
            </w:r>
            <w:r>
              <w:rPr>
                <w:rFonts w:ascii="Times New Roman" w:eastAsia="Times New Roman" w:hAnsi="Times New Roman" w:cs="Times New Roman"/>
                <w:sz w:val="20"/>
                <w:szCs w:val="20"/>
                <w:lang w:eastAsia="sk-SK"/>
              </w:rPr>
              <w:t xml:space="preserve"> a to tak, že </w:t>
            </w:r>
            <w:r w:rsidRPr="00FC5943">
              <w:rPr>
                <w:rFonts w:ascii="Times New Roman" w:eastAsia="Times New Roman" w:hAnsi="Times New Roman" w:cs="Times New Roman"/>
                <w:sz w:val="20"/>
                <w:szCs w:val="20"/>
                <w:lang w:eastAsia="sk-SK"/>
              </w:rPr>
              <w:t>sa zvyšuje z úrovne 49 790 eur na pevne stanovenú sumu 60 000 eur. Táto hranica sa použije rovnako pre použitie statusu mikrodaňovníka, ktorý požíva niektoré daňové výhody spoj</w:t>
            </w:r>
            <w:r>
              <w:rPr>
                <w:rFonts w:ascii="Times New Roman" w:eastAsia="Times New Roman" w:hAnsi="Times New Roman" w:cs="Times New Roman"/>
                <w:sz w:val="20"/>
                <w:szCs w:val="20"/>
                <w:lang w:eastAsia="sk-SK"/>
              </w:rPr>
              <w:t>ené so zisťovaním základu dane.</w:t>
            </w:r>
          </w:p>
          <w:p w:rsidR="00A74FE9" w:rsidRPr="00FC5943" w:rsidRDefault="00A74FE9" w:rsidP="00A74FE9">
            <w:pPr>
              <w:jc w:val="both"/>
              <w:rPr>
                <w:rFonts w:ascii="Times New Roman" w:hAnsi="Times New Roman" w:cs="Times New Roman"/>
                <w:color w:val="000000" w:themeColor="text1"/>
                <w:sz w:val="20"/>
                <w:szCs w:val="20"/>
                <w:u w:val="single"/>
              </w:rPr>
            </w:pPr>
            <w:r w:rsidRPr="00FC5943">
              <w:rPr>
                <w:rFonts w:ascii="Times New Roman" w:eastAsia="Times New Roman" w:hAnsi="Times New Roman" w:cs="Times New Roman"/>
                <w:sz w:val="20"/>
                <w:szCs w:val="20"/>
                <w:lang w:eastAsia="sk-SK"/>
              </w:rPr>
              <w:t xml:space="preserve"> </w:t>
            </w:r>
          </w:p>
          <w:p w:rsidR="00A74FE9" w:rsidRPr="00C04CD9" w:rsidRDefault="00A74FE9" w:rsidP="00A74FE9">
            <w:pPr>
              <w:jc w:val="both"/>
              <w:rPr>
                <w:rFonts w:ascii="Times New Roman" w:eastAsia="Times New Roman" w:hAnsi="Times New Roman" w:cs="Times New Roman"/>
                <w:b/>
                <w:sz w:val="20"/>
                <w:szCs w:val="20"/>
                <w:lang w:eastAsia="sk-SK"/>
              </w:rPr>
            </w:pPr>
            <w:r w:rsidRPr="00C04CD9">
              <w:rPr>
                <w:rFonts w:ascii="Times New Roman" w:eastAsia="Times New Roman" w:hAnsi="Times New Roman" w:cs="Times New Roman"/>
                <w:b/>
                <w:sz w:val="20"/>
                <w:szCs w:val="20"/>
                <w:lang w:eastAsia="sk-SK"/>
              </w:rPr>
              <w:t>Zákon o spotrebnej dani z tabakových výrobkov</w:t>
            </w:r>
          </w:p>
          <w:p w:rsidR="00A74FE9" w:rsidRDefault="00A74FE9" w:rsidP="00A74FE9">
            <w:pPr>
              <w:jc w:val="both"/>
              <w:rPr>
                <w:rFonts w:ascii="Times New Roman" w:eastAsia="Times New Roman" w:hAnsi="Times New Roman" w:cs="Times New Roman"/>
                <w:sz w:val="20"/>
                <w:szCs w:val="20"/>
                <w:lang w:eastAsia="sk-SK"/>
              </w:rPr>
            </w:pPr>
            <w:r w:rsidRPr="00515BDC">
              <w:rPr>
                <w:rFonts w:ascii="Times New Roman" w:eastAsia="Times New Roman" w:hAnsi="Times New Roman" w:cs="Times New Roman"/>
                <w:sz w:val="20"/>
                <w:szCs w:val="20"/>
                <w:lang w:eastAsia="sk-SK"/>
              </w:rPr>
              <w:t>Cieľom zvýšenia sadz</w:t>
            </w:r>
            <w:r>
              <w:rPr>
                <w:rFonts w:ascii="Times New Roman" w:eastAsia="Times New Roman" w:hAnsi="Times New Roman" w:cs="Times New Roman"/>
                <w:sz w:val="20"/>
                <w:szCs w:val="20"/>
                <w:lang w:eastAsia="sk-SK"/>
              </w:rPr>
              <w:t xml:space="preserve">ieb </w:t>
            </w:r>
            <w:r w:rsidRPr="00515BDC">
              <w:rPr>
                <w:rFonts w:ascii="Times New Roman" w:eastAsia="Times New Roman" w:hAnsi="Times New Roman" w:cs="Times New Roman"/>
                <w:sz w:val="20"/>
                <w:szCs w:val="20"/>
                <w:lang w:eastAsia="sk-SK"/>
              </w:rPr>
              <w:t>spotrebnej dane z tabakových výrobkov je stabilizovať daň</w:t>
            </w:r>
            <w:r>
              <w:rPr>
                <w:rFonts w:ascii="Times New Roman" w:eastAsia="Times New Roman" w:hAnsi="Times New Roman" w:cs="Times New Roman"/>
                <w:sz w:val="20"/>
                <w:szCs w:val="20"/>
                <w:lang w:eastAsia="sk-SK"/>
              </w:rPr>
              <w:t>ové príjmy</w:t>
            </w:r>
            <w:r w:rsidRPr="00515BDC">
              <w:rPr>
                <w:rFonts w:ascii="Times New Roman" w:eastAsia="Times New Roman" w:hAnsi="Times New Roman" w:cs="Times New Roman"/>
                <w:sz w:val="20"/>
                <w:szCs w:val="20"/>
                <w:lang w:eastAsia="sk-SK"/>
              </w:rPr>
              <w:t>, zabrániť ich poklesu a zároveň</w:t>
            </w:r>
            <w:r>
              <w:rPr>
                <w:rFonts w:ascii="Times New Roman" w:eastAsia="Times New Roman" w:hAnsi="Times New Roman" w:cs="Times New Roman"/>
                <w:sz w:val="20"/>
                <w:szCs w:val="20"/>
                <w:lang w:eastAsia="sk-SK"/>
              </w:rPr>
              <w:t xml:space="preserve"> dosiahnuť </w:t>
            </w:r>
            <w:r w:rsidRPr="00515BDC">
              <w:rPr>
                <w:rFonts w:ascii="Times New Roman" w:eastAsia="Times New Roman" w:hAnsi="Times New Roman" w:cs="Times New Roman"/>
                <w:sz w:val="20"/>
                <w:szCs w:val="20"/>
                <w:lang w:eastAsia="sk-SK"/>
              </w:rPr>
              <w:t>rovnováhu aj s cieľmi v oblasti ochrany zdravia obyvateľov, a to s vopred preddefinovaným zvyšovaním sadzieb dane na strednodobý časový horizont, čím sa vytvorí efektívny nástroj predvídateľnosti podnikateľského prostredia a zabezpečenia daňových príjmov.</w:t>
            </w:r>
            <w:r w:rsidRPr="00D262A0">
              <w:rPr>
                <w:rFonts w:ascii="Times New Roman" w:eastAsia="Times New Roman" w:hAnsi="Times New Roman" w:cs="Times New Roman"/>
                <w:sz w:val="24"/>
                <w:szCs w:val="24"/>
              </w:rPr>
              <w:t xml:space="preserve"> </w:t>
            </w:r>
            <w:r w:rsidRPr="00D262A0">
              <w:rPr>
                <w:rFonts w:ascii="Times New Roman" w:eastAsia="Times New Roman" w:hAnsi="Times New Roman" w:cs="Times New Roman"/>
                <w:sz w:val="20"/>
                <w:szCs w:val="20"/>
                <w:lang w:eastAsia="sk-SK"/>
              </w:rPr>
              <w:t>Pokračovan</w:t>
            </w:r>
            <w:r>
              <w:rPr>
                <w:rFonts w:ascii="Times New Roman" w:eastAsia="Times New Roman" w:hAnsi="Times New Roman" w:cs="Times New Roman"/>
                <w:sz w:val="20"/>
                <w:szCs w:val="20"/>
                <w:lang w:eastAsia="sk-SK"/>
              </w:rPr>
              <w:t>ie</w:t>
            </w:r>
            <w:r w:rsidRPr="00D262A0">
              <w:rPr>
                <w:rFonts w:ascii="Times New Roman" w:eastAsia="Times New Roman" w:hAnsi="Times New Roman" w:cs="Times New Roman"/>
                <w:sz w:val="20"/>
                <w:szCs w:val="20"/>
                <w:lang w:eastAsia="sk-SK"/>
              </w:rPr>
              <w:t xml:space="preserve"> v daňovom kalendári,</w:t>
            </w:r>
            <w:r>
              <w:rPr>
                <w:rFonts w:ascii="Times New Roman" w:eastAsia="Times New Roman" w:hAnsi="Times New Roman" w:cs="Times New Roman"/>
                <w:sz w:val="20"/>
                <w:szCs w:val="20"/>
                <w:lang w:eastAsia="sk-SK"/>
              </w:rPr>
              <w:t xml:space="preserve"> pokiaľ ide o sadzby spotrebnej dane</w:t>
            </w:r>
            <w:r w:rsidRPr="00D262A0">
              <w:rPr>
                <w:rFonts w:ascii="Times New Roman" w:eastAsia="Times New Roman" w:hAnsi="Times New Roman" w:cs="Times New Roman"/>
                <w:sz w:val="20"/>
                <w:szCs w:val="20"/>
                <w:lang w:eastAsia="sk-SK"/>
              </w:rPr>
              <w:t xml:space="preserve"> z tabakových výrobkov, </w:t>
            </w:r>
            <w:r>
              <w:rPr>
                <w:rFonts w:ascii="Times New Roman" w:eastAsia="Times New Roman" w:hAnsi="Times New Roman" w:cs="Times New Roman"/>
                <w:sz w:val="20"/>
                <w:szCs w:val="20"/>
                <w:lang w:eastAsia="sk-SK"/>
              </w:rPr>
              <w:t>z</w:t>
            </w:r>
            <w:r w:rsidRPr="00D262A0">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bezpečí pre dotknuté </w:t>
            </w:r>
            <w:r w:rsidRPr="00D262A0">
              <w:rPr>
                <w:rFonts w:ascii="Times New Roman" w:eastAsia="Times New Roman" w:hAnsi="Times New Roman" w:cs="Times New Roman"/>
                <w:sz w:val="20"/>
                <w:szCs w:val="20"/>
                <w:lang w:eastAsia="sk-SK"/>
              </w:rPr>
              <w:t>daňové subjekty p</w:t>
            </w:r>
            <w:r>
              <w:rPr>
                <w:rFonts w:ascii="Times New Roman" w:eastAsia="Times New Roman" w:hAnsi="Times New Roman" w:cs="Times New Roman"/>
                <w:sz w:val="20"/>
                <w:szCs w:val="20"/>
                <w:lang w:eastAsia="sk-SK"/>
              </w:rPr>
              <w:t>rávnu istotu v predikcii sadzieb spotrebnej dane</w:t>
            </w:r>
            <w:r w:rsidRPr="00D262A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z tabakových výrobkov </w:t>
            </w:r>
            <w:r w:rsidRPr="00D262A0">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w:t>
            </w:r>
            <w:r w:rsidRPr="00D262A0">
              <w:rPr>
                <w:rFonts w:ascii="Times New Roman" w:eastAsia="Times New Roman" w:hAnsi="Times New Roman" w:cs="Times New Roman"/>
                <w:sz w:val="20"/>
                <w:szCs w:val="20"/>
                <w:lang w:eastAsia="sk-SK"/>
              </w:rPr>
              <w:t>transparentnosť</w:t>
            </w:r>
            <w:r>
              <w:rPr>
                <w:rFonts w:ascii="Times New Roman" w:eastAsia="Times New Roman" w:hAnsi="Times New Roman" w:cs="Times New Roman"/>
                <w:sz w:val="20"/>
                <w:szCs w:val="20"/>
                <w:lang w:eastAsia="sk-SK"/>
              </w:rPr>
              <w:t xml:space="preserve"> zo strany štátu</w:t>
            </w:r>
            <w:r w:rsidRPr="00D262A0">
              <w:rPr>
                <w:rFonts w:ascii="Times New Roman" w:eastAsia="Times New Roman" w:hAnsi="Times New Roman" w:cs="Times New Roman"/>
                <w:sz w:val="20"/>
                <w:szCs w:val="20"/>
                <w:lang w:eastAsia="sk-SK"/>
              </w:rPr>
              <w:t>.</w:t>
            </w:r>
          </w:p>
          <w:p w:rsidR="00A74FE9" w:rsidRDefault="00A74FE9" w:rsidP="00A74FE9">
            <w:pPr>
              <w:jc w:val="both"/>
              <w:rPr>
                <w:rFonts w:ascii="Times New Roman" w:eastAsia="Times New Roman" w:hAnsi="Times New Roman" w:cs="Times New Roman"/>
                <w:sz w:val="20"/>
                <w:szCs w:val="20"/>
                <w:lang w:eastAsia="sk-SK"/>
              </w:rPr>
            </w:pPr>
          </w:p>
          <w:p w:rsidR="00A74FE9" w:rsidRDefault="00A74FE9" w:rsidP="00A74FE9">
            <w:pPr>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lang w:eastAsia="sk-SK"/>
              </w:rPr>
              <w:lastRenderedPageBreak/>
              <w:t xml:space="preserve">S cieľom </w:t>
            </w:r>
            <w:r w:rsidRPr="00515BDC">
              <w:rPr>
                <w:rFonts w:ascii="Times New Roman" w:eastAsia="Times New Roman" w:hAnsi="Times New Roman" w:cs="Times New Roman"/>
                <w:sz w:val="20"/>
                <w:szCs w:val="20"/>
                <w:lang w:eastAsia="sk-SK"/>
              </w:rPr>
              <w:t>dosiahnuti</w:t>
            </w:r>
            <w:r>
              <w:rPr>
                <w:rFonts w:ascii="Times New Roman" w:eastAsia="Times New Roman" w:hAnsi="Times New Roman" w:cs="Times New Roman"/>
                <w:sz w:val="20"/>
                <w:szCs w:val="20"/>
                <w:lang w:eastAsia="sk-SK"/>
              </w:rPr>
              <w:t>a</w:t>
            </w:r>
            <w:r w:rsidRPr="00515BDC">
              <w:rPr>
                <w:rFonts w:ascii="Times New Roman" w:eastAsia="Times New Roman" w:hAnsi="Times New Roman" w:cs="Times New Roman"/>
                <w:sz w:val="20"/>
                <w:szCs w:val="20"/>
                <w:lang w:eastAsia="sk-SK"/>
              </w:rPr>
              <w:t xml:space="preserve"> adekvátneho daňového zaobchádzania s tabakovými výrobkami </w:t>
            </w:r>
            <w:r>
              <w:rPr>
                <w:rFonts w:ascii="Times New Roman" w:eastAsia="Times New Roman" w:hAnsi="Times New Roman" w:cs="Times New Roman"/>
                <w:sz w:val="20"/>
                <w:szCs w:val="20"/>
                <w:lang w:eastAsia="sk-SK"/>
              </w:rPr>
              <w:t xml:space="preserve">sa navrhuje </w:t>
            </w:r>
            <w:r w:rsidRPr="00515BDC">
              <w:rPr>
                <w:rFonts w:ascii="Times New Roman" w:eastAsia="Times New Roman" w:hAnsi="Times New Roman" w:cs="Times New Roman"/>
                <w:sz w:val="20"/>
                <w:szCs w:val="20"/>
                <w:lang w:eastAsia="sk-SK"/>
              </w:rPr>
              <w:t>úprava sadzieb spotrebnej dane pri cigaretách, tabaku</w:t>
            </w:r>
            <w:r>
              <w:rPr>
                <w:rFonts w:ascii="Times New Roman" w:eastAsia="Times New Roman" w:hAnsi="Times New Roman" w:cs="Times New Roman"/>
                <w:sz w:val="20"/>
                <w:szCs w:val="20"/>
                <w:lang w:eastAsia="sk-SK"/>
              </w:rPr>
              <w:t xml:space="preserve"> a bezdymovom tabakovom výrobku </w:t>
            </w:r>
            <w:r w:rsidRPr="007C2DE0">
              <w:rPr>
                <w:rFonts w:ascii="Times New Roman" w:eastAsia="Times New Roman" w:hAnsi="Times New Roman" w:cs="Times New Roman"/>
                <w:sz w:val="20"/>
                <w:szCs w:val="20"/>
                <w:lang w:eastAsia="sk-SK"/>
              </w:rPr>
              <w:t>v dvoch krokoch, v prípade cigár a cigariek sa navrhuje jednokroková úprava sadzby spotrebnej dane.</w:t>
            </w:r>
          </w:p>
          <w:p w:rsidR="00A74FE9" w:rsidRPr="00FC5943" w:rsidRDefault="00A74FE9" w:rsidP="00A74FE9">
            <w:pPr>
              <w:jc w:val="both"/>
              <w:rPr>
                <w:rFonts w:ascii="Times New Roman" w:hAnsi="Times New Roman" w:cs="Times New Roman"/>
                <w:color w:val="000000" w:themeColor="text1"/>
                <w:sz w:val="20"/>
                <w:szCs w:val="20"/>
              </w:rPr>
            </w:pPr>
          </w:p>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dani z pridanej hodnoty</w:t>
            </w:r>
          </w:p>
          <w:p w:rsidR="00A74FE9" w:rsidRDefault="00A74FE9" w:rsidP="00A74FE9">
            <w:pPr>
              <w:jc w:val="both"/>
              <w:rPr>
                <w:rFonts w:ascii="Times New Roman" w:hAnsi="Times New Roman" w:cs="Times New Roman"/>
                <w:color w:val="000000"/>
                <w:sz w:val="20"/>
                <w:szCs w:val="20"/>
                <w:shd w:val="clear" w:color="auto" w:fill="FFFFFF"/>
              </w:rPr>
            </w:pPr>
            <w:r w:rsidRPr="00FC5943">
              <w:rPr>
                <w:rFonts w:ascii="Times New Roman" w:hAnsi="Times New Roman" w:cs="Times New Roman"/>
                <w:sz w:val="20"/>
                <w:szCs w:val="20"/>
                <w:shd w:val="clear" w:color="auto" w:fill="FFFFFF"/>
              </w:rPr>
              <w:t>Alkoholické nápoje sa vylúčia z uplatňovania zníženej sadzby dane na reštauračné a stravovacie služby</w:t>
            </w:r>
            <w:r>
              <w:rPr>
                <w:rFonts w:ascii="Times New Roman" w:hAnsi="Times New Roman" w:cs="Times New Roman"/>
                <w:sz w:val="20"/>
                <w:szCs w:val="20"/>
                <w:shd w:val="clear" w:color="auto" w:fill="FFFFFF"/>
              </w:rPr>
              <w:t>.</w:t>
            </w:r>
            <w:r w:rsidRPr="00FC5943">
              <w:rPr>
                <w:rFonts w:ascii="Times New Roman" w:hAnsi="Times New Roman" w:cs="Times New Roman"/>
                <w:sz w:val="20"/>
                <w:szCs w:val="20"/>
                <w:shd w:val="clear" w:color="auto" w:fill="FFFFFF"/>
              </w:rPr>
              <w:t xml:space="preserve"> Za alkoholický nápoj sa bude považovať taký nápoj, v ktorom obsah alkoholu prevyšuje 0,5 % jeho objemu. </w:t>
            </w:r>
            <w:r w:rsidRPr="00FC5943">
              <w:rPr>
                <w:rFonts w:ascii="Times New Roman" w:hAnsi="Times New Roman" w:cs="Times New Roman"/>
                <w:color w:val="000000"/>
                <w:sz w:val="20"/>
                <w:szCs w:val="20"/>
                <w:shd w:val="clear" w:color="auto" w:fill="FFFFFF"/>
              </w:rPr>
              <w:t xml:space="preserve">Podávanie alkoholických nápojov v rámci poskytovania reštauračných a stravovacích služieb tak bude podliehať základnej sadzbe dane </w:t>
            </w:r>
            <w:r w:rsidRPr="00FC5943">
              <w:rPr>
                <w:rFonts w:ascii="Times New Roman" w:hAnsi="Times New Roman" w:cs="Times New Roman"/>
                <w:sz w:val="20"/>
                <w:szCs w:val="20"/>
              </w:rPr>
              <w:t>vo výške 20 % zo základu dane</w:t>
            </w:r>
            <w:r w:rsidRPr="00FC5943">
              <w:rPr>
                <w:rFonts w:ascii="Times New Roman" w:hAnsi="Times New Roman" w:cs="Times New Roman"/>
                <w:color w:val="000000"/>
                <w:sz w:val="20"/>
                <w:szCs w:val="20"/>
                <w:shd w:val="clear" w:color="auto" w:fill="FFFFFF"/>
              </w:rPr>
              <w:t>.</w:t>
            </w:r>
          </w:p>
          <w:p w:rsidR="00A74FE9" w:rsidRPr="00FC5943" w:rsidRDefault="00A74FE9" w:rsidP="00A74FE9">
            <w:pPr>
              <w:jc w:val="both"/>
              <w:rPr>
                <w:rFonts w:ascii="Times New Roman" w:eastAsia="Times New Roman" w:hAnsi="Times New Roman" w:cs="Times New Roman"/>
                <w:i/>
                <w:sz w:val="20"/>
                <w:szCs w:val="20"/>
                <w:lang w:eastAsia="sk-SK"/>
              </w:rPr>
            </w:pPr>
          </w:p>
          <w:p w:rsidR="00A74FE9" w:rsidRPr="00CA4044" w:rsidRDefault="00A74FE9" w:rsidP="00A74FE9">
            <w:pPr>
              <w:jc w:val="both"/>
              <w:rPr>
                <w:rFonts w:ascii="Times New Roman" w:eastAsia="Times New Roman" w:hAnsi="Times New Roman" w:cs="Times New Roman"/>
                <w:b/>
                <w:sz w:val="20"/>
                <w:szCs w:val="20"/>
                <w:lang w:eastAsia="sk-SK"/>
              </w:rPr>
            </w:pPr>
            <w:r w:rsidRPr="00CA4044">
              <w:rPr>
                <w:rFonts w:ascii="Times New Roman" w:eastAsia="Times New Roman" w:hAnsi="Times New Roman" w:cs="Times New Roman"/>
                <w:b/>
                <w:sz w:val="20"/>
                <w:szCs w:val="20"/>
                <w:lang w:eastAsia="sk-SK"/>
              </w:rPr>
              <w:t>Zákon o osobitnom odvode  v regulovaných odvetviach</w:t>
            </w:r>
          </w:p>
          <w:p w:rsidR="00A74FE9" w:rsidRPr="00CA4044" w:rsidRDefault="00A74FE9" w:rsidP="00A74FE9">
            <w:pPr>
              <w:jc w:val="both"/>
              <w:rPr>
                <w:rFonts w:cs="Times New Roman"/>
                <w:sz w:val="20"/>
                <w:szCs w:val="20"/>
                <w:shd w:val="clear" w:color="auto" w:fill="FFFFFF"/>
              </w:rPr>
            </w:pPr>
            <w:r w:rsidRPr="00255F86">
              <w:rPr>
                <w:rFonts w:ascii="Times New Roman" w:hAnsi="Times New Roman" w:cs="Times New Roman"/>
                <w:sz w:val="20"/>
                <w:szCs w:val="20"/>
                <w:shd w:val="clear" w:color="auto" w:fill="FFFFFF"/>
              </w:rPr>
              <w:t xml:space="preserve">Nadväzne na potrebu </w:t>
            </w:r>
            <w:r w:rsidRPr="007C7560">
              <w:rPr>
                <w:rFonts w:ascii="Times New Roman" w:hAnsi="Times New Roman" w:cs="Times New Roman"/>
                <w:sz w:val="20"/>
                <w:szCs w:val="20"/>
                <w:shd w:val="clear" w:color="auto" w:fill="FFFFFF"/>
              </w:rPr>
              <w:t>zvýšenia príjmu do štátneho rozpočtu sa v </w:t>
            </w:r>
            <w:r w:rsidRPr="00255F86">
              <w:rPr>
                <w:rFonts w:ascii="Times New Roman" w:hAnsi="Times New Roman" w:cs="Times New Roman"/>
                <w:sz w:val="20"/>
                <w:szCs w:val="20"/>
                <w:shd w:val="clear" w:color="auto" w:fill="FFFFFF"/>
              </w:rPr>
              <w:t xml:space="preserve"> navrhuje rozšíriť okruh regulovaných osôb </w:t>
            </w:r>
            <w:r w:rsidRPr="007C7560">
              <w:rPr>
                <w:rFonts w:ascii="Times New Roman" w:hAnsi="Times New Roman" w:cs="Times New Roman"/>
                <w:sz w:val="20"/>
                <w:szCs w:val="20"/>
                <w:shd w:val="clear" w:color="auto" w:fill="FFFFFF"/>
              </w:rPr>
              <w:t>o také subjekty, ktoré majú oprávnenie na výkon činnosti v oblasti vykonávanej na základe povolenia vydaného alebo udeleného NBS</w:t>
            </w:r>
            <w:r w:rsidRPr="00CA4044">
              <w:rPr>
                <w:rFonts w:ascii="Times New Roman" w:hAnsi="Times New Roman" w:cs="Times New Roman"/>
                <w:sz w:val="20"/>
                <w:szCs w:val="20"/>
                <w:shd w:val="clear" w:color="auto" w:fill="FFFFFF"/>
              </w:rPr>
              <w:t xml:space="preserve">. </w:t>
            </w:r>
          </w:p>
          <w:p w:rsidR="00A74FE9" w:rsidRDefault="00A74FE9" w:rsidP="00A74FE9">
            <w:pPr>
              <w:jc w:val="both"/>
              <w:rPr>
                <w:rFonts w:ascii="Inter" w:hAnsi="Inter"/>
                <w:color w:val="3B3434"/>
                <w:shd w:val="clear" w:color="auto" w:fill="FFFFFF"/>
              </w:rPr>
            </w:pPr>
          </w:p>
          <w:p w:rsidR="00A74FE9" w:rsidRPr="00CA4044" w:rsidRDefault="00A74FE9" w:rsidP="00A74FE9">
            <w:pPr>
              <w:jc w:val="both"/>
              <w:rPr>
                <w:rFonts w:ascii="Times New Roman" w:eastAsia="Times New Roman" w:hAnsi="Times New Roman" w:cs="Times New Roman"/>
                <w:b/>
                <w:sz w:val="20"/>
                <w:szCs w:val="20"/>
                <w:lang w:eastAsia="sk-SK"/>
              </w:rPr>
            </w:pPr>
            <w:r w:rsidRPr="00CA4044">
              <w:rPr>
                <w:rFonts w:ascii="Times New Roman" w:eastAsia="Times New Roman" w:hAnsi="Times New Roman" w:cs="Times New Roman"/>
                <w:b/>
                <w:sz w:val="20"/>
                <w:szCs w:val="20"/>
                <w:lang w:eastAsia="sk-SK"/>
              </w:rPr>
              <w:t>Zákon o solidárnom príspevku</w:t>
            </w:r>
          </w:p>
          <w:p w:rsidR="00A74FE9" w:rsidRPr="00CA4044" w:rsidRDefault="00A74FE9" w:rsidP="00A74FE9">
            <w:pPr>
              <w:jc w:val="both"/>
              <w:rPr>
                <w:rFonts w:ascii="Times New Roman" w:hAnsi="Times New Roman" w:cs="Times New Roman"/>
                <w:sz w:val="20"/>
                <w:szCs w:val="20"/>
                <w:shd w:val="clear" w:color="auto" w:fill="FFFFFF"/>
              </w:rPr>
            </w:pPr>
            <w:r w:rsidRPr="00CA4044">
              <w:rPr>
                <w:rFonts w:ascii="Times New Roman" w:hAnsi="Times New Roman" w:cs="Times New Roman"/>
                <w:sz w:val="20"/>
                <w:szCs w:val="20"/>
                <w:shd w:val="clear" w:color="auto" w:fill="FFFFFF"/>
              </w:rPr>
              <w:t xml:space="preserve">S cieľom konsolidácie verejných financií sa v novele zákona o solidárnom príspevku navrhuje predĺžiť uplatňovanie solidárneho príspevku aj na zdaňovacie obdobia dani z príjmov začínajúce po 31. decembri 2023 z dôvodu, že rozdiel medzi ropou Urals a Brent zostáva </w:t>
            </w:r>
            <w:r>
              <w:rPr>
                <w:rFonts w:ascii="Times New Roman" w:hAnsi="Times New Roman" w:cs="Times New Roman"/>
                <w:sz w:val="20"/>
                <w:szCs w:val="20"/>
                <w:shd w:val="clear" w:color="auto" w:fill="FFFFFF"/>
              </w:rPr>
              <w:t>naďalej</w:t>
            </w:r>
            <w:r w:rsidRPr="00CA4044">
              <w:rPr>
                <w:rFonts w:ascii="Times New Roman" w:hAnsi="Times New Roman" w:cs="Times New Roman"/>
                <w:sz w:val="20"/>
                <w:szCs w:val="20"/>
                <w:shd w:val="clear" w:color="auto" w:fill="FFFFFF"/>
              </w:rPr>
              <w:t xml:space="preserve"> na vysokej úrovni, čo vytvára potenciál pre dodatočné nadzisky firiem aj v roku 2024.</w:t>
            </w:r>
          </w:p>
          <w:p w:rsidR="00A74FE9" w:rsidRPr="00FC5943" w:rsidRDefault="00A74FE9" w:rsidP="00A74FE9">
            <w:pPr>
              <w:rPr>
                <w:rFonts w:ascii="Times New Roman" w:eastAsia="Times New Roman" w:hAnsi="Times New Roman" w:cs="Times New Roman"/>
                <w:i/>
                <w:sz w:val="20"/>
                <w:szCs w:val="20"/>
                <w:highlight w:val="yellow"/>
                <w:lang w:eastAsia="sk-SK"/>
              </w:rPr>
            </w:pPr>
          </w:p>
          <w:p w:rsidR="00A74FE9" w:rsidRDefault="00A74FE9" w:rsidP="00A74FE9">
            <w:pPr>
              <w:rPr>
                <w:rFonts w:ascii="Times New Roman" w:hAnsi="Times New Roman"/>
                <w:b/>
                <w:sz w:val="20"/>
                <w:szCs w:val="20"/>
              </w:rPr>
            </w:pPr>
            <w:r w:rsidRPr="005F7F2F">
              <w:rPr>
                <w:rFonts w:ascii="Times New Roman" w:hAnsi="Times New Roman"/>
                <w:b/>
                <w:sz w:val="20"/>
                <w:szCs w:val="20"/>
              </w:rPr>
              <w:t>Zákon o spotrebnej dani z alkoholických nápojov</w:t>
            </w:r>
          </w:p>
          <w:p w:rsidR="00A74FE9" w:rsidRDefault="00A74FE9" w:rsidP="00A74FE9">
            <w:pPr>
              <w:jc w:val="both"/>
              <w:rPr>
                <w:rFonts w:ascii="Times New Roman" w:hAnsi="Times New Roman"/>
                <w:sz w:val="20"/>
                <w:szCs w:val="20"/>
              </w:rPr>
            </w:pPr>
            <w:r>
              <w:rPr>
                <w:rFonts w:ascii="Times New Roman" w:hAnsi="Times New Roman"/>
                <w:sz w:val="20"/>
                <w:szCs w:val="20"/>
                <w:lang w:eastAsia="sk-SK"/>
              </w:rPr>
              <w:t xml:space="preserve">Cieľom návrhu je </w:t>
            </w:r>
            <w:r>
              <w:rPr>
                <w:rFonts w:ascii="Times New Roman" w:hAnsi="Times New Roman"/>
                <w:sz w:val="20"/>
                <w:szCs w:val="20"/>
              </w:rPr>
              <w:t>získať dodatočné príjmy do štátneho rozpočtu prostredníctvom vyššieho zdanenia negatívnych externalít.</w:t>
            </w:r>
          </w:p>
          <w:p w:rsidR="00A74FE9" w:rsidRDefault="00A74FE9" w:rsidP="00A74FE9">
            <w:pPr>
              <w:jc w:val="both"/>
              <w:rPr>
                <w:rFonts w:ascii="Times New Roman" w:hAnsi="Times New Roman"/>
                <w:sz w:val="20"/>
                <w:szCs w:val="20"/>
              </w:rPr>
            </w:pPr>
          </w:p>
          <w:p w:rsidR="00A74FE9" w:rsidRPr="00043BB2" w:rsidRDefault="00A74FE9" w:rsidP="00A74FE9">
            <w:pPr>
              <w:rPr>
                <w:rFonts w:ascii="Times New Roman" w:eastAsia="Times New Roman" w:hAnsi="Times New Roman" w:cs="Times New Roman"/>
                <w:b/>
                <w:sz w:val="20"/>
                <w:szCs w:val="20"/>
                <w:lang w:eastAsia="sk-SK"/>
              </w:rPr>
            </w:pPr>
            <w:r w:rsidRPr="00255F86">
              <w:rPr>
                <w:rFonts w:ascii="Times New Roman" w:eastAsia="Times New Roman" w:hAnsi="Times New Roman" w:cs="Times New Roman"/>
                <w:b/>
                <w:sz w:val="20"/>
                <w:szCs w:val="20"/>
                <w:lang w:eastAsia="sk-SK"/>
              </w:rPr>
              <w:t>Zákon o Rozhlase a televízii Slovenska</w:t>
            </w:r>
          </w:p>
          <w:p w:rsidR="00A74FE9" w:rsidRDefault="00A74FE9" w:rsidP="00A74FE9">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Z</w:t>
            </w:r>
            <w:r w:rsidRPr="00043BB2">
              <w:rPr>
                <w:rFonts w:ascii="Times New Roman" w:eastAsia="Times New Roman" w:hAnsi="Times New Roman" w:cs="Times New Roman"/>
                <w:bCs/>
                <w:sz w:val="20"/>
                <w:szCs w:val="20"/>
                <w:lang w:eastAsia="sk-SK"/>
              </w:rPr>
              <w:t>nižuje</w:t>
            </w:r>
            <w:r>
              <w:rPr>
                <w:rFonts w:ascii="Times New Roman" w:eastAsia="Times New Roman" w:hAnsi="Times New Roman" w:cs="Times New Roman"/>
                <w:bCs/>
                <w:sz w:val="20"/>
                <w:szCs w:val="20"/>
                <w:lang w:eastAsia="sk-SK"/>
              </w:rPr>
              <w:t xml:space="preserve"> sa</w:t>
            </w:r>
            <w:r w:rsidRPr="00043BB2">
              <w:rPr>
                <w:rFonts w:ascii="Times New Roman" w:eastAsia="Times New Roman" w:hAnsi="Times New Roman" w:cs="Times New Roman"/>
                <w:bCs/>
                <w:sz w:val="20"/>
                <w:szCs w:val="20"/>
                <w:lang w:eastAsia="sk-SK"/>
              </w:rPr>
              <w:t xml:space="preserve"> percentuálny podiel z 0,17 % HDP na 0,12 % HDP, čím by sa zabezpečila porovnateľná úroveň štandardných príjmov RTVS z predchádzajúcich rokov.</w:t>
            </w:r>
          </w:p>
          <w:p w:rsidR="00A74FE9" w:rsidRDefault="00A74FE9" w:rsidP="00A74FE9">
            <w:pPr>
              <w:jc w:val="both"/>
              <w:rPr>
                <w:rFonts w:ascii="Times New Roman" w:eastAsia="Times New Roman" w:hAnsi="Times New Roman" w:cs="Times New Roman"/>
                <w:bCs/>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Zákon </w:t>
            </w:r>
            <w:r w:rsidRPr="000A4180">
              <w:rPr>
                <w:rFonts w:ascii="Times New Roman" w:eastAsia="Times New Roman" w:hAnsi="Times New Roman" w:cs="Times New Roman"/>
                <w:b/>
                <w:sz w:val="20"/>
                <w:szCs w:val="20"/>
                <w:lang w:eastAsia="sk-SK"/>
              </w:rPr>
              <w:t xml:space="preserve">o sociálnom poistení </w:t>
            </w:r>
          </w:p>
          <w:p w:rsidR="00A74FE9" w:rsidRDefault="00A74FE9" w:rsidP="00A74FE9">
            <w:pPr>
              <w:jc w:val="both"/>
              <w:rPr>
                <w:rFonts w:ascii="Times New Roman" w:eastAsia="Calibri" w:hAnsi="Times New Roman" w:cs="Times New Roman"/>
                <w:sz w:val="20"/>
              </w:rPr>
            </w:pPr>
            <w:r w:rsidRPr="00493C7F">
              <w:rPr>
                <w:rFonts w:ascii="Times New Roman" w:hAnsi="Times New Roman" w:cs="Times New Roman"/>
                <w:bCs/>
                <w:sz w:val="20"/>
              </w:rPr>
              <w:t xml:space="preserve">Cieľom predkladaného návrhu zákona je trvalé zníženie percentuálnej sadzby povinných príspevkov do II. piliera na úroveň 4 % z vymeriavacieho základu s účinnosťou od 1.1.2024. Súčasne sa zníži krátenie starobného dôchodku z I. piliera pre poistenca, ktorý je sporiteľom </w:t>
            </w:r>
            <w:r w:rsidRPr="00493C7F">
              <w:rPr>
                <w:rFonts w:ascii="Times New Roman" w:eastAsia="Calibri" w:hAnsi="Times New Roman" w:cs="Times New Roman"/>
                <w:sz w:val="20"/>
              </w:rPr>
              <w:t>na cca 17,6 %.</w:t>
            </w:r>
          </w:p>
          <w:p w:rsidR="00A74FE9" w:rsidRDefault="00A74FE9" w:rsidP="00A74FE9">
            <w:pPr>
              <w:jc w:val="both"/>
              <w:rPr>
                <w:rFonts w:ascii="Times New Roman" w:eastAsia="Calibri" w:hAnsi="Times New Roman" w:cs="Times New Roman"/>
                <w:sz w:val="20"/>
              </w:rPr>
            </w:pPr>
          </w:p>
          <w:p w:rsidR="00A74FE9" w:rsidRPr="00AC5918" w:rsidRDefault="00A74FE9" w:rsidP="00A74FE9">
            <w:pPr>
              <w:jc w:val="both"/>
              <w:rPr>
                <w:rFonts w:ascii="Times New Roman" w:eastAsia="Times New Roman" w:hAnsi="Times New Roman" w:cs="Times New Roman"/>
                <w:b/>
                <w:sz w:val="20"/>
                <w:szCs w:val="20"/>
                <w:lang w:eastAsia="sk-SK"/>
              </w:rPr>
            </w:pPr>
            <w:r w:rsidRPr="00AC5918">
              <w:rPr>
                <w:rFonts w:ascii="Times New Roman" w:eastAsia="Times New Roman" w:hAnsi="Times New Roman" w:cs="Times New Roman"/>
                <w:b/>
                <w:sz w:val="20"/>
                <w:szCs w:val="20"/>
                <w:lang w:eastAsia="sk-SK"/>
              </w:rPr>
              <w:t>Zákon o zdravotnom poistení</w:t>
            </w:r>
          </w:p>
          <w:p w:rsidR="00A74FE9" w:rsidRPr="00AC5918" w:rsidRDefault="00A74FE9" w:rsidP="00A74FE9">
            <w:pPr>
              <w:jc w:val="both"/>
              <w:rPr>
                <w:rFonts w:ascii="Times New Roman" w:hAnsi="Times New Roman" w:cs="Times New Roman"/>
                <w:bCs/>
                <w:sz w:val="20"/>
                <w:szCs w:val="20"/>
              </w:rPr>
            </w:pPr>
            <w:r w:rsidRPr="00AC5918">
              <w:rPr>
                <w:rFonts w:ascii="Times New Roman" w:hAnsi="Times New Roman" w:cs="Times New Roman"/>
                <w:bCs/>
                <w:sz w:val="20"/>
                <w:szCs w:val="20"/>
              </w:rPr>
              <w:t xml:space="preserve">Navrhuje sa zvýšiť sadzba poisteného pre: </w:t>
            </w:r>
          </w:p>
          <w:p w:rsidR="00A74FE9" w:rsidRPr="00AC5918" w:rsidRDefault="00A74FE9" w:rsidP="00A74FE9">
            <w:pPr>
              <w:numPr>
                <w:ilvl w:val="0"/>
                <w:numId w:val="8"/>
              </w:numPr>
              <w:contextualSpacing/>
              <w:jc w:val="both"/>
              <w:rPr>
                <w:rFonts w:ascii="Times New Roman" w:hAnsi="Times New Roman" w:cs="Times New Roman"/>
                <w:bCs/>
                <w:sz w:val="20"/>
                <w:szCs w:val="20"/>
              </w:rPr>
            </w:pPr>
            <w:r w:rsidRPr="00AC5918">
              <w:rPr>
                <w:rFonts w:ascii="Times New Roman" w:hAnsi="Times New Roman" w:cs="Times New Roman"/>
                <w:bCs/>
                <w:sz w:val="20"/>
                <w:szCs w:val="20"/>
              </w:rPr>
              <w:t>zamestnávateľa z 10% na 11%, ak zamestnávateľ zamestnáva osoby so zdravotným postihnutím, sadzba poistného sa upravuje z 5% na 5,5% z vymeriavacieho základu podľa § 13 ods. 1,</w:t>
            </w:r>
          </w:p>
          <w:p w:rsidR="00A74FE9" w:rsidRPr="00AC5918" w:rsidRDefault="00A74FE9" w:rsidP="00A74FE9">
            <w:pPr>
              <w:numPr>
                <w:ilvl w:val="0"/>
                <w:numId w:val="8"/>
              </w:numPr>
              <w:contextualSpacing/>
              <w:jc w:val="both"/>
              <w:rPr>
                <w:rFonts w:ascii="Times New Roman" w:hAnsi="Times New Roman" w:cs="Times New Roman"/>
                <w:bCs/>
                <w:sz w:val="20"/>
                <w:szCs w:val="20"/>
              </w:rPr>
            </w:pPr>
            <w:r w:rsidRPr="00AC5918">
              <w:rPr>
                <w:rFonts w:ascii="Times New Roman" w:hAnsi="Times New Roman" w:cs="Times New Roman"/>
                <w:bCs/>
                <w:sz w:val="20"/>
                <w:szCs w:val="20"/>
              </w:rPr>
              <w:t>samostatne zárobkovo činnú osobu z 14% na 15%, ak ide o samostatne zárobkovo činnú osobu so zdravotným postihnutím z 7% na 7,5% z vymeriavacieho základu,</w:t>
            </w:r>
          </w:p>
          <w:p w:rsidR="00A74FE9" w:rsidRDefault="00A74FE9" w:rsidP="00A74FE9">
            <w:pPr>
              <w:numPr>
                <w:ilvl w:val="0"/>
                <w:numId w:val="8"/>
              </w:numPr>
              <w:contextualSpacing/>
              <w:jc w:val="both"/>
              <w:rPr>
                <w:rFonts w:ascii="Times New Roman" w:hAnsi="Times New Roman" w:cs="Times New Roman"/>
                <w:bCs/>
                <w:sz w:val="20"/>
                <w:szCs w:val="20"/>
              </w:rPr>
            </w:pPr>
            <w:r w:rsidRPr="00AC5918">
              <w:rPr>
                <w:rFonts w:ascii="Times New Roman" w:hAnsi="Times New Roman" w:cs="Times New Roman"/>
                <w:bCs/>
                <w:sz w:val="20"/>
                <w:szCs w:val="20"/>
              </w:rPr>
              <w:t>tzv. samoplatiteľa zo 14 % na 15 % z vymeriavacieho základu.</w:t>
            </w:r>
          </w:p>
          <w:p w:rsidR="00A74FE9" w:rsidRDefault="00A74FE9" w:rsidP="00A74FE9">
            <w:pPr>
              <w:contextualSpacing/>
              <w:jc w:val="both"/>
              <w:rPr>
                <w:rFonts w:ascii="Times New Roman" w:hAnsi="Times New Roman" w:cs="Times New Roman"/>
                <w:bCs/>
                <w:sz w:val="20"/>
                <w:szCs w:val="20"/>
              </w:rPr>
            </w:pPr>
          </w:p>
          <w:p w:rsidR="00A74FE9" w:rsidRPr="00F84228" w:rsidRDefault="00A74FE9" w:rsidP="00A74FE9">
            <w:pPr>
              <w:contextualSpacing/>
              <w:jc w:val="both"/>
              <w:rPr>
                <w:rFonts w:ascii="Times New Roman" w:hAnsi="Times New Roman" w:cs="Times New Roman"/>
                <w:b/>
                <w:bCs/>
                <w:sz w:val="20"/>
                <w:szCs w:val="20"/>
              </w:rPr>
            </w:pPr>
            <w:r w:rsidRPr="00F84228">
              <w:rPr>
                <w:rFonts w:ascii="Times New Roman" w:hAnsi="Times New Roman" w:cs="Times New Roman"/>
                <w:b/>
                <w:bCs/>
                <w:sz w:val="20"/>
                <w:szCs w:val="20"/>
              </w:rPr>
              <w:t>Zákon o štátn</w:t>
            </w:r>
            <w:r>
              <w:rPr>
                <w:rFonts w:ascii="Times New Roman" w:hAnsi="Times New Roman" w:cs="Times New Roman"/>
                <w:b/>
                <w:bCs/>
                <w:sz w:val="20"/>
                <w:szCs w:val="20"/>
              </w:rPr>
              <w:t>ych</w:t>
            </w:r>
            <w:r w:rsidRPr="00F84228">
              <w:rPr>
                <w:rFonts w:ascii="Times New Roman" w:hAnsi="Times New Roman" w:cs="Times New Roman"/>
                <w:b/>
                <w:bCs/>
                <w:sz w:val="20"/>
                <w:szCs w:val="20"/>
              </w:rPr>
              <w:t xml:space="preserve"> sviatk</w:t>
            </w:r>
            <w:r>
              <w:rPr>
                <w:rFonts w:ascii="Times New Roman" w:hAnsi="Times New Roman" w:cs="Times New Roman"/>
                <w:b/>
                <w:bCs/>
                <w:sz w:val="20"/>
                <w:szCs w:val="20"/>
              </w:rPr>
              <w:t>och</w:t>
            </w:r>
          </w:p>
          <w:p w:rsidR="00A74FE9" w:rsidRPr="00F84228" w:rsidRDefault="00A74FE9" w:rsidP="00A74FE9">
            <w:pPr>
              <w:jc w:val="both"/>
              <w:rPr>
                <w:rFonts w:ascii="Times New Roman" w:hAnsi="Times New Roman" w:cs="Times New Roman"/>
                <w:bCs/>
                <w:sz w:val="20"/>
                <w:szCs w:val="20"/>
              </w:rPr>
            </w:pPr>
            <w:r w:rsidRPr="00F84228">
              <w:rPr>
                <w:rFonts w:ascii="Times New Roman" w:hAnsi="Times New Roman" w:cs="Times New Roman"/>
                <w:bCs/>
                <w:sz w:val="20"/>
                <w:szCs w:val="20"/>
              </w:rPr>
              <w:t>Slovensko má najväčší počet dní pracovného pokoja v rámci Európskej únie. Na Slovensku je 15 dní pracovného pokoja okrem tých</w:t>
            </w:r>
            <w:r>
              <w:rPr>
                <w:rFonts w:ascii="Times New Roman" w:hAnsi="Times New Roman" w:cs="Times New Roman"/>
                <w:bCs/>
                <w:sz w:val="20"/>
                <w:szCs w:val="20"/>
              </w:rPr>
              <w:t>,</w:t>
            </w:r>
            <w:r w:rsidRPr="00F84228">
              <w:rPr>
                <w:rFonts w:ascii="Times New Roman" w:hAnsi="Times New Roman" w:cs="Times New Roman"/>
                <w:bCs/>
                <w:sz w:val="20"/>
                <w:szCs w:val="20"/>
              </w:rPr>
              <w:t xml:space="preserve"> ktoré pravidelne spadajú na nedeľu. Portugalsko, Španielsko, Švédsko a Chorvátsko majú 14 a </w:t>
            </w:r>
            <w:r>
              <w:rPr>
                <w:rFonts w:ascii="Times New Roman" w:hAnsi="Times New Roman" w:cs="Times New Roman"/>
                <w:bCs/>
                <w:sz w:val="20"/>
                <w:szCs w:val="20"/>
              </w:rPr>
              <w:t>o</w:t>
            </w:r>
            <w:r w:rsidRPr="00F84228">
              <w:rPr>
                <w:rFonts w:ascii="Times New Roman" w:hAnsi="Times New Roman" w:cs="Times New Roman"/>
                <w:bCs/>
                <w:sz w:val="20"/>
                <w:szCs w:val="20"/>
              </w:rPr>
              <w:t xml:space="preserve">statné krajiny ešte menej. Slovensko, podobne ako iné krajiny, čelia zlému demografickému vývoju a každoročne dochádza k poklesu počtu ľudí v práceschopnom veku. Preto </w:t>
            </w:r>
            <w:r>
              <w:rPr>
                <w:rFonts w:ascii="Times New Roman" w:hAnsi="Times New Roman" w:cs="Times New Roman"/>
                <w:bCs/>
                <w:sz w:val="20"/>
                <w:szCs w:val="20"/>
              </w:rPr>
              <w:t xml:space="preserve">sa </w:t>
            </w:r>
            <w:r w:rsidRPr="00F84228">
              <w:rPr>
                <w:rFonts w:ascii="Times New Roman" w:hAnsi="Times New Roman" w:cs="Times New Roman"/>
                <w:bCs/>
                <w:sz w:val="20"/>
                <w:szCs w:val="20"/>
              </w:rPr>
              <w:t>navrhuje znížiť počet sviatkov na úroveň okolitých krajín. Návrh predpokladá zrušenie 1.9. ako štátneho sviatku.</w:t>
            </w:r>
          </w:p>
          <w:p w:rsidR="00A74FE9" w:rsidRPr="00FC5943" w:rsidRDefault="00A74FE9" w:rsidP="00A74FE9">
            <w:pPr>
              <w:jc w:val="both"/>
              <w:rPr>
                <w:rFonts w:ascii="Times New Roman" w:eastAsia="Times New Roman" w:hAnsi="Times New Roman" w:cs="Times New Roman"/>
                <w:sz w:val="20"/>
                <w:szCs w:val="20"/>
                <w:lang w:eastAsia="sk-SK"/>
              </w:rPr>
            </w:pPr>
          </w:p>
        </w:tc>
      </w:tr>
      <w:tr w:rsidR="00A74FE9" w:rsidRPr="00612E08" w:rsidTr="00A74FE9">
        <w:tc>
          <w:tcPr>
            <w:tcW w:w="9180" w:type="dxa"/>
            <w:gridSpan w:val="11"/>
            <w:tcBorders>
              <w:top w:val="single" w:sz="4" w:space="0" w:color="auto"/>
              <w:left w:val="single" w:sz="4" w:space="0" w:color="auto"/>
              <w:bottom w:val="nil"/>
              <w:right w:val="single" w:sz="4" w:space="0" w:color="auto"/>
            </w:tcBorders>
            <w:shd w:val="clear" w:color="auto" w:fill="E2E2E2"/>
          </w:tcPr>
          <w:p w:rsidR="00A74FE9" w:rsidRPr="009517A5" w:rsidRDefault="00A74FE9" w:rsidP="00A74FE9">
            <w:pPr>
              <w:numPr>
                <w:ilvl w:val="0"/>
                <w:numId w:val="1"/>
              </w:numPr>
              <w:ind w:left="426"/>
              <w:contextualSpacing/>
              <w:rPr>
                <w:rFonts w:ascii="Times New Roman" w:eastAsia="Calibri" w:hAnsi="Times New Roman" w:cs="Times New Roman"/>
                <w:b/>
              </w:rPr>
            </w:pPr>
            <w:r w:rsidRPr="009517A5">
              <w:rPr>
                <w:rFonts w:ascii="Times New Roman" w:eastAsia="Calibri" w:hAnsi="Times New Roman" w:cs="Times New Roman"/>
                <w:b/>
              </w:rPr>
              <w:lastRenderedPageBreak/>
              <w:t>Dotknuté subjekty</w:t>
            </w:r>
          </w:p>
        </w:tc>
      </w:tr>
      <w:tr w:rsidR="00A74FE9" w:rsidRPr="00612E08" w:rsidTr="00A74FE9">
        <w:tc>
          <w:tcPr>
            <w:tcW w:w="9180" w:type="dxa"/>
            <w:gridSpan w:val="11"/>
            <w:tcBorders>
              <w:top w:val="nil"/>
              <w:left w:val="single" w:sz="4" w:space="0" w:color="auto"/>
              <w:bottom w:val="single" w:sz="4" w:space="0" w:color="auto"/>
              <w:right w:val="single" w:sz="4" w:space="0" w:color="auto"/>
            </w:tcBorders>
            <w:shd w:val="clear" w:color="auto" w:fill="FFFFFF"/>
          </w:tcPr>
          <w:p w:rsidR="00A74FE9" w:rsidRPr="00FC5943" w:rsidRDefault="00A74FE9" w:rsidP="00A74FE9">
            <w:pPr>
              <w:jc w:val="both"/>
              <w:rPr>
                <w:rFonts w:ascii="Times New Roman" w:eastAsia="Times New Roman" w:hAnsi="Times New Roman" w:cs="Times New Roman"/>
                <w:b/>
                <w:sz w:val="20"/>
                <w:szCs w:val="20"/>
                <w:lang w:eastAsia="sk-SK"/>
              </w:rPr>
            </w:pPr>
            <w:r w:rsidRPr="00FC5943">
              <w:rPr>
                <w:rFonts w:ascii="Times New Roman" w:eastAsia="Times New Roman" w:hAnsi="Times New Roman" w:cs="Times New Roman"/>
                <w:b/>
                <w:sz w:val="20"/>
                <w:szCs w:val="20"/>
                <w:lang w:eastAsia="sk-SK"/>
              </w:rPr>
              <w:t>Zákon o stavebnom sporení</w:t>
            </w:r>
          </w:p>
          <w:p w:rsidR="00A74FE9" w:rsidRDefault="00A74FE9" w:rsidP="00A74FE9">
            <w:pPr>
              <w:rPr>
                <w:rFonts w:ascii="Times New Roman" w:eastAsia="Times New Roman" w:hAnsi="Times New Roman" w:cs="Times New Roman"/>
                <w:sz w:val="20"/>
                <w:szCs w:val="20"/>
                <w:lang w:eastAsia="sk-SK"/>
              </w:rPr>
            </w:pPr>
            <w:r w:rsidRPr="009517A5">
              <w:rPr>
                <w:rFonts w:ascii="Times New Roman" w:eastAsia="Times New Roman" w:hAnsi="Times New Roman" w:cs="Times New Roman"/>
                <w:sz w:val="20"/>
                <w:szCs w:val="20"/>
                <w:lang w:eastAsia="sk-SK"/>
              </w:rPr>
              <w:t>Stavebné sp</w:t>
            </w:r>
            <w:r>
              <w:rPr>
                <w:rFonts w:ascii="Times New Roman" w:eastAsia="Times New Roman" w:hAnsi="Times New Roman" w:cs="Times New Roman"/>
                <w:sz w:val="20"/>
                <w:szCs w:val="20"/>
                <w:lang w:eastAsia="sk-SK"/>
              </w:rPr>
              <w:t>oriteľne a stavební sporitelia</w:t>
            </w:r>
            <w:r w:rsidRPr="009517A5">
              <w:rPr>
                <w:rFonts w:ascii="Times New Roman" w:eastAsia="Times New Roman" w:hAnsi="Times New Roman" w:cs="Times New Roman"/>
                <w:sz w:val="20"/>
                <w:szCs w:val="20"/>
                <w:lang w:eastAsia="sk-SK"/>
              </w:rPr>
              <w:t>.</w:t>
            </w:r>
          </w:p>
          <w:p w:rsidR="00A74FE9" w:rsidRDefault="00A74FE9" w:rsidP="00A74FE9">
            <w:pPr>
              <w:rPr>
                <w:rFonts w:ascii="Times New Roman" w:eastAsia="Times New Roman" w:hAnsi="Times New Roman" w:cs="Times New Roman"/>
                <w:sz w:val="20"/>
                <w:szCs w:val="20"/>
                <w:lang w:eastAsia="sk-SK"/>
              </w:rPr>
            </w:pPr>
          </w:p>
          <w:p w:rsidR="00A74FE9" w:rsidRPr="009517A5" w:rsidRDefault="00A74FE9" w:rsidP="00A74FE9">
            <w:pPr>
              <w:jc w:val="both"/>
              <w:rPr>
                <w:rFonts w:ascii="Times New Roman" w:eastAsia="Times New Roman" w:hAnsi="Times New Roman" w:cs="Times New Roman"/>
                <w:b/>
                <w:sz w:val="20"/>
                <w:szCs w:val="20"/>
                <w:lang w:eastAsia="sk-SK"/>
              </w:rPr>
            </w:pPr>
            <w:r w:rsidRPr="009517A5">
              <w:rPr>
                <w:rFonts w:ascii="Times New Roman" w:eastAsia="Times New Roman" w:hAnsi="Times New Roman" w:cs="Times New Roman"/>
                <w:b/>
                <w:sz w:val="20"/>
                <w:szCs w:val="20"/>
                <w:lang w:eastAsia="sk-SK"/>
              </w:rPr>
              <w:t>Zákon o súdnych a správnych poplatkoch</w:t>
            </w:r>
          </w:p>
          <w:p w:rsidR="00A74FE9" w:rsidRDefault="00A74FE9" w:rsidP="00A74FE9">
            <w:pPr>
              <w:rPr>
                <w:rFonts w:ascii="Times New Roman" w:eastAsia="Calibri" w:hAnsi="Times New Roman" w:cs="Times New Roman"/>
                <w:color w:val="000000" w:themeColor="text1"/>
                <w:sz w:val="20"/>
                <w:szCs w:val="20"/>
              </w:rPr>
            </w:pPr>
            <w:r w:rsidRPr="009517A5">
              <w:rPr>
                <w:rFonts w:ascii="Times New Roman" w:eastAsia="Calibri" w:hAnsi="Times New Roman" w:cs="Times New Roman"/>
                <w:color w:val="000000" w:themeColor="text1"/>
                <w:sz w:val="20"/>
                <w:szCs w:val="20"/>
              </w:rPr>
              <w:t xml:space="preserve">Fyzické osoby a právnické osoby, ktorých povinnosťou je platenie poplatkov (správne a súdne poplatky) za požadované </w:t>
            </w:r>
            <w:r w:rsidRPr="00764571">
              <w:rPr>
                <w:rFonts w:ascii="Times New Roman" w:eastAsia="Calibri" w:hAnsi="Times New Roman" w:cs="Times New Roman"/>
                <w:color w:val="000000" w:themeColor="text1"/>
                <w:sz w:val="20"/>
                <w:szCs w:val="20"/>
              </w:rPr>
              <w:t>úkony a konania.</w:t>
            </w:r>
          </w:p>
          <w:p w:rsidR="00A74FE9" w:rsidRPr="00764571" w:rsidRDefault="00A74FE9" w:rsidP="00A74FE9">
            <w:pPr>
              <w:rPr>
                <w:rFonts w:ascii="Times New Roman" w:eastAsia="Calibri" w:hAnsi="Times New Roman" w:cs="Times New Roman"/>
                <w:color w:val="000000" w:themeColor="text1"/>
                <w:sz w:val="20"/>
                <w:szCs w:val="20"/>
              </w:rPr>
            </w:pPr>
          </w:p>
          <w:p w:rsidR="00A74FE9" w:rsidRPr="00764571" w:rsidRDefault="00A74FE9" w:rsidP="00A74FE9">
            <w:pPr>
              <w:jc w:val="both"/>
              <w:rPr>
                <w:rFonts w:ascii="Times New Roman" w:eastAsia="Times New Roman" w:hAnsi="Times New Roman" w:cs="Times New Roman"/>
                <w:b/>
                <w:sz w:val="20"/>
                <w:szCs w:val="20"/>
                <w:lang w:eastAsia="sk-SK"/>
              </w:rPr>
            </w:pPr>
            <w:r w:rsidRPr="00764571">
              <w:rPr>
                <w:rFonts w:ascii="Times New Roman" w:eastAsia="Times New Roman" w:hAnsi="Times New Roman" w:cs="Times New Roman"/>
                <w:b/>
                <w:sz w:val="20"/>
                <w:szCs w:val="20"/>
                <w:lang w:eastAsia="sk-SK"/>
              </w:rPr>
              <w:t>Zákon o dani z príjmov</w:t>
            </w:r>
          </w:p>
          <w:p w:rsidR="00A74FE9" w:rsidRPr="00764571" w:rsidRDefault="00A74FE9" w:rsidP="00A74FE9">
            <w:pPr>
              <w:pStyle w:val="Odsekzoznamu"/>
              <w:numPr>
                <w:ilvl w:val="0"/>
                <w:numId w:val="5"/>
              </w:numPr>
              <w:jc w:val="both"/>
              <w:rPr>
                <w:rFonts w:ascii="Times New Roman" w:hAnsi="Times New Roman"/>
                <w:color w:val="000000" w:themeColor="text1"/>
                <w:sz w:val="20"/>
                <w:szCs w:val="20"/>
                <w:u w:val="single"/>
              </w:rPr>
            </w:pPr>
            <w:r w:rsidRPr="00764571">
              <w:rPr>
                <w:rFonts w:ascii="Times New Roman" w:hAnsi="Times New Roman"/>
                <w:color w:val="000000" w:themeColor="text1"/>
                <w:sz w:val="20"/>
                <w:szCs w:val="20"/>
                <w:u w:val="single"/>
              </w:rPr>
              <w:t>Zrážková daň z dividend</w:t>
            </w:r>
          </w:p>
          <w:p w:rsidR="00A74FE9" w:rsidRPr="00764571" w:rsidRDefault="00A74FE9" w:rsidP="00A74FE9">
            <w:pPr>
              <w:pStyle w:val="Odsekzoznamu"/>
              <w:ind w:left="1080"/>
              <w:jc w:val="both"/>
              <w:rPr>
                <w:rFonts w:ascii="Times New Roman" w:hAnsi="Times New Roman"/>
                <w:color w:val="000000" w:themeColor="text1"/>
                <w:sz w:val="20"/>
                <w:szCs w:val="20"/>
              </w:rPr>
            </w:pPr>
            <w:r w:rsidRPr="00764571">
              <w:rPr>
                <w:rFonts w:ascii="Times New Roman" w:hAnsi="Times New Roman"/>
                <w:color w:val="000000" w:themeColor="text1"/>
                <w:sz w:val="20"/>
                <w:szCs w:val="20"/>
              </w:rPr>
              <w:t>Príjemcovia dividend – fyzické osoby</w:t>
            </w:r>
          </w:p>
          <w:p w:rsidR="00A74FE9" w:rsidRPr="00764571" w:rsidRDefault="00A74FE9" w:rsidP="00A74FE9">
            <w:pPr>
              <w:pStyle w:val="Odsekzoznamu"/>
              <w:numPr>
                <w:ilvl w:val="0"/>
                <w:numId w:val="5"/>
              </w:numPr>
              <w:jc w:val="both"/>
              <w:rPr>
                <w:rFonts w:ascii="Times New Roman" w:hAnsi="Times New Roman"/>
                <w:sz w:val="20"/>
                <w:szCs w:val="20"/>
                <w:u w:val="single"/>
              </w:rPr>
            </w:pPr>
            <w:r w:rsidRPr="00764571">
              <w:rPr>
                <w:rFonts w:ascii="Times New Roman" w:hAnsi="Times New Roman"/>
                <w:color w:val="000000" w:themeColor="text1"/>
                <w:sz w:val="20"/>
                <w:szCs w:val="20"/>
                <w:u w:val="single"/>
              </w:rPr>
              <w:lastRenderedPageBreak/>
              <w:t>Kapitálové príjmy fyzických osôb</w:t>
            </w:r>
          </w:p>
          <w:p w:rsidR="00A74FE9" w:rsidRPr="00764571" w:rsidRDefault="00A74FE9" w:rsidP="00A74FE9">
            <w:pPr>
              <w:pStyle w:val="Odsekzoznamu"/>
              <w:ind w:left="1080"/>
              <w:jc w:val="both"/>
              <w:rPr>
                <w:rFonts w:ascii="Times New Roman" w:hAnsi="Times New Roman"/>
                <w:color w:val="000000" w:themeColor="text1"/>
                <w:sz w:val="20"/>
                <w:szCs w:val="20"/>
              </w:rPr>
            </w:pPr>
            <w:r w:rsidRPr="00764571">
              <w:rPr>
                <w:rFonts w:ascii="Times New Roman" w:hAnsi="Times New Roman"/>
                <w:color w:val="000000" w:themeColor="text1"/>
                <w:sz w:val="20"/>
                <w:szCs w:val="20"/>
              </w:rPr>
              <w:t>Vysoko rizikoví bonitní investori</w:t>
            </w:r>
          </w:p>
          <w:p w:rsidR="00A74FE9" w:rsidRPr="00764571" w:rsidRDefault="00A74FE9" w:rsidP="00A74FE9">
            <w:pPr>
              <w:pStyle w:val="Odsekzoznamu"/>
              <w:numPr>
                <w:ilvl w:val="0"/>
                <w:numId w:val="5"/>
              </w:numPr>
              <w:jc w:val="both"/>
              <w:rPr>
                <w:rFonts w:ascii="Times New Roman" w:hAnsi="Times New Roman"/>
                <w:color w:val="000000" w:themeColor="text1"/>
                <w:sz w:val="20"/>
                <w:szCs w:val="20"/>
                <w:u w:val="single"/>
              </w:rPr>
            </w:pPr>
            <w:r w:rsidRPr="00764571">
              <w:rPr>
                <w:rFonts w:ascii="Times New Roman" w:hAnsi="Times New Roman"/>
                <w:color w:val="000000" w:themeColor="text1"/>
                <w:sz w:val="20"/>
                <w:szCs w:val="20"/>
                <w:u w:val="single"/>
              </w:rPr>
              <w:t>Minimálna daň pre právnické osoby</w:t>
            </w:r>
          </w:p>
          <w:p w:rsidR="00A74FE9" w:rsidRPr="00554B49" w:rsidRDefault="00A74FE9" w:rsidP="00A74FE9">
            <w:pPr>
              <w:pStyle w:val="Odsekzoznamu"/>
              <w:ind w:left="1080"/>
              <w:rPr>
                <w:rFonts w:ascii="Times New Roman" w:hAnsi="Times New Roman"/>
                <w:sz w:val="20"/>
                <w:szCs w:val="20"/>
                <w:lang w:eastAsia="sk-SK"/>
              </w:rPr>
            </w:pPr>
            <w:r>
              <w:rPr>
                <w:rFonts w:ascii="Times New Roman" w:hAnsi="Times New Roman"/>
                <w:sz w:val="20"/>
                <w:szCs w:val="20"/>
                <w:lang w:eastAsia="sk-SK"/>
              </w:rPr>
              <w:t>P</w:t>
            </w:r>
            <w:r w:rsidRPr="00764571">
              <w:rPr>
                <w:rFonts w:ascii="Times New Roman" w:hAnsi="Times New Roman"/>
                <w:sz w:val="20"/>
                <w:szCs w:val="20"/>
                <w:lang w:eastAsia="sk-SK"/>
              </w:rPr>
              <w:t>rávnick</w:t>
            </w:r>
            <w:r>
              <w:rPr>
                <w:rFonts w:ascii="Times New Roman" w:hAnsi="Times New Roman"/>
                <w:sz w:val="20"/>
                <w:szCs w:val="20"/>
                <w:lang w:eastAsia="sk-SK"/>
              </w:rPr>
              <w:t>é</w:t>
            </w:r>
            <w:r w:rsidRPr="00764571">
              <w:rPr>
                <w:rFonts w:ascii="Times New Roman" w:hAnsi="Times New Roman"/>
                <w:sz w:val="20"/>
                <w:szCs w:val="20"/>
                <w:lang w:eastAsia="sk-SK"/>
              </w:rPr>
              <w:t xml:space="preserve"> os</w:t>
            </w:r>
            <w:r>
              <w:rPr>
                <w:rFonts w:ascii="Times New Roman" w:hAnsi="Times New Roman"/>
                <w:sz w:val="20"/>
                <w:szCs w:val="20"/>
                <w:lang w:eastAsia="sk-SK"/>
              </w:rPr>
              <w:t>o</w:t>
            </w:r>
            <w:r w:rsidRPr="00764571">
              <w:rPr>
                <w:rFonts w:ascii="Times New Roman" w:hAnsi="Times New Roman"/>
                <w:sz w:val="20"/>
                <w:szCs w:val="20"/>
                <w:lang w:eastAsia="sk-SK"/>
              </w:rPr>
              <w:t>b</w:t>
            </w:r>
            <w:r>
              <w:rPr>
                <w:rFonts w:ascii="Times New Roman" w:hAnsi="Times New Roman"/>
                <w:sz w:val="20"/>
                <w:szCs w:val="20"/>
                <w:lang w:eastAsia="sk-SK"/>
              </w:rPr>
              <w:t>y</w:t>
            </w:r>
            <w:r w:rsidRPr="00764571">
              <w:rPr>
                <w:rFonts w:ascii="Times New Roman" w:hAnsi="Times New Roman"/>
                <w:sz w:val="20"/>
                <w:szCs w:val="20"/>
                <w:lang w:eastAsia="sk-SK"/>
              </w:rPr>
              <w:t xml:space="preserve"> vyk</w:t>
            </w:r>
            <w:r>
              <w:rPr>
                <w:rFonts w:ascii="Times New Roman" w:hAnsi="Times New Roman"/>
                <w:sz w:val="20"/>
                <w:szCs w:val="20"/>
                <w:lang w:eastAsia="sk-SK"/>
              </w:rPr>
              <w:t>azujúce</w:t>
            </w:r>
            <w:r w:rsidRPr="00554B49">
              <w:rPr>
                <w:rFonts w:ascii="Times New Roman" w:hAnsi="Times New Roman"/>
                <w:sz w:val="20"/>
                <w:szCs w:val="20"/>
                <w:lang w:eastAsia="sk-SK"/>
              </w:rPr>
              <w:t xml:space="preserve"> nízky alebo žiadny zisk</w:t>
            </w:r>
          </w:p>
          <w:p w:rsidR="00A74FE9" w:rsidRPr="00764571" w:rsidRDefault="00A74FE9" w:rsidP="00A74FE9">
            <w:pPr>
              <w:pStyle w:val="Odsekzoznamu"/>
              <w:numPr>
                <w:ilvl w:val="0"/>
                <w:numId w:val="5"/>
              </w:numPr>
              <w:jc w:val="both"/>
              <w:rPr>
                <w:rFonts w:ascii="Times New Roman" w:hAnsi="Times New Roman"/>
                <w:sz w:val="20"/>
                <w:szCs w:val="20"/>
                <w:u w:val="single"/>
                <w:lang w:eastAsia="sk-SK"/>
              </w:rPr>
            </w:pPr>
            <w:r w:rsidRPr="00764571">
              <w:rPr>
                <w:rFonts w:ascii="Times New Roman" w:hAnsi="Times New Roman"/>
                <w:sz w:val="20"/>
                <w:szCs w:val="20"/>
                <w:u w:val="single"/>
                <w:lang w:eastAsia="sk-SK"/>
              </w:rPr>
              <w:t>Zvýšenie hranice pre použitie sadzby dane 15 % a súčasne pre využitie statusu mikrodaňovníka</w:t>
            </w:r>
          </w:p>
          <w:p w:rsidR="00A74FE9" w:rsidRPr="00764571" w:rsidRDefault="00A74FE9" w:rsidP="00A74FE9">
            <w:pPr>
              <w:pStyle w:val="Odsekzoznamu"/>
              <w:ind w:left="1080"/>
              <w:jc w:val="both"/>
              <w:rPr>
                <w:rFonts w:ascii="Times New Roman" w:hAnsi="Times New Roman"/>
                <w:color w:val="000000" w:themeColor="text1"/>
                <w:sz w:val="20"/>
                <w:szCs w:val="20"/>
              </w:rPr>
            </w:pPr>
            <w:r w:rsidRPr="00764571">
              <w:rPr>
                <w:rFonts w:ascii="Times New Roman" w:hAnsi="Times New Roman"/>
                <w:color w:val="000000" w:themeColor="text1"/>
                <w:sz w:val="20"/>
                <w:szCs w:val="20"/>
              </w:rPr>
              <w:t>Fyzické osoby – podnikatelia</w:t>
            </w:r>
          </w:p>
          <w:p w:rsidR="00A74FE9" w:rsidRDefault="00A74FE9" w:rsidP="00A74FE9">
            <w:pPr>
              <w:pStyle w:val="Odsekzoznamu"/>
              <w:ind w:left="1080"/>
              <w:jc w:val="both"/>
              <w:rPr>
                <w:rFonts w:ascii="Times New Roman" w:hAnsi="Times New Roman"/>
                <w:color w:val="000000" w:themeColor="text1"/>
                <w:sz w:val="20"/>
                <w:szCs w:val="20"/>
              </w:rPr>
            </w:pPr>
            <w:r w:rsidRPr="00764571">
              <w:rPr>
                <w:rFonts w:ascii="Times New Roman" w:hAnsi="Times New Roman"/>
                <w:color w:val="000000" w:themeColor="text1"/>
                <w:sz w:val="20"/>
                <w:szCs w:val="20"/>
              </w:rPr>
              <w:t>Právnické osoby.</w:t>
            </w:r>
          </w:p>
          <w:p w:rsidR="00A74FE9" w:rsidRPr="00764571" w:rsidRDefault="00A74FE9" w:rsidP="00A74FE9">
            <w:pPr>
              <w:pStyle w:val="Odsekzoznamu"/>
              <w:ind w:left="1080"/>
              <w:jc w:val="both"/>
              <w:rPr>
                <w:rFonts w:ascii="Times New Roman" w:hAnsi="Times New Roman"/>
                <w:color w:val="000000" w:themeColor="text1"/>
                <w:sz w:val="20"/>
                <w:szCs w:val="20"/>
              </w:rPr>
            </w:pPr>
          </w:p>
          <w:p w:rsidR="00A74FE9" w:rsidRPr="00764571" w:rsidRDefault="00A74FE9" w:rsidP="00A74FE9">
            <w:pPr>
              <w:jc w:val="both"/>
              <w:rPr>
                <w:rFonts w:ascii="Times New Roman" w:eastAsia="Times New Roman" w:hAnsi="Times New Roman" w:cs="Times New Roman"/>
                <w:b/>
                <w:sz w:val="20"/>
                <w:szCs w:val="20"/>
                <w:lang w:eastAsia="sk-SK"/>
              </w:rPr>
            </w:pPr>
            <w:r w:rsidRPr="00764571">
              <w:rPr>
                <w:rFonts w:ascii="Times New Roman" w:eastAsia="Times New Roman" w:hAnsi="Times New Roman" w:cs="Times New Roman"/>
                <w:b/>
                <w:sz w:val="20"/>
                <w:szCs w:val="20"/>
                <w:lang w:eastAsia="sk-SK"/>
              </w:rPr>
              <w:t>Zákon o spotrebnej dani z tabakových výrobkov</w:t>
            </w:r>
          </w:p>
          <w:p w:rsidR="00A74FE9" w:rsidRDefault="00A74FE9" w:rsidP="00A74FE9">
            <w:pPr>
              <w:rPr>
                <w:rFonts w:ascii="Times New Roman" w:hAnsi="Times New Roman"/>
                <w:sz w:val="20"/>
                <w:szCs w:val="20"/>
              </w:rPr>
            </w:pPr>
            <w:r w:rsidRPr="00764571">
              <w:rPr>
                <w:rFonts w:ascii="Times New Roman" w:eastAsia="Times New Roman" w:hAnsi="Times New Roman" w:cs="Times New Roman"/>
                <w:sz w:val="20"/>
                <w:szCs w:val="20"/>
                <w:lang w:eastAsia="sk-SK"/>
              </w:rPr>
              <w:t>Podnikateľské subjekty, ktoré obchodujú s tabakovými</w:t>
            </w:r>
            <w:r w:rsidRPr="005D7476">
              <w:rPr>
                <w:rFonts w:ascii="Times New Roman" w:eastAsia="Times New Roman" w:hAnsi="Times New Roman" w:cs="Times New Roman"/>
                <w:sz w:val="20"/>
                <w:szCs w:val="20"/>
                <w:lang w:eastAsia="sk-SK"/>
              </w:rPr>
              <w:t xml:space="preserve"> výrobkami podľa zákona č. 106/2004 Z. z</w:t>
            </w:r>
            <w:r w:rsidRPr="005D7476">
              <w:rPr>
                <w:rFonts w:ascii="Times New Roman" w:eastAsia="Times New Roman" w:hAnsi="Times New Roman" w:cs="Times New Roman"/>
                <w:bCs/>
                <w:sz w:val="20"/>
                <w:szCs w:val="20"/>
                <w:lang w:eastAsia="sk-SK"/>
              </w:rPr>
              <w:t xml:space="preserve">. </w:t>
            </w:r>
            <w:r w:rsidRPr="005D7476">
              <w:rPr>
                <w:rFonts w:ascii="Times New Roman" w:hAnsi="Times New Roman"/>
                <w:sz w:val="20"/>
                <w:szCs w:val="20"/>
              </w:rPr>
              <w:t>a koneční spotrebitelia tabakových výrobkov.</w:t>
            </w:r>
          </w:p>
          <w:p w:rsidR="00A74FE9" w:rsidRPr="005D7476" w:rsidRDefault="00A74FE9" w:rsidP="00A74FE9">
            <w:pPr>
              <w:rPr>
                <w:rFonts w:ascii="Times New Roman" w:eastAsia="Times New Roman" w:hAnsi="Times New Roman" w:cs="Times New Roman"/>
                <w:sz w:val="20"/>
                <w:szCs w:val="20"/>
                <w:lang w:eastAsia="sk-SK"/>
              </w:rPr>
            </w:pPr>
          </w:p>
          <w:p w:rsidR="00A74FE9" w:rsidRPr="009028EE" w:rsidRDefault="00A74FE9" w:rsidP="00A74FE9">
            <w:pPr>
              <w:jc w:val="both"/>
              <w:rPr>
                <w:rFonts w:ascii="Times New Roman" w:eastAsia="Times New Roman" w:hAnsi="Times New Roman" w:cs="Times New Roman"/>
                <w:b/>
                <w:sz w:val="20"/>
                <w:szCs w:val="20"/>
                <w:lang w:eastAsia="sk-SK"/>
              </w:rPr>
            </w:pPr>
            <w:r w:rsidRPr="009028EE">
              <w:rPr>
                <w:rFonts w:ascii="Times New Roman" w:eastAsia="Times New Roman" w:hAnsi="Times New Roman" w:cs="Times New Roman"/>
                <w:b/>
                <w:sz w:val="20"/>
                <w:szCs w:val="20"/>
                <w:lang w:eastAsia="sk-SK"/>
              </w:rPr>
              <w:t>Zákon o dani z pridanej hodnoty</w:t>
            </w:r>
          </w:p>
          <w:p w:rsidR="00A74FE9" w:rsidRDefault="00A74FE9" w:rsidP="00A74FE9">
            <w:pPr>
              <w:jc w:val="both"/>
              <w:rPr>
                <w:rFonts w:ascii="Times New Roman" w:eastAsia="Times New Roman" w:hAnsi="Times New Roman" w:cs="Times New Roman"/>
                <w:sz w:val="20"/>
                <w:szCs w:val="20"/>
                <w:lang w:eastAsia="sk-SK"/>
              </w:rPr>
            </w:pPr>
            <w:r w:rsidRPr="001A1B11">
              <w:rPr>
                <w:rFonts w:ascii="Times New Roman" w:eastAsia="Times New Roman" w:hAnsi="Times New Roman" w:cs="Times New Roman"/>
                <w:sz w:val="20"/>
                <w:szCs w:val="20"/>
                <w:lang w:eastAsia="sk-SK"/>
              </w:rPr>
              <w:t>Finančné riaditeľstvo SR, daňové úrady, zdaniteľné osoby</w:t>
            </w:r>
            <w:r>
              <w:rPr>
                <w:rFonts w:ascii="Times New Roman" w:eastAsia="Times New Roman" w:hAnsi="Times New Roman" w:cs="Times New Roman"/>
                <w:sz w:val="20"/>
                <w:szCs w:val="20"/>
                <w:lang w:eastAsia="sk-SK"/>
              </w:rPr>
              <w:t>, fyzické osoby.</w:t>
            </w:r>
          </w:p>
          <w:p w:rsidR="00A74FE9" w:rsidRDefault="00A74FE9" w:rsidP="00A74FE9">
            <w:pPr>
              <w:jc w:val="both"/>
              <w:rPr>
                <w:rFonts w:ascii="Times New Roman" w:eastAsia="Times New Roman" w:hAnsi="Times New Roman" w:cs="Times New Roman"/>
                <w:b/>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p>
          <w:p w:rsidR="00A74FE9" w:rsidRPr="00CA4044" w:rsidRDefault="00A74FE9" w:rsidP="00A74FE9">
            <w:pPr>
              <w:jc w:val="both"/>
              <w:rPr>
                <w:rFonts w:ascii="Times New Roman" w:eastAsia="Times New Roman" w:hAnsi="Times New Roman" w:cs="Times New Roman"/>
                <w:b/>
                <w:sz w:val="20"/>
                <w:szCs w:val="20"/>
                <w:lang w:eastAsia="sk-SK"/>
              </w:rPr>
            </w:pPr>
            <w:r w:rsidRPr="00CA4044">
              <w:rPr>
                <w:rFonts w:ascii="Times New Roman" w:eastAsia="Times New Roman" w:hAnsi="Times New Roman" w:cs="Times New Roman"/>
                <w:b/>
                <w:sz w:val="20"/>
                <w:szCs w:val="20"/>
                <w:lang w:eastAsia="sk-SK"/>
              </w:rPr>
              <w:t>Zákon o osobitnom odvode v regulovaných odvetviach</w:t>
            </w:r>
          </w:p>
          <w:p w:rsidR="00A74FE9" w:rsidRPr="00CA4044" w:rsidRDefault="00A74FE9" w:rsidP="00A74FE9">
            <w:pPr>
              <w:rPr>
                <w:rFonts w:ascii="Times New Roman" w:eastAsia="Times New Roman" w:hAnsi="Times New Roman" w:cs="Times New Roman"/>
                <w:sz w:val="20"/>
                <w:szCs w:val="20"/>
              </w:rPr>
            </w:pPr>
            <w:r w:rsidRPr="00CA4044">
              <w:rPr>
                <w:rFonts w:ascii="Times New Roman" w:eastAsia="Times New Roman" w:hAnsi="Times New Roman" w:cs="Times New Roman"/>
                <w:sz w:val="20"/>
                <w:szCs w:val="20"/>
              </w:rPr>
              <w:t>Medzi dotknuté subjekty sa zaraďujú subjekty, ktoré majú oprávnenie na výkon činnosti v oblasti vykonávanej na základe povolenia vydaného alebo udeleného Národnou bankou Slovenska.</w:t>
            </w:r>
          </w:p>
          <w:p w:rsidR="00A74FE9" w:rsidRDefault="00A74FE9" w:rsidP="00A74FE9">
            <w:pPr>
              <w:jc w:val="both"/>
              <w:rPr>
                <w:rFonts w:ascii="Inter" w:hAnsi="Inter"/>
                <w:color w:val="3B3434"/>
                <w:shd w:val="clear" w:color="auto" w:fill="FFFFFF"/>
              </w:rPr>
            </w:pPr>
          </w:p>
          <w:p w:rsidR="00A74FE9" w:rsidRPr="00CA4044" w:rsidRDefault="00A74FE9" w:rsidP="00A74FE9">
            <w:pPr>
              <w:jc w:val="both"/>
              <w:rPr>
                <w:rFonts w:ascii="Times New Roman" w:hAnsi="Times New Roman"/>
                <w:b/>
                <w:sz w:val="20"/>
                <w:szCs w:val="20"/>
              </w:rPr>
            </w:pPr>
            <w:r w:rsidRPr="00CA4044">
              <w:rPr>
                <w:rFonts w:ascii="Times New Roman" w:hAnsi="Times New Roman"/>
                <w:b/>
                <w:sz w:val="20"/>
                <w:szCs w:val="20"/>
              </w:rPr>
              <w:t>Zákon o solidárnom príspevku</w:t>
            </w:r>
          </w:p>
          <w:p w:rsidR="00A74FE9" w:rsidRPr="00CA4044" w:rsidRDefault="00A74FE9" w:rsidP="00A74FE9">
            <w:pPr>
              <w:rPr>
                <w:rFonts w:ascii="Times New Roman" w:eastAsia="Times New Roman" w:hAnsi="Times New Roman" w:cs="Times New Roman"/>
                <w:sz w:val="20"/>
                <w:szCs w:val="20"/>
              </w:rPr>
            </w:pPr>
            <w:r w:rsidRPr="00CA4044">
              <w:rPr>
                <w:rFonts w:ascii="Times New Roman" w:eastAsia="Times New Roman" w:hAnsi="Times New Roman" w:cs="Times New Roman"/>
                <w:sz w:val="20"/>
                <w:szCs w:val="20"/>
              </w:rPr>
              <w:t>Dotknuté subjekty, ktoré podnikajú v oblasti rafinérií.</w:t>
            </w:r>
          </w:p>
          <w:p w:rsidR="00A74FE9" w:rsidRPr="009028EE" w:rsidRDefault="00A74FE9" w:rsidP="00A74FE9">
            <w:pPr>
              <w:jc w:val="both"/>
              <w:rPr>
                <w:rFonts w:ascii="Times New Roman" w:hAnsi="Times New Roman"/>
                <w:sz w:val="20"/>
                <w:szCs w:val="20"/>
                <w:u w:val="single"/>
              </w:rPr>
            </w:pPr>
          </w:p>
          <w:p w:rsidR="00A74FE9" w:rsidRDefault="00A74FE9" w:rsidP="00A74FE9">
            <w:pPr>
              <w:rPr>
                <w:rFonts w:ascii="Times New Roman" w:hAnsi="Times New Roman"/>
                <w:b/>
                <w:sz w:val="20"/>
                <w:szCs w:val="20"/>
              </w:rPr>
            </w:pPr>
            <w:r w:rsidRPr="005F7F2F">
              <w:rPr>
                <w:rFonts w:ascii="Times New Roman" w:hAnsi="Times New Roman"/>
                <w:b/>
                <w:sz w:val="20"/>
                <w:szCs w:val="20"/>
              </w:rPr>
              <w:t>Zákon o spotrebnej dani z alkoholických nápojov</w:t>
            </w:r>
          </w:p>
          <w:p w:rsidR="00A74FE9" w:rsidRDefault="00A74FE9" w:rsidP="00A74FE9">
            <w:pPr>
              <w:pStyle w:val="Bezriadkovania"/>
              <w:jc w:val="both"/>
              <w:rPr>
                <w:rFonts w:ascii="Times New Roman" w:hAnsi="Times New Roman"/>
                <w:sz w:val="20"/>
                <w:szCs w:val="20"/>
              </w:rPr>
            </w:pPr>
            <w:r w:rsidRPr="00C5649C">
              <w:rPr>
                <w:rFonts w:ascii="Times New Roman" w:hAnsi="Times New Roman"/>
                <w:sz w:val="20"/>
                <w:szCs w:val="20"/>
              </w:rPr>
              <w:t xml:space="preserve">Podnikateľské subjekty, ktoré </w:t>
            </w:r>
            <w:r w:rsidRPr="00857B97">
              <w:rPr>
                <w:rFonts w:ascii="Times New Roman" w:hAnsi="Times New Roman"/>
                <w:sz w:val="20"/>
                <w:szCs w:val="20"/>
              </w:rPr>
              <w:t>vyrábajú, spracúvajú alebo podnikajú s alkoho</w:t>
            </w:r>
            <w:r>
              <w:rPr>
                <w:rFonts w:ascii="Times New Roman" w:hAnsi="Times New Roman"/>
                <w:sz w:val="20"/>
                <w:szCs w:val="20"/>
              </w:rPr>
              <w:t>lickým nápojom, ktorým je lieh a koneční spotrebitelia.</w:t>
            </w:r>
          </w:p>
          <w:p w:rsidR="00A74FE9" w:rsidRDefault="00A74FE9" w:rsidP="00A74FE9">
            <w:pPr>
              <w:pStyle w:val="Bezriadkovania"/>
              <w:jc w:val="both"/>
              <w:rPr>
                <w:rFonts w:ascii="Times New Roman" w:hAnsi="Times New Roman"/>
                <w:sz w:val="20"/>
                <w:szCs w:val="20"/>
              </w:rPr>
            </w:pPr>
          </w:p>
          <w:p w:rsidR="00A74FE9" w:rsidRDefault="00A74FE9" w:rsidP="00A74FE9">
            <w:pPr>
              <w:pStyle w:val="Bezriadkovania"/>
              <w:jc w:val="both"/>
              <w:rPr>
                <w:rFonts w:ascii="Times New Roman" w:hAnsi="Times New Roman"/>
                <w:b/>
                <w:sz w:val="20"/>
                <w:szCs w:val="20"/>
                <w:lang w:eastAsia="sk-SK"/>
              </w:rPr>
            </w:pPr>
            <w:r w:rsidRPr="00203EC6">
              <w:rPr>
                <w:rFonts w:ascii="Times New Roman" w:hAnsi="Times New Roman"/>
                <w:b/>
                <w:sz w:val="20"/>
                <w:szCs w:val="20"/>
                <w:lang w:eastAsia="sk-SK"/>
              </w:rPr>
              <w:t>Zákon o Rozhlase a televízii Slovenska</w:t>
            </w:r>
          </w:p>
          <w:p w:rsidR="00A74FE9" w:rsidRDefault="00A74FE9" w:rsidP="00A74FE9">
            <w:pPr>
              <w:pStyle w:val="Bezriadkovania"/>
              <w:jc w:val="both"/>
              <w:rPr>
                <w:rFonts w:ascii="Times New Roman" w:hAnsi="Times New Roman"/>
                <w:sz w:val="20"/>
                <w:szCs w:val="20"/>
                <w:lang w:eastAsia="sk-SK"/>
              </w:rPr>
            </w:pPr>
            <w:r>
              <w:rPr>
                <w:rFonts w:ascii="Times New Roman" w:hAnsi="Times New Roman"/>
                <w:sz w:val="20"/>
                <w:szCs w:val="20"/>
                <w:lang w:eastAsia="sk-SK"/>
              </w:rPr>
              <w:t>Rozhlas a televízia Slovenska.</w:t>
            </w:r>
          </w:p>
          <w:p w:rsidR="00A74FE9" w:rsidRDefault="00A74FE9" w:rsidP="00A74FE9">
            <w:pPr>
              <w:pStyle w:val="Bezriadkovania"/>
              <w:jc w:val="both"/>
              <w:rPr>
                <w:rFonts w:ascii="Times New Roman" w:hAnsi="Times New Roman"/>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Zákon </w:t>
            </w:r>
            <w:r w:rsidRPr="000A4180">
              <w:rPr>
                <w:rFonts w:ascii="Times New Roman" w:eastAsia="Times New Roman" w:hAnsi="Times New Roman" w:cs="Times New Roman"/>
                <w:b/>
                <w:sz w:val="20"/>
                <w:szCs w:val="20"/>
                <w:lang w:eastAsia="sk-SK"/>
              </w:rPr>
              <w:t xml:space="preserve">o sociálnom poistení </w:t>
            </w:r>
          </w:p>
          <w:p w:rsidR="00A74FE9" w:rsidRDefault="00A74FE9" w:rsidP="00A74FE9">
            <w:pPr>
              <w:rPr>
                <w:rFonts w:ascii="Times New Roman" w:eastAsia="Times New Roman" w:hAnsi="Times New Roman" w:cs="Times New Roman"/>
                <w:sz w:val="20"/>
                <w:szCs w:val="20"/>
                <w:lang w:eastAsia="sk-SK"/>
              </w:rPr>
            </w:pPr>
            <w:r w:rsidRPr="000A4180">
              <w:rPr>
                <w:rFonts w:ascii="Times New Roman" w:eastAsia="Times New Roman" w:hAnsi="Times New Roman" w:cs="Times New Roman"/>
                <w:sz w:val="20"/>
                <w:szCs w:val="20"/>
                <w:lang w:eastAsia="sk-SK"/>
              </w:rPr>
              <w:t>Sporitelia</w:t>
            </w:r>
            <w:r w:rsidRPr="00493C7F">
              <w:rPr>
                <w:rFonts w:ascii="Times New Roman" w:eastAsia="Times New Roman" w:hAnsi="Times New Roman" w:cs="Times New Roman"/>
                <w:sz w:val="20"/>
                <w:szCs w:val="20"/>
                <w:lang w:eastAsia="sk-SK"/>
              </w:rPr>
              <w:t xml:space="preserve"> v systéme starobného dôchodkového sporenia a dôchodkové správcovské spoločnosti.</w:t>
            </w:r>
          </w:p>
          <w:p w:rsidR="00A74FE9" w:rsidRDefault="00A74FE9" w:rsidP="00A74FE9">
            <w:pPr>
              <w:rPr>
                <w:rFonts w:ascii="Times New Roman" w:eastAsia="Times New Roman" w:hAnsi="Times New Roman" w:cs="Times New Roman"/>
                <w:sz w:val="20"/>
                <w:szCs w:val="20"/>
                <w:lang w:eastAsia="sk-SK"/>
              </w:rPr>
            </w:pPr>
          </w:p>
          <w:p w:rsidR="00A74FE9" w:rsidRPr="00895E4B" w:rsidRDefault="00A74FE9" w:rsidP="00A74FE9">
            <w:pPr>
              <w:rPr>
                <w:rFonts w:ascii="Times New Roman" w:eastAsia="Times New Roman" w:hAnsi="Times New Roman" w:cs="Times New Roman"/>
                <w:b/>
                <w:sz w:val="20"/>
                <w:szCs w:val="20"/>
                <w:lang w:eastAsia="sk-SK"/>
              </w:rPr>
            </w:pPr>
            <w:r w:rsidRPr="00895E4B">
              <w:rPr>
                <w:rFonts w:ascii="Times New Roman" w:eastAsia="Times New Roman" w:hAnsi="Times New Roman" w:cs="Times New Roman"/>
                <w:b/>
                <w:sz w:val="20"/>
                <w:szCs w:val="20"/>
                <w:lang w:eastAsia="sk-SK"/>
              </w:rPr>
              <w:t>Zákon o zdravotnom poistení</w:t>
            </w:r>
          </w:p>
          <w:p w:rsidR="00A74FE9" w:rsidRDefault="00A74FE9" w:rsidP="00A74FE9">
            <w:pPr>
              <w:rPr>
                <w:rFonts w:ascii="Times New Roman" w:eastAsia="Times New Roman" w:hAnsi="Times New Roman" w:cs="Times New Roman"/>
                <w:sz w:val="20"/>
                <w:szCs w:val="20"/>
                <w:lang w:eastAsia="sk-SK"/>
              </w:rPr>
            </w:pPr>
            <w:r w:rsidRPr="00895E4B">
              <w:rPr>
                <w:rFonts w:ascii="Times New Roman" w:eastAsia="Times New Roman" w:hAnsi="Times New Roman" w:cs="Times New Roman"/>
                <w:sz w:val="20"/>
                <w:szCs w:val="20"/>
                <w:lang w:eastAsia="sk-SK"/>
              </w:rPr>
              <w:t>Verejné zdravotné poistenie, subjekty verejnej správy, zamestnávatelia.</w:t>
            </w:r>
          </w:p>
          <w:p w:rsidR="00A74FE9" w:rsidRPr="009517A5" w:rsidRDefault="00A74FE9" w:rsidP="00A74FE9">
            <w:pPr>
              <w:rPr>
                <w:rFonts w:ascii="Times New Roman" w:eastAsia="Times New Roman" w:hAnsi="Times New Roman" w:cs="Times New Roman"/>
                <w:i/>
                <w:sz w:val="20"/>
                <w:szCs w:val="20"/>
                <w:lang w:eastAsia="sk-SK"/>
              </w:rPr>
            </w:pPr>
          </w:p>
        </w:tc>
      </w:tr>
      <w:tr w:rsidR="00A74FE9" w:rsidRPr="00612E08" w:rsidTr="00A74FE9">
        <w:tc>
          <w:tcPr>
            <w:tcW w:w="9180" w:type="dxa"/>
            <w:gridSpan w:val="11"/>
            <w:tcBorders>
              <w:top w:val="single" w:sz="4" w:space="0" w:color="auto"/>
              <w:left w:val="single" w:sz="4" w:space="0" w:color="auto"/>
              <w:bottom w:val="nil"/>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Alternatívne riešenia</w:t>
            </w:r>
          </w:p>
        </w:tc>
      </w:tr>
      <w:tr w:rsidR="00A74FE9" w:rsidRPr="00612E08" w:rsidTr="00A74FE9">
        <w:trPr>
          <w:trHeight w:val="326"/>
        </w:trPr>
        <w:tc>
          <w:tcPr>
            <w:tcW w:w="9180" w:type="dxa"/>
            <w:gridSpan w:val="11"/>
            <w:tcBorders>
              <w:top w:val="nil"/>
              <w:left w:val="single" w:sz="4" w:space="0" w:color="auto"/>
              <w:bottom w:val="single" w:sz="4" w:space="0" w:color="auto"/>
              <w:right w:val="single" w:sz="4" w:space="0" w:color="auto"/>
            </w:tcBorders>
            <w:shd w:val="clear" w:color="auto" w:fill="FFFFFF"/>
          </w:tcPr>
          <w:p w:rsidR="00A74FE9" w:rsidRPr="00126BFD" w:rsidRDefault="00A74FE9" w:rsidP="00A74FE9">
            <w:pPr>
              <w:jc w:val="both"/>
              <w:rPr>
                <w:rFonts w:ascii="Times New Roman" w:eastAsia="Times New Roman" w:hAnsi="Times New Roman" w:cs="Times New Roman"/>
                <w:b/>
                <w:sz w:val="20"/>
                <w:szCs w:val="20"/>
                <w:lang w:eastAsia="sk-SK"/>
              </w:rPr>
            </w:pPr>
            <w:r w:rsidRPr="00126BFD">
              <w:rPr>
                <w:rFonts w:ascii="Times New Roman" w:eastAsia="Times New Roman" w:hAnsi="Times New Roman" w:cs="Times New Roman"/>
                <w:b/>
                <w:sz w:val="20"/>
                <w:szCs w:val="20"/>
                <w:lang w:eastAsia="sk-SK"/>
              </w:rPr>
              <w:t>Zákon o stavebnom sporení</w:t>
            </w:r>
          </w:p>
          <w:p w:rsidR="00A74FE9" w:rsidRPr="00126BFD" w:rsidRDefault="00A74FE9" w:rsidP="00A74FE9">
            <w:pPr>
              <w:jc w:val="both"/>
              <w:rPr>
                <w:rFonts w:ascii="Times New Roman" w:hAnsi="Times New Roman" w:cs="Times New Roman"/>
                <w:sz w:val="20"/>
                <w:szCs w:val="20"/>
              </w:rPr>
            </w:pPr>
            <w:r w:rsidRPr="00126BFD">
              <w:rPr>
                <w:rFonts w:ascii="Times New Roman" w:eastAsia="Times New Roman" w:hAnsi="Times New Roman" w:cs="Times New Roman"/>
                <w:i/>
                <w:sz w:val="20"/>
                <w:szCs w:val="20"/>
                <w:lang w:eastAsia="sk-SK"/>
              </w:rPr>
              <w:t xml:space="preserve">Nulový variant - </w:t>
            </w:r>
            <w:r w:rsidRPr="00126BFD">
              <w:rPr>
                <w:rFonts w:ascii="Times New Roman" w:hAnsi="Times New Roman" w:cs="Times New Roman"/>
                <w:sz w:val="20"/>
                <w:szCs w:val="20"/>
              </w:rPr>
              <w:t>zachovanie doterajšej právnej úpravy by spôsobilo, že na získanie podpory vo forme štátnej prémie by sa  príjmová hranica stavebného sporiteľa, ktorý je členom domácnosti výrazne posunula nahor a zároveň by sa rozšíril aj okruh oprávnených osôb na získanie štátnej prémie, a to v dvojnásobnej výške percentuálnej sadzby.</w:t>
            </w:r>
          </w:p>
          <w:p w:rsidR="00A74FE9" w:rsidRPr="00126BFD" w:rsidRDefault="00A74FE9" w:rsidP="00A74FE9">
            <w:pPr>
              <w:jc w:val="both"/>
              <w:rPr>
                <w:rFonts w:ascii="Times New Roman" w:eastAsia="Times New Roman" w:hAnsi="Times New Roman" w:cs="Times New Roman"/>
                <w:b/>
                <w:sz w:val="20"/>
                <w:szCs w:val="20"/>
                <w:lang w:eastAsia="sk-SK"/>
              </w:rPr>
            </w:pPr>
            <w:r w:rsidRPr="00126BFD">
              <w:rPr>
                <w:rFonts w:ascii="Times New Roman" w:eastAsia="Times New Roman" w:hAnsi="Times New Roman" w:cs="Times New Roman"/>
                <w:b/>
                <w:sz w:val="20"/>
                <w:szCs w:val="20"/>
                <w:lang w:eastAsia="sk-SK"/>
              </w:rPr>
              <w:t>Zákon o dani z príjmov</w:t>
            </w:r>
          </w:p>
          <w:p w:rsidR="00A74FE9" w:rsidRPr="003B267D" w:rsidRDefault="00A74FE9" w:rsidP="00A74FE9">
            <w:pPr>
              <w:pStyle w:val="Odsekzoznamu"/>
              <w:numPr>
                <w:ilvl w:val="0"/>
                <w:numId w:val="3"/>
              </w:numPr>
              <w:jc w:val="both"/>
              <w:rPr>
                <w:rFonts w:ascii="Times New Roman" w:hAnsi="Times New Roman"/>
                <w:color w:val="000000" w:themeColor="text1"/>
                <w:sz w:val="20"/>
                <w:szCs w:val="20"/>
                <w:u w:val="single"/>
              </w:rPr>
            </w:pPr>
            <w:r w:rsidRPr="003B267D">
              <w:rPr>
                <w:rFonts w:ascii="Times New Roman" w:hAnsi="Times New Roman"/>
                <w:color w:val="000000" w:themeColor="text1"/>
                <w:sz w:val="20"/>
                <w:szCs w:val="20"/>
                <w:u w:val="single"/>
              </w:rPr>
              <w:t>Zrážková daň z dividend</w:t>
            </w:r>
          </w:p>
          <w:p w:rsidR="00A74FE9" w:rsidRPr="003B267D" w:rsidRDefault="00A74FE9" w:rsidP="00A74FE9">
            <w:pPr>
              <w:jc w:val="both"/>
              <w:rPr>
                <w:rFonts w:ascii="Times New Roman" w:hAnsi="Times New Roman" w:cs="Times New Roman"/>
                <w:color w:val="000000" w:themeColor="text1"/>
                <w:sz w:val="20"/>
                <w:szCs w:val="20"/>
              </w:rPr>
            </w:pPr>
            <w:r w:rsidRPr="003B267D">
              <w:rPr>
                <w:rFonts w:ascii="Times New Roman" w:hAnsi="Times New Roman" w:cs="Times New Roman"/>
                <w:color w:val="000000" w:themeColor="text1"/>
                <w:sz w:val="20"/>
                <w:szCs w:val="20"/>
              </w:rPr>
              <w:t>Nulový variant – pri ponechaní aktuálnej výšky sadzby zrážkovej dane z dividend nedôjde k zvýšeniu príjmov štátneho rozpočtu.</w:t>
            </w:r>
          </w:p>
          <w:p w:rsidR="00A74FE9" w:rsidRPr="003B267D" w:rsidRDefault="00A74FE9" w:rsidP="00A74FE9">
            <w:pPr>
              <w:pStyle w:val="Odsekzoznamu"/>
              <w:numPr>
                <w:ilvl w:val="0"/>
                <w:numId w:val="3"/>
              </w:numPr>
              <w:jc w:val="both"/>
              <w:rPr>
                <w:rFonts w:ascii="Times New Roman" w:hAnsi="Times New Roman"/>
                <w:sz w:val="20"/>
                <w:szCs w:val="20"/>
                <w:u w:val="single"/>
              </w:rPr>
            </w:pPr>
            <w:r w:rsidRPr="003B267D">
              <w:rPr>
                <w:rFonts w:ascii="Times New Roman" w:hAnsi="Times New Roman"/>
                <w:color w:val="000000" w:themeColor="text1"/>
                <w:sz w:val="20"/>
                <w:szCs w:val="20"/>
                <w:u w:val="single"/>
              </w:rPr>
              <w:t>Kapitálové príjmy fyzických osôb</w:t>
            </w:r>
          </w:p>
          <w:p w:rsidR="00A74FE9" w:rsidRPr="003B267D" w:rsidRDefault="00A74FE9" w:rsidP="00A74FE9">
            <w:pPr>
              <w:jc w:val="both"/>
              <w:rPr>
                <w:rFonts w:ascii="Times New Roman" w:hAnsi="Times New Roman" w:cs="Times New Roman"/>
                <w:color w:val="000000" w:themeColor="text1"/>
                <w:sz w:val="20"/>
                <w:szCs w:val="20"/>
              </w:rPr>
            </w:pPr>
            <w:r w:rsidRPr="003B267D">
              <w:rPr>
                <w:rFonts w:ascii="Times New Roman" w:hAnsi="Times New Roman" w:cs="Times New Roman"/>
                <w:color w:val="000000" w:themeColor="text1"/>
                <w:sz w:val="20"/>
                <w:szCs w:val="20"/>
              </w:rPr>
              <w:t xml:space="preserve">Nulový variant – nezavedením zdanenia kapitálových príjmov fyzických osôb nadobudne platnosť zákon č. 315/2023 Z. z., podľa ktorého by sa od 1. januára 2024  malo zaviesť viacero oslobodení a výnimiek zo zdanenia pre príjmy z kapitálového majetku a virtuálnej meny. </w:t>
            </w:r>
          </w:p>
          <w:p w:rsidR="00A74FE9" w:rsidRPr="003B267D" w:rsidRDefault="00A74FE9" w:rsidP="00A74FE9">
            <w:pPr>
              <w:pStyle w:val="Odsekzoznamu"/>
              <w:numPr>
                <w:ilvl w:val="0"/>
                <w:numId w:val="3"/>
              </w:numPr>
              <w:jc w:val="both"/>
              <w:rPr>
                <w:rFonts w:ascii="Times New Roman" w:hAnsi="Times New Roman"/>
                <w:color w:val="000000" w:themeColor="text1"/>
                <w:sz w:val="20"/>
                <w:szCs w:val="20"/>
                <w:u w:val="single"/>
              </w:rPr>
            </w:pPr>
            <w:r w:rsidRPr="003B267D">
              <w:rPr>
                <w:rFonts w:ascii="Times New Roman" w:hAnsi="Times New Roman"/>
                <w:color w:val="000000" w:themeColor="text1"/>
                <w:sz w:val="20"/>
                <w:szCs w:val="20"/>
                <w:u w:val="single"/>
              </w:rPr>
              <w:t>Minimálna daň pre právnické osoby</w:t>
            </w:r>
          </w:p>
          <w:p w:rsidR="00A74FE9" w:rsidRPr="003B267D" w:rsidRDefault="00A74FE9" w:rsidP="00A74FE9">
            <w:pPr>
              <w:jc w:val="both"/>
              <w:rPr>
                <w:rFonts w:ascii="Times New Roman" w:eastAsia="Times New Roman" w:hAnsi="Times New Roman" w:cs="Times New Roman"/>
                <w:sz w:val="20"/>
                <w:szCs w:val="20"/>
                <w:lang w:eastAsia="sk-SK"/>
              </w:rPr>
            </w:pPr>
            <w:r w:rsidRPr="003B267D">
              <w:rPr>
                <w:rFonts w:ascii="Times New Roman" w:eastAsia="Times New Roman" w:hAnsi="Times New Roman" w:cs="Times New Roman"/>
                <w:sz w:val="20"/>
                <w:szCs w:val="20"/>
                <w:lang w:eastAsia="sk-SK"/>
              </w:rPr>
              <w:t>Nulový variant – nezavedením minimálnej výšky dane z príjmov právnických osôb by malo za následok pri subjektoch, ktoré dosahujú daňovú stratu neodvedenie dane a nenaplnenie príjmov štátneho rozpočtu.</w:t>
            </w:r>
          </w:p>
          <w:p w:rsidR="00A74FE9" w:rsidRPr="003B267D" w:rsidRDefault="00A74FE9" w:rsidP="00A74FE9">
            <w:pPr>
              <w:pStyle w:val="Odsekzoznamu"/>
              <w:numPr>
                <w:ilvl w:val="0"/>
                <w:numId w:val="3"/>
              </w:numPr>
              <w:jc w:val="both"/>
              <w:rPr>
                <w:rFonts w:ascii="Times New Roman" w:hAnsi="Times New Roman"/>
                <w:sz w:val="20"/>
                <w:szCs w:val="20"/>
                <w:u w:val="single"/>
                <w:lang w:eastAsia="sk-SK"/>
              </w:rPr>
            </w:pPr>
            <w:r w:rsidRPr="003B267D">
              <w:rPr>
                <w:rFonts w:ascii="Times New Roman" w:hAnsi="Times New Roman"/>
                <w:sz w:val="20"/>
                <w:szCs w:val="20"/>
                <w:u w:val="single"/>
                <w:lang w:eastAsia="sk-SK"/>
              </w:rPr>
              <w:t>Zvýšenie hranice pre použitie sadzby dane 15 % a súčasne pre využitie statusu mikrodaňovníka</w:t>
            </w:r>
          </w:p>
          <w:p w:rsidR="00A74FE9" w:rsidRDefault="00A74FE9" w:rsidP="00A74FE9">
            <w:pPr>
              <w:jc w:val="both"/>
              <w:rPr>
                <w:rFonts w:ascii="Times New Roman" w:eastAsia="Times New Roman" w:hAnsi="Times New Roman" w:cs="Times New Roman"/>
                <w:sz w:val="20"/>
                <w:szCs w:val="20"/>
                <w:lang w:eastAsia="sk-SK"/>
              </w:rPr>
            </w:pPr>
            <w:r w:rsidRPr="003B267D">
              <w:rPr>
                <w:rFonts w:ascii="Times New Roman" w:eastAsia="Times New Roman" w:hAnsi="Times New Roman" w:cs="Times New Roman"/>
                <w:sz w:val="20"/>
                <w:szCs w:val="20"/>
                <w:lang w:eastAsia="sk-SK"/>
              </w:rPr>
              <w:t>Nulový variant – nezvýšením hranice zdaniteľných príjmov by ostal zachovaný súčasný stav, keď použitie zníženej 15 % sadzby dane z príjmov by sa vzťahovalo daňovníkov so zdaniteľnými príjmami do výšky 49 790 eur. Rovnako aj pre použitie statusu mikrodaňovníka.</w:t>
            </w:r>
          </w:p>
          <w:p w:rsidR="00A74FE9" w:rsidRDefault="00A74FE9" w:rsidP="00A74FE9">
            <w:pPr>
              <w:jc w:val="both"/>
              <w:rPr>
                <w:rFonts w:ascii="Times New Roman" w:eastAsia="Times New Roman" w:hAnsi="Times New Roman" w:cs="Times New Roman"/>
                <w:sz w:val="20"/>
                <w:szCs w:val="20"/>
                <w:lang w:eastAsia="sk-SK"/>
              </w:rPr>
            </w:pPr>
          </w:p>
          <w:p w:rsidR="00A74FE9" w:rsidRDefault="00A74FE9" w:rsidP="00A74FE9">
            <w:pPr>
              <w:jc w:val="both"/>
              <w:rPr>
                <w:rFonts w:ascii="Times New Roman" w:eastAsia="Times New Roman" w:hAnsi="Times New Roman" w:cs="Times New Roman"/>
                <w:sz w:val="20"/>
                <w:szCs w:val="20"/>
                <w:lang w:eastAsia="sk-SK"/>
              </w:rPr>
            </w:pPr>
          </w:p>
          <w:p w:rsidR="00A74FE9" w:rsidRPr="00764571" w:rsidRDefault="00A74FE9" w:rsidP="00A74FE9">
            <w:pPr>
              <w:jc w:val="both"/>
              <w:rPr>
                <w:rFonts w:ascii="Times New Roman" w:eastAsia="Times New Roman" w:hAnsi="Times New Roman" w:cs="Times New Roman"/>
                <w:b/>
                <w:sz w:val="20"/>
                <w:szCs w:val="20"/>
                <w:lang w:eastAsia="sk-SK"/>
              </w:rPr>
            </w:pPr>
            <w:r w:rsidRPr="00764571">
              <w:rPr>
                <w:rFonts w:ascii="Times New Roman" w:eastAsia="Times New Roman" w:hAnsi="Times New Roman" w:cs="Times New Roman"/>
                <w:b/>
                <w:sz w:val="20"/>
                <w:szCs w:val="20"/>
                <w:lang w:eastAsia="sk-SK"/>
              </w:rPr>
              <w:lastRenderedPageBreak/>
              <w:t>Zákon o spotrebnej dani z tabakových výrobkov</w:t>
            </w:r>
          </w:p>
          <w:p w:rsidR="00A74FE9" w:rsidRPr="002F266D"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Nulový variant - z</w:t>
            </w:r>
            <w:r w:rsidRPr="002F266D">
              <w:rPr>
                <w:rFonts w:ascii="Times New Roman" w:eastAsia="Times New Roman" w:hAnsi="Times New Roman" w:cs="Times New Roman"/>
                <w:sz w:val="20"/>
                <w:szCs w:val="20"/>
                <w:lang w:eastAsia="sk-SK"/>
              </w:rPr>
              <w:t>achovanie doterajšej právnej úpravy</w:t>
            </w:r>
            <w:r>
              <w:rPr>
                <w:rFonts w:ascii="Times New Roman" w:eastAsia="Times New Roman" w:hAnsi="Times New Roman" w:cs="Times New Roman"/>
                <w:sz w:val="20"/>
                <w:szCs w:val="20"/>
                <w:lang w:eastAsia="sk-SK"/>
              </w:rPr>
              <w:t>.</w:t>
            </w:r>
          </w:p>
          <w:p w:rsidR="00A74FE9"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Nedôjde k zvýšeniu príjmov štátneho rozpočtu.</w:t>
            </w:r>
          </w:p>
          <w:p w:rsidR="00A74FE9" w:rsidRDefault="00A74FE9" w:rsidP="00A74FE9">
            <w:pPr>
              <w:jc w:val="both"/>
              <w:rPr>
                <w:rFonts w:ascii="Times New Roman" w:eastAsia="Times New Roman" w:hAnsi="Times New Roman" w:cs="Times New Roman"/>
                <w:sz w:val="20"/>
                <w:szCs w:val="20"/>
                <w:lang w:eastAsia="sk-SK"/>
              </w:rPr>
            </w:pPr>
          </w:p>
          <w:p w:rsidR="00A74FE9" w:rsidRPr="009028EE" w:rsidRDefault="00A74FE9" w:rsidP="00A74FE9">
            <w:pPr>
              <w:jc w:val="both"/>
              <w:rPr>
                <w:rFonts w:ascii="Times New Roman" w:eastAsia="Times New Roman" w:hAnsi="Times New Roman" w:cs="Times New Roman"/>
                <w:b/>
                <w:sz w:val="20"/>
                <w:szCs w:val="20"/>
                <w:lang w:eastAsia="sk-SK"/>
              </w:rPr>
            </w:pPr>
            <w:r w:rsidRPr="009028EE">
              <w:rPr>
                <w:rFonts w:ascii="Times New Roman" w:eastAsia="Times New Roman" w:hAnsi="Times New Roman" w:cs="Times New Roman"/>
                <w:b/>
                <w:sz w:val="20"/>
                <w:szCs w:val="20"/>
                <w:lang w:eastAsia="sk-SK"/>
              </w:rPr>
              <w:t>Zákon o dani z pridanej hodnoty</w:t>
            </w:r>
          </w:p>
          <w:p w:rsidR="00A74FE9"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Nulový variant - z</w:t>
            </w:r>
            <w:r w:rsidRPr="002F266D">
              <w:rPr>
                <w:rFonts w:ascii="Times New Roman" w:eastAsia="Times New Roman" w:hAnsi="Times New Roman" w:cs="Times New Roman"/>
                <w:sz w:val="20"/>
                <w:szCs w:val="20"/>
                <w:lang w:eastAsia="sk-SK"/>
              </w:rPr>
              <w:t>achovanie doterajšej právnej úpravy</w:t>
            </w:r>
            <w:r>
              <w:rPr>
                <w:rFonts w:ascii="Times New Roman" w:eastAsia="Times New Roman" w:hAnsi="Times New Roman" w:cs="Times New Roman"/>
                <w:sz w:val="20"/>
                <w:szCs w:val="20"/>
                <w:lang w:eastAsia="sk-SK"/>
              </w:rPr>
              <w:t>.</w:t>
            </w:r>
          </w:p>
          <w:p w:rsidR="00A74FE9"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Nedôjde k zvýšeniu príjmov štátneho rozpočtu.</w:t>
            </w:r>
          </w:p>
          <w:p w:rsidR="00A74FE9" w:rsidRPr="00702F4D" w:rsidRDefault="00A74FE9" w:rsidP="00A74FE9">
            <w:pPr>
              <w:jc w:val="both"/>
              <w:rPr>
                <w:rFonts w:ascii="Times New Roman" w:eastAsia="Times New Roman" w:hAnsi="Times New Roman" w:cs="Times New Roman"/>
                <w:sz w:val="20"/>
                <w:szCs w:val="20"/>
                <w:lang w:eastAsia="sk-SK"/>
              </w:rPr>
            </w:pPr>
          </w:p>
          <w:p w:rsidR="00A74FE9" w:rsidRPr="009648DC" w:rsidRDefault="00A74FE9" w:rsidP="00A74FE9">
            <w:pPr>
              <w:jc w:val="both"/>
              <w:rPr>
                <w:rFonts w:ascii="Times New Roman" w:eastAsia="Times New Roman" w:hAnsi="Times New Roman" w:cs="Times New Roman"/>
                <w:sz w:val="20"/>
                <w:szCs w:val="20"/>
                <w:lang w:eastAsia="sk-SK"/>
              </w:rPr>
            </w:pPr>
            <w:r w:rsidRPr="009648DC">
              <w:rPr>
                <w:rFonts w:ascii="Times New Roman" w:eastAsia="Times New Roman" w:hAnsi="Times New Roman" w:cs="Times New Roman"/>
                <w:sz w:val="20"/>
                <w:szCs w:val="20"/>
                <w:lang w:eastAsia="sk-SK"/>
              </w:rPr>
              <w:t>Zákon o osobitnom odvode  v regulovaných odvetviach</w:t>
            </w:r>
          </w:p>
          <w:p w:rsidR="00A74FE9" w:rsidRPr="00CA4044" w:rsidRDefault="00A74FE9" w:rsidP="00A74FE9">
            <w:pPr>
              <w:jc w:val="both"/>
              <w:rPr>
                <w:rFonts w:ascii="Times New Roman" w:eastAsia="Times New Roman" w:hAnsi="Times New Roman" w:cs="Times New Roman"/>
                <w:sz w:val="20"/>
                <w:szCs w:val="20"/>
                <w:lang w:eastAsia="sk-SK"/>
              </w:rPr>
            </w:pPr>
            <w:r w:rsidRPr="00702F4D">
              <w:rPr>
                <w:rFonts w:ascii="Times New Roman" w:eastAsia="Times New Roman" w:hAnsi="Times New Roman" w:cs="Times New Roman"/>
                <w:sz w:val="20"/>
                <w:szCs w:val="20"/>
                <w:lang w:eastAsia="sk-SK"/>
              </w:rPr>
              <w:t>Alternatívnym riešením k regulovanému odvodu by bolo opätovné zavedenie osobitného odvodu vybraných finančných inštitúcií, ktorý ako základ pre výpočet odvodu stanovil pasíva bankových subjektov, ktoré majú byť znížené o sumu vlastného imania. Predmetný</w:t>
            </w:r>
            <w:r w:rsidRPr="00CA4044">
              <w:rPr>
                <w:rFonts w:ascii="Times New Roman" w:eastAsia="Times New Roman" w:hAnsi="Times New Roman" w:cs="Times New Roman"/>
                <w:sz w:val="20"/>
                <w:szCs w:val="20"/>
                <w:lang w:eastAsia="sk-SK"/>
              </w:rPr>
              <w:t xml:space="preserve"> osobitný odvod bol zrušený zákonom č. 353/2020 Z. z. </w:t>
            </w:r>
          </w:p>
          <w:p w:rsidR="00A74FE9" w:rsidRDefault="00A74FE9" w:rsidP="00A74FE9">
            <w:pPr>
              <w:jc w:val="both"/>
              <w:rPr>
                <w:rFonts w:ascii="Inter" w:hAnsi="Inter"/>
                <w:color w:val="3B3434"/>
                <w:shd w:val="clear" w:color="auto" w:fill="FFFFFF"/>
              </w:rPr>
            </w:pPr>
          </w:p>
          <w:p w:rsidR="00A74FE9" w:rsidRPr="00CA4044" w:rsidRDefault="00A74FE9" w:rsidP="00A74FE9">
            <w:pPr>
              <w:jc w:val="both"/>
              <w:rPr>
                <w:rFonts w:ascii="Times New Roman" w:eastAsia="Times New Roman" w:hAnsi="Times New Roman" w:cs="Times New Roman"/>
                <w:b/>
                <w:sz w:val="20"/>
                <w:szCs w:val="20"/>
                <w:lang w:eastAsia="sk-SK"/>
              </w:rPr>
            </w:pPr>
            <w:r w:rsidRPr="00CA4044">
              <w:rPr>
                <w:rFonts w:ascii="Times New Roman" w:eastAsia="Times New Roman" w:hAnsi="Times New Roman" w:cs="Times New Roman"/>
                <w:b/>
                <w:sz w:val="20"/>
                <w:szCs w:val="20"/>
                <w:lang w:eastAsia="sk-SK"/>
              </w:rPr>
              <w:t>Zákon o solidárnom príspevku</w:t>
            </w:r>
          </w:p>
          <w:p w:rsidR="00A74FE9"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Nulový variant - z</w:t>
            </w:r>
            <w:r w:rsidRPr="002F266D">
              <w:rPr>
                <w:rFonts w:ascii="Times New Roman" w:eastAsia="Times New Roman" w:hAnsi="Times New Roman" w:cs="Times New Roman"/>
                <w:sz w:val="20"/>
                <w:szCs w:val="20"/>
                <w:lang w:eastAsia="sk-SK"/>
              </w:rPr>
              <w:t>achovanie doterajšej právnej úpravy</w:t>
            </w:r>
            <w:r>
              <w:rPr>
                <w:rFonts w:ascii="Times New Roman" w:eastAsia="Times New Roman" w:hAnsi="Times New Roman" w:cs="Times New Roman"/>
                <w:sz w:val="20"/>
                <w:szCs w:val="20"/>
                <w:lang w:eastAsia="sk-SK"/>
              </w:rPr>
              <w:t>.</w:t>
            </w:r>
          </w:p>
          <w:p w:rsidR="00A74FE9" w:rsidRPr="002F266D"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Nedôjde k zvýšeniu príjmov štátneho rozpočtu.</w:t>
            </w:r>
          </w:p>
          <w:p w:rsidR="00A74FE9" w:rsidRDefault="00A74FE9" w:rsidP="00A74FE9">
            <w:pPr>
              <w:jc w:val="both"/>
              <w:rPr>
                <w:rFonts w:ascii="Times New Roman" w:eastAsia="Times New Roman" w:hAnsi="Times New Roman" w:cs="Times New Roman"/>
                <w:sz w:val="20"/>
                <w:szCs w:val="20"/>
                <w:lang w:eastAsia="sk-SK"/>
              </w:rPr>
            </w:pPr>
          </w:p>
          <w:p w:rsidR="00A74FE9" w:rsidRPr="003B267D" w:rsidRDefault="00A74FE9" w:rsidP="00A74FE9">
            <w:pPr>
              <w:jc w:val="both"/>
              <w:rPr>
                <w:rFonts w:ascii="Times New Roman" w:eastAsia="Times New Roman" w:hAnsi="Times New Roman" w:cs="Times New Roman"/>
                <w:sz w:val="20"/>
                <w:szCs w:val="20"/>
                <w:lang w:eastAsia="sk-SK"/>
              </w:rPr>
            </w:pPr>
          </w:p>
          <w:p w:rsidR="00A74FE9" w:rsidRDefault="00A74FE9" w:rsidP="00A74FE9">
            <w:pPr>
              <w:rPr>
                <w:rFonts w:ascii="Times New Roman" w:hAnsi="Times New Roman"/>
                <w:b/>
                <w:sz w:val="20"/>
                <w:szCs w:val="20"/>
              </w:rPr>
            </w:pPr>
            <w:r w:rsidRPr="005F7F2F">
              <w:rPr>
                <w:rFonts w:ascii="Times New Roman" w:hAnsi="Times New Roman"/>
                <w:b/>
                <w:sz w:val="20"/>
                <w:szCs w:val="20"/>
              </w:rPr>
              <w:t>Zákon o spotrebnej dani z alkoholických nápojov</w:t>
            </w:r>
          </w:p>
          <w:p w:rsidR="00A74FE9"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Nulový variant - z</w:t>
            </w:r>
            <w:r w:rsidRPr="002F266D">
              <w:rPr>
                <w:rFonts w:ascii="Times New Roman" w:eastAsia="Times New Roman" w:hAnsi="Times New Roman" w:cs="Times New Roman"/>
                <w:sz w:val="20"/>
                <w:szCs w:val="20"/>
                <w:lang w:eastAsia="sk-SK"/>
              </w:rPr>
              <w:t>achovanie doterajšej právnej úpravy</w:t>
            </w:r>
            <w:r>
              <w:rPr>
                <w:rFonts w:ascii="Times New Roman" w:eastAsia="Times New Roman" w:hAnsi="Times New Roman" w:cs="Times New Roman"/>
                <w:sz w:val="20"/>
                <w:szCs w:val="20"/>
                <w:lang w:eastAsia="sk-SK"/>
              </w:rPr>
              <w:t>.</w:t>
            </w:r>
          </w:p>
          <w:p w:rsidR="00A74FE9" w:rsidRDefault="00A74FE9" w:rsidP="00A74FE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Nedôjde k zvýšeniu príjmov štátneho rozpočtu.</w:t>
            </w:r>
          </w:p>
          <w:p w:rsidR="00A74FE9" w:rsidRDefault="00A74FE9" w:rsidP="00A74FE9">
            <w:pPr>
              <w:jc w:val="both"/>
              <w:rPr>
                <w:rFonts w:ascii="Times New Roman" w:eastAsia="Times New Roman" w:hAnsi="Times New Roman" w:cs="Times New Roman"/>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r w:rsidRPr="00203EC6">
              <w:rPr>
                <w:rFonts w:ascii="Times New Roman" w:eastAsia="Times New Roman" w:hAnsi="Times New Roman" w:cs="Times New Roman"/>
                <w:b/>
                <w:sz w:val="20"/>
                <w:szCs w:val="20"/>
                <w:lang w:eastAsia="sk-SK"/>
              </w:rPr>
              <w:t>Zákon o Rozhlase a televízii Slovenska</w:t>
            </w:r>
          </w:p>
          <w:p w:rsidR="00A74FE9" w:rsidRDefault="00A74FE9" w:rsidP="00A74FE9">
            <w:pPr>
              <w:jc w:val="both"/>
              <w:rPr>
                <w:rFonts w:ascii="Times New Roman" w:eastAsia="Times New Roman" w:hAnsi="Times New Roman" w:cs="Times New Roman"/>
                <w:sz w:val="20"/>
                <w:szCs w:val="20"/>
                <w:lang w:eastAsia="sk-SK"/>
              </w:rPr>
            </w:pPr>
            <w:r w:rsidRPr="00043BB2">
              <w:rPr>
                <w:rFonts w:ascii="Times New Roman" w:eastAsia="Times New Roman" w:hAnsi="Times New Roman" w:cs="Times New Roman"/>
                <w:sz w:val="20"/>
                <w:szCs w:val="20"/>
                <w:lang w:eastAsia="sk-SK"/>
              </w:rPr>
              <w:t>Nulový variant, t. j. výrazné tempo rastu nárokovateľného príspevku by v dlhšom časovom horizonte znamenalo neúmerné zaťaženie verejných financií. Za účelom dosiahnutia hospodárnosti a efektívnosti vynakladania verejných zdrojov bola skúmaná aj alternatíva opätovného zavedenia výberu daňových príjmov RTVS a zmena nastavenia percentuálneho podielu nárokovateľného príspevku na HDP.</w:t>
            </w:r>
          </w:p>
          <w:p w:rsidR="00A74FE9" w:rsidRPr="00043BB2" w:rsidRDefault="00A74FE9" w:rsidP="00A74FE9">
            <w:pPr>
              <w:jc w:val="both"/>
              <w:rPr>
                <w:rFonts w:ascii="Times New Roman" w:eastAsia="Times New Roman" w:hAnsi="Times New Roman" w:cs="Times New Roman"/>
                <w:i/>
                <w:sz w:val="20"/>
                <w:szCs w:val="20"/>
                <w:lang w:eastAsia="sk-SK"/>
              </w:rPr>
            </w:pPr>
          </w:p>
          <w:p w:rsidR="00A74FE9" w:rsidRDefault="00A74FE9" w:rsidP="00A74FE9">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Zákon </w:t>
            </w:r>
            <w:r w:rsidRPr="000A4180">
              <w:rPr>
                <w:rFonts w:ascii="Times New Roman" w:eastAsia="Times New Roman" w:hAnsi="Times New Roman" w:cs="Times New Roman"/>
                <w:b/>
                <w:sz w:val="20"/>
                <w:szCs w:val="20"/>
                <w:lang w:eastAsia="sk-SK"/>
              </w:rPr>
              <w:t xml:space="preserve">o sociálnom poistení </w:t>
            </w:r>
          </w:p>
          <w:p w:rsidR="00A74FE9" w:rsidRPr="00493C7F" w:rsidRDefault="00A74FE9" w:rsidP="00A74FE9">
            <w:pPr>
              <w:jc w:val="both"/>
              <w:rPr>
                <w:rFonts w:ascii="Times New Roman" w:eastAsia="Times New Roman" w:hAnsi="Times New Roman" w:cs="Times New Roman"/>
                <w:sz w:val="20"/>
                <w:szCs w:val="20"/>
                <w:lang w:eastAsia="sk-SK"/>
              </w:rPr>
            </w:pPr>
            <w:r w:rsidRPr="00493C7F">
              <w:rPr>
                <w:rFonts w:ascii="Times New Roman" w:eastAsia="Times New Roman" w:hAnsi="Times New Roman" w:cs="Times New Roman"/>
                <w:sz w:val="20"/>
                <w:szCs w:val="20"/>
                <w:lang w:eastAsia="sk-SK"/>
              </w:rPr>
              <w:t>Nulový variant predstavuje zachovanie súčasného mechanizmu zvyšovania sadzieb povinných príspevkov na úrovni 5,5 % v roku 2024,  5,75 % v rokoch 2025 a 2026 a 6 % v roku 2027 a neskôr.</w:t>
            </w:r>
          </w:p>
          <w:p w:rsidR="00A74FE9" w:rsidRPr="00612E08" w:rsidRDefault="00A74FE9" w:rsidP="00A74FE9">
            <w:pPr>
              <w:jc w:val="both"/>
              <w:rPr>
                <w:rFonts w:ascii="Times New Roman" w:eastAsia="Times New Roman" w:hAnsi="Times New Roman" w:cs="Times New Roman"/>
                <w:i/>
                <w:sz w:val="20"/>
                <w:szCs w:val="20"/>
                <w:lang w:eastAsia="sk-SK"/>
              </w:rPr>
            </w:pPr>
          </w:p>
        </w:tc>
      </w:tr>
      <w:tr w:rsidR="00A74FE9" w:rsidRPr="00612E08" w:rsidTr="00A74F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Vykonávacie predpisy</w:t>
            </w:r>
          </w:p>
        </w:tc>
      </w:tr>
      <w:tr w:rsidR="00A74FE9" w:rsidRPr="00612E08" w:rsidTr="00A74FE9">
        <w:tc>
          <w:tcPr>
            <w:tcW w:w="6203" w:type="dxa"/>
            <w:gridSpan w:val="7"/>
            <w:tcBorders>
              <w:top w:val="single" w:sz="4" w:space="0" w:color="FFFFFF"/>
              <w:left w:val="single" w:sz="4" w:space="0" w:color="auto"/>
              <w:bottom w:val="nil"/>
              <w:right w:val="nil"/>
            </w:tcBorders>
            <w:shd w:val="clear" w:color="auto" w:fill="FFFFFF"/>
          </w:tcPr>
          <w:p w:rsidR="00A74FE9" w:rsidRPr="00612E08" w:rsidRDefault="00A74FE9" w:rsidP="00A74FE9">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A74FE9" w:rsidRPr="00612E08" w:rsidRDefault="00EC2261" w:rsidP="00A74FE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4FE9" w:rsidRPr="00612E08">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A74FE9" w:rsidRPr="00612E08" w:rsidRDefault="00EC2261" w:rsidP="00A74FE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A74FE9">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Nie</w:t>
            </w:r>
          </w:p>
        </w:tc>
      </w:tr>
      <w:tr w:rsidR="00A74FE9" w:rsidRPr="00612E08" w:rsidTr="00A74FE9">
        <w:tc>
          <w:tcPr>
            <w:tcW w:w="9180" w:type="dxa"/>
            <w:gridSpan w:val="11"/>
            <w:tcBorders>
              <w:top w:val="nil"/>
              <w:left w:val="single" w:sz="4" w:space="0" w:color="auto"/>
              <w:bottom w:val="single" w:sz="4" w:space="0" w:color="auto"/>
              <w:right w:val="single" w:sz="4" w:space="0" w:color="auto"/>
            </w:tcBorders>
            <w:shd w:val="clear" w:color="auto" w:fill="FFFFFF"/>
          </w:tcPr>
          <w:p w:rsidR="00A74FE9" w:rsidRPr="00612E08" w:rsidRDefault="00A74FE9" w:rsidP="00A74FE9">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A74FE9" w:rsidRPr="00612E08" w:rsidRDefault="00A74FE9" w:rsidP="00A74FE9">
            <w:pPr>
              <w:rPr>
                <w:rFonts w:ascii="Times New Roman" w:eastAsia="Times New Roman" w:hAnsi="Times New Roman" w:cs="Times New Roman"/>
                <w:sz w:val="20"/>
                <w:szCs w:val="20"/>
                <w:lang w:eastAsia="sk-SK"/>
              </w:rPr>
            </w:pPr>
          </w:p>
        </w:tc>
      </w:tr>
      <w:tr w:rsidR="00A74FE9" w:rsidRPr="00612E08" w:rsidTr="00A74F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A74FE9" w:rsidRPr="00612E08" w:rsidTr="00A74FE9">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4FE9" w:rsidRPr="00612E08">
              <w:trPr>
                <w:trHeight w:val="90"/>
              </w:trPr>
              <w:tc>
                <w:tcPr>
                  <w:tcW w:w="8643" w:type="dxa"/>
                </w:tcPr>
                <w:p w:rsidR="00A74FE9" w:rsidRPr="00612E08" w:rsidRDefault="00A74FE9" w:rsidP="00A74FE9">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A74FE9" w:rsidRPr="00612E08">
              <w:trPr>
                <w:trHeight w:val="296"/>
              </w:trPr>
              <w:tc>
                <w:tcPr>
                  <w:tcW w:w="8643" w:type="dxa"/>
                </w:tcPr>
                <w:p w:rsidR="00A74FE9" w:rsidRPr="00612E08" w:rsidRDefault="00A74FE9" w:rsidP="00A74FE9">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A74FE9" w:rsidRPr="00612E08" w:rsidRDefault="00A74FE9" w:rsidP="00A74FE9">
                  <w:pPr>
                    <w:pStyle w:val="Default"/>
                    <w:rPr>
                      <w:i/>
                      <w:iCs/>
                      <w:color w:val="auto"/>
                      <w:sz w:val="20"/>
                      <w:szCs w:val="20"/>
                    </w:rPr>
                  </w:pPr>
                </w:p>
                <w:p w:rsidR="00A74FE9" w:rsidRPr="00612E08" w:rsidRDefault="00A74FE9" w:rsidP="00A74FE9">
                  <w:pPr>
                    <w:pStyle w:val="Default"/>
                    <w:rPr>
                      <w:color w:val="auto"/>
                      <w:sz w:val="20"/>
                      <w:szCs w:val="20"/>
                    </w:rPr>
                  </w:pPr>
                  <w:r w:rsidRPr="00612E08">
                    <w:rPr>
                      <w:i/>
                      <w:iCs/>
                      <w:color w:val="auto"/>
                      <w:sz w:val="20"/>
                      <w:szCs w:val="20"/>
                    </w:rPr>
                    <w:t xml:space="preserve">Ak áno, uveďte, ktorých vplyvov podľa bodu 9 sa goldplating týka: </w:t>
                  </w:r>
                </w:p>
              </w:tc>
            </w:tr>
            <w:tr w:rsidR="00A74FE9" w:rsidRPr="00612E08">
              <w:trPr>
                <w:trHeight w:val="296"/>
              </w:trPr>
              <w:tc>
                <w:tcPr>
                  <w:tcW w:w="8643" w:type="dxa"/>
                </w:tcPr>
                <w:p w:rsidR="00A74FE9" w:rsidRPr="00612E08" w:rsidRDefault="00A74FE9" w:rsidP="00A74FE9">
                  <w:pPr>
                    <w:pStyle w:val="Default"/>
                    <w:rPr>
                      <w:rFonts w:ascii="Segoe UI Symbol" w:hAnsi="Segoe UI Symbol" w:cs="Segoe UI Symbol"/>
                      <w:color w:val="auto"/>
                      <w:sz w:val="20"/>
                      <w:szCs w:val="20"/>
                    </w:rPr>
                  </w:pPr>
                </w:p>
              </w:tc>
            </w:tr>
          </w:tbl>
          <w:p w:rsidR="00A74FE9" w:rsidRPr="00612E08" w:rsidRDefault="00A74FE9" w:rsidP="00A74FE9">
            <w:pPr>
              <w:jc w:val="both"/>
              <w:rPr>
                <w:rFonts w:ascii="Times New Roman" w:eastAsia="Times New Roman" w:hAnsi="Times New Roman" w:cs="Times New Roman"/>
                <w:i/>
                <w:sz w:val="20"/>
                <w:szCs w:val="20"/>
                <w:lang w:eastAsia="sk-SK"/>
              </w:rPr>
            </w:pPr>
          </w:p>
        </w:tc>
      </w:tr>
      <w:tr w:rsidR="00A74FE9" w:rsidRPr="00612E08" w:rsidTr="00A74FE9">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A74FE9" w:rsidRPr="00612E08" w:rsidRDefault="00A74FE9" w:rsidP="00A74FE9">
            <w:pPr>
              <w:jc w:val="center"/>
              <w:rPr>
                <w:rFonts w:ascii="Times New Roman" w:eastAsia="Times New Roman" w:hAnsi="Times New Roman" w:cs="Times New Roman"/>
                <w:sz w:val="20"/>
                <w:szCs w:val="20"/>
                <w:lang w:eastAsia="sk-SK"/>
              </w:rPr>
            </w:pPr>
          </w:p>
        </w:tc>
      </w:tr>
      <w:tr w:rsidR="00A74FE9" w:rsidRPr="00612E08" w:rsidTr="00A74F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A74FE9" w:rsidRPr="00612E08" w:rsidTr="00A74FE9">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74FE9" w:rsidRPr="00612E08" w:rsidRDefault="00A74FE9" w:rsidP="00A74FE9">
            <w:pPr>
              <w:rPr>
                <w:rFonts w:ascii="Times New Roman" w:eastAsia="Times New Roman" w:hAnsi="Times New Roman" w:cs="Times New Roman"/>
                <w:i/>
                <w:sz w:val="20"/>
                <w:szCs w:val="20"/>
                <w:lang w:eastAsia="sk-SK"/>
              </w:rPr>
            </w:pPr>
          </w:p>
        </w:tc>
      </w:tr>
      <w:tr w:rsidR="00A74FE9" w:rsidRPr="00612E08" w:rsidTr="00A74FE9">
        <w:tc>
          <w:tcPr>
            <w:tcW w:w="9180" w:type="dxa"/>
            <w:gridSpan w:val="11"/>
            <w:tcBorders>
              <w:top w:val="nil"/>
              <w:left w:val="nil"/>
              <w:bottom w:val="single" w:sz="4" w:space="0" w:color="auto"/>
              <w:right w:val="nil"/>
            </w:tcBorders>
            <w:shd w:val="clear" w:color="auto" w:fill="FFFFFF"/>
          </w:tcPr>
          <w:p w:rsidR="00A74FE9" w:rsidRPr="00612E08" w:rsidRDefault="00A74FE9" w:rsidP="00A74FE9">
            <w:pPr>
              <w:jc w:val="both"/>
              <w:rPr>
                <w:rFonts w:ascii="Times New Roman" w:eastAsia="Times New Roman" w:hAnsi="Times New Roman" w:cs="Times New Roman"/>
                <w:b/>
                <w:sz w:val="20"/>
                <w:szCs w:val="20"/>
                <w:lang w:eastAsia="sk-SK"/>
              </w:rPr>
            </w:pPr>
          </w:p>
          <w:p w:rsidR="00A74FE9" w:rsidRPr="00612E08" w:rsidRDefault="00A74FE9" w:rsidP="00A74FE9">
            <w:pPr>
              <w:jc w:val="both"/>
              <w:rPr>
                <w:rFonts w:ascii="Times New Roman" w:eastAsia="Times New Roman" w:hAnsi="Times New Roman" w:cs="Times New Roman"/>
                <w:b/>
                <w:sz w:val="20"/>
                <w:szCs w:val="20"/>
                <w:lang w:eastAsia="sk-SK"/>
              </w:rPr>
            </w:pPr>
          </w:p>
          <w:p w:rsidR="00A74FE9" w:rsidRPr="00612E08" w:rsidRDefault="00A74FE9" w:rsidP="00A74FE9">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74FE9" w:rsidRPr="00612E08" w:rsidRDefault="00A74FE9" w:rsidP="00A74FE9">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A74FE9" w:rsidRPr="00612E08" w:rsidRDefault="00A74FE9" w:rsidP="00A74FE9">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A74FE9" w:rsidRPr="00612E08" w:rsidRDefault="00A74FE9" w:rsidP="00A74FE9">
            <w:pPr>
              <w:jc w:val="both"/>
              <w:rPr>
                <w:rFonts w:ascii="Times New Roman" w:eastAsia="Times New Roman" w:hAnsi="Times New Roman" w:cs="Times New Roman"/>
                <w:sz w:val="20"/>
                <w:szCs w:val="20"/>
                <w:lang w:eastAsia="sk-SK"/>
              </w:rPr>
            </w:pPr>
          </w:p>
          <w:p w:rsidR="00A74FE9" w:rsidRPr="00612E08" w:rsidRDefault="00A74FE9" w:rsidP="00A74FE9">
            <w:pPr>
              <w:jc w:val="both"/>
              <w:rPr>
                <w:rFonts w:ascii="Times New Roman" w:eastAsia="Times New Roman" w:hAnsi="Times New Roman" w:cs="Times New Roman"/>
                <w:b/>
                <w:sz w:val="20"/>
                <w:szCs w:val="20"/>
                <w:lang w:eastAsia="sk-SK"/>
              </w:rPr>
            </w:pPr>
          </w:p>
        </w:tc>
      </w:tr>
      <w:tr w:rsidR="00A74FE9" w:rsidRPr="00612E08" w:rsidTr="00A74FE9">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A74FE9" w:rsidRPr="00612E08" w:rsidTr="00A74FE9">
        <w:tc>
          <w:tcPr>
            <w:tcW w:w="3812" w:type="dxa"/>
            <w:tcBorders>
              <w:top w:val="single" w:sz="4" w:space="0" w:color="auto"/>
              <w:left w:val="single" w:sz="4" w:space="0" w:color="auto"/>
              <w:bottom w:val="nil"/>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A74FE9" w:rsidRPr="00612E08" w:rsidRDefault="00A74FE9" w:rsidP="00A74FE9">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A74FE9" w:rsidRPr="00612E08" w:rsidRDefault="00A74FE9" w:rsidP="00A74FE9">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74FE9" w:rsidRPr="00612E08" w:rsidTr="00A74FE9">
        <w:tc>
          <w:tcPr>
            <w:tcW w:w="3812" w:type="dxa"/>
            <w:tcBorders>
              <w:top w:val="nil"/>
              <w:left w:val="single" w:sz="4" w:space="0" w:color="auto"/>
              <w:bottom w:val="nil"/>
              <w:right w:val="single" w:sz="4" w:space="0" w:color="auto"/>
            </w:tcBorders>
            <w:shd w:val="clear" w:color="auto" w:fill="E2E2E2"/>
          </w:tcPr>
          <w:p w:rsidR="00A74FE9" w:rsidRPr="00612E08" w:rsidRDefault="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xml:space="preserve">    z toho rozpočtovo zabezpečené vplyvy,         </w:t>
            </w:r>
          </w:p>
          <w:p w:rsidR="00A74FE9" w:rsidRPr="00612E08" w:rsidRDefault="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A74FE9" w:rsidRPr="00612E08" w:rsidRDefault="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A74FE9" w:rsidRPr="00612E08" w:rsidRDefault="00A74FE9" w:rsidP="00A74FE9">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A74FE9" w:rsidRPr="00612E08" w:rsidRDefault="00A74FE9" w:rsidP="00A74FE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A74FE9" w:rsidRPr="00612E08" w:rsidTr="00A74FE9">
        <w:tc>
          <w:tcPr>
            <w:tcW w:w="3812" w:type="dxa"/>
            <w:tcBorders>
              <w:top w:val="nil"/>
              <w:left w:val="single" w:sz="4" w:space="0" w:color="auto"/>
              <w:bottom w:val="nil"/>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A74FE9" w:rsidRPr="00612E08" w:rsidRDefault="00A74FE9" w:rsidP="00A74FE9">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A74FE9" w:rsidRPr="00612E08" w:rsidRDefault="00A74FE9" w:rsidP="00A74FE9">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74FE9" w:rsidRPr="00612E08" w:rsidTr="00A74FE9">
        <w:tc>
          <w:tcPr>
            <w:tcW w:w="3812" w:type="dxa"/>
            <w:tcBorders>
              <w:top w:val="nil"/>
              <w:left w:val="single" w:sz="4" w:space="0" w:color="auto"/>
              <w:bottom w:val="single" w:sz="4" w:space="0" w:color="auto"/>
              <w:right w:val="single" w:sz="4" w:space="0" w:color="auto"/>
            </w:tcBorders>
            <w:shd w:val="clear" w:color="auto" w:fill="E2E2E2"/>
          </w:tcPr>
          <w:p w:rsidR="00A74FE9" w:rsidRPr="00612E08" w:rsidRDefault="00A74FE9" w:rsidP="00A74FE9">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A74FE9" w:rsidRPr="00612E08" w:rsidRDefault="00A74FE9" w:rsidP="00A74FE9">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A74FE9" w:rsidRPr="00612E08" w:rsidRDefault="00A74FE9" w:rsidP="00A74FE9">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A74FE9" w:rsidRPr="00612E08" w:rsidRDefault="00A74FE9" w:rsidP="00A74FE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A74FE9" w:rsidRPr="00612E08" w:rsidTr="00A74FE9">
        <w:tc>
          <w:tcPr>
            <w:tcW w:w="3812" w:type="dxa"/>
            <w:tcBorders>
              <w:top w:val="single" w:sz="4" w:space="0" w:color="auto"/>
              <w:left w:val="single" w:sz="4" w:space="0" w:color="auto"/>
              <w:bottom w:val="single" w:sz="4" w:space="0" w:color="auto"/>
              <w:right w:val="single" w:sz="4" w:space="0" w:color="auto"/>
            </w:tcBorders>
            <w:shd w:val="clear" w:color="auto" w:fill="E2E2E2"/>
          </w:tcPr>
          <w:p w:rsidR="00A74FE9" w:rsidRPr="00612E08" w:rsidRDefault="00A74FE9" w:rsidP="00A74FE9">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4FE9" w:rsidRPr="00612E08" w:rsidRDefault="00A74FE9" w:rsidP="00A74FE9">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4FE9" w:rsidRPr="00612E08" w:rsidRDefault="00A74FE9" w:rsidP="00A74FE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A74FE9" w:rsidRPr="00612E08" w:rsidTr="00A74FE9">
        <w:tc>
          <w:tcPr>
            <w:tcW w:w="3812" w:type="dxa"/>
            <w:tcBorders>
              <w:top w:val="single" w:sz="4" w:space="0" w:color="auto"/>
              <w:left w:val="single" w:sz="4" w:space="0" w:color="auto"/>
              <w:bottom w:val="single" w:sz="4" w:space="0" w:color="auto"/>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4FE9" w:rsidRPr="00612E08" w:rsidRDefault="00A74FE9" w:rsidP="00A74FE9">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4FE9" w:rsidRPr="00612E08" w:rsidRDefault="00A74FE9" w:rsidP="00A74FE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A74FE9" w:rsidRPr="00612E08" w:rsidTr="00A74FE9">
        <w:tc>
          <w:tcPr>
            <w:tcW w:w="3812" w:type="dxa"/>
            <w:tcBorders>
              <w:top w:val="single" w:sz="4" w:space="0" w:color="auto"/>
              <w:left w:val="single" w:sz="4" w:space="0" w:color="auto"/>
              <w:bottom w:val="nil"/>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A74FE9" w:rsidRPr="00612E08" w:rsidRDefault="00A74FE9" w:rsidP="00A74FE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A74FE9" w:rsidRPr="00612E08" w:rsidRDefault="00A74FE9" w:rsidP="00A74FE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74FE9" w:rsidRPr="00612E08" w:rsidTr="00A74FE9">
        <w:tc>
          <w:tcPr>
            <w:tcW w:w="3812" w:type="dxa"/>
            <w:tcBorders>
              <w:top w:val="nil"/>
              <w:left w:val="single" w:sz="4" w:space="0" w:color="000000"/>
              <w:bottom w:val="nil"/>
              <w:right w:val="single" w:sz="4" w:space="0" w:color="000000"/>
            </w:tcBorders>
            <w:shd w:val="clear" w:color="auto" w:fill="E2E2E2"/>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A74FE9" w:rsidRPr="00612E08" w:rsidRDefault="00A74FE9" w:rsidP="00A74FE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A74FE9" w:rsidRPr="00612E08" w:rsidRDefault="00A74FE9" w:rsidP="00A74FE9">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A74FE9" w:rsidRPr="00612E08" w:rsidRDefault="00A74FE9" w:rsidP="00A74FE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A74FE9" w:rsidRPr="00612E08" w:rsidRDefault="00A74FE9" w:rsidP="00A74FE9">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A74FE9" w:rsidRPr="00612E08" w:rsidTr="00A74FE9">
        <w:tc>
          <w:tcPr>
            <w:tcW w:w="3812" w:type="dxa"/>
            <w:tcBorders>
              <w:top w:val="nil"/>
              <w:left w:val="single" w:sz="4" w:space="0" w:color="auto"/>
              <w:bottom w:val="single" w:sz="4" w:space="0" w:color="auto"/>
              <w:right w:val="single" w:sz="4" w:space="0" w:color="auto"/>
            </w:tcBorders>
            <w:shd w:val="clear" w:color="auto" w:fill="E2E2E2"/>
          </w:tcPr>
          <w:p w:rsidR="00A74FE9" w:rsidRPr="00612E08" w:rsidRDefault="00A74FE9" w:rsidP="00A74FE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A74FE9" w:rsidRPr="00612E08" w:rsidRDefault="00A74FE9" w:rsidP="00A74FE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A74FE9" w:rsidRPr="00612E08" w:rsidRDefault="00A74FE9" w:rsidP="00A74FE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A74FE9" w:rsidRPr="00612E08" w:rsidTr="00A74FE9">
        <w:tc>
          <w:tcPr>
            <w:tcW w:w="3812" w:type="dxa"/>
            <w:tcBorders>
              <w:top w:val="single" w:sz="4" w:space="0" w:color="000000"/>
              <w:left w:val="single" w:sz="4" w:space="0" w:color="auto"/>
              <w:bottom w:val="single" w:sz="4" w:space="0" w:color="auto"/>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A74FE9" w:rsidRPr="00612E08" w:rsidRDefault="00A74FE9" w:rsidP="00A74FE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74FE9" w:rsidRPr="00612E08" w:rsidRDefault="00A74FE9" w:rsidP="00A74FE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74FE9" w:rsidRPr="00612E08" w:rsidTr="00A74FE9">
        <w:tc>
          <w:tcPr>
            <w:tcW w:w="3812" w:type="dxa"/>
            <w:tcBorders>
              <w:top w:val="single" w:sz="4" w:space="0" w:color="auto"/>
              <w:left w:val="single" w:sz="4" w:space="0" w:color="auto"/>
              <w:bottom w:val="nil"/>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A74FE9" w:rsidRPr="00612E08" w:rsidRDefault="00A74FE9" w:rsidP="00A74FE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74FE9" w:rsidRPr="00612E08" w:rsidRDefault="00A74FE9" w:rsidP="00A74FE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74FE9" w:rsidRPr="00612E08" w:rsidTr="00A74FE9">
        <w:tc>
          <w:tcPr>
            <w:tcW w:w="3812" w:type="dxa"/>
            <w:tcBorders>
              <w:top w:val="nil"/>
              <w:left w:val="single" w:sz="4" w:space="0" w:color="auto"/>
              <w:bottom w:val="single" w:sz="4" w:space="0" w:color="auto"/>
              <w:right w:val="single" w:sz="4" w:space="0" w:color="auto"/>
            </w:tcBorders>
            <w:shd w:val="clear" w:color="auto" w:fill="E2E2E2"/>
          </w:tcPr>
          <w:p w:rsidR="00A74FE9" w:rsidRPr="00612E08" w:rsidRDefault="00A74FE9" w:rsidP="00A74FE9">
            <w:pPr>
              <w:rPr>
                <w:rFonts w:ascii="Times New Roman" w:eastAsia="Times New Roman" w:hAnsi="Times New Roman" w:cs="Times New Roman"/>
                <w:sz w:val="20"/>
                <w:szCs w:val="20"/>
                <w:lang w:eastAsia="sk-SK"/>
              </w:rPr>
            </w:pPr>
          </w:p>
          <w:p w:rsidR="00A74FE9" w:rsidRPr="00612E08" w:rsidRDefault="00A74FE9" w:rsidP="00A74FE9">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4FE9" w:rsidRPr="00612E08" w:rsidRDefault="00A74FE9" w:rsidP="00A74FE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4FE9" w:rsidRPr="00612E08" w:rsidRDefault="00A74FE9" w:rsidP="00A74FE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A74FE9" w:rsidRPr="00612E08" w:rsidTr="00A74FE9">
        <w:tc>
          <w:tcPr>
            <w:tcW w:w="3812" w:type="dxa"/>
            <w:tcBorders>
              <w:top w:val="single" w:sz="4" w:space="0" w:color="auto"/>
              <w:left w:val="single" w:sz="4" w:space="0" w:color="auto"/>
              <w:bottom w:val="single" w:sz="4" w:space="0" w:color="auto"/>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A74FE9" w:rsidRPr="00612E08" w:rsidRDefault="00A74FE9" w:rsidP="00A74FE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74FE9" w:rsidRPr="00612E08" w:rsidRDefault="00A74FE9" w:rsidP="00A74FE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74FE9" w:rsidRPr="00612E08" w:rsidTr="00A74FE9">
        <w:tc>
          <w:tcPr>
            <w:tcW w:w="3812" w:type="dxa"/>
            <w:tcBorders>
              <w:top w:val="single" w:sz="4" w:space="0" w:color="auto"/>
              <w:left w:val="single" w:sz="4" w:space="0" w:color="auto"/>
              <w:bottom w:val="nil"/>
              <w:right w:val="single" w:sz="4" w:space="0" w:color="auto"/>
            </w:tcBorders>
            <w:shd w:val="clear" w:color="auto" w:fill="E2E2E2"/>
          </w:tcPr>
          <w:p w:rsidR="00A74FE9" w:rsidRPr="00612E08" w:rsidRDefault="00A74FE9" w:rsidP="00A74FE9">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A74FE9" w:rsidRPr="00612E08" w:rsidRDefault="00A74FE9" w:rsidP="00A74FE9">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A74FE9" w:rsidRPr="00612E08" w:rsidRDefault="00A74FE9" w:rsidP="00A74FE9">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A74FE9" w:rsidRPr="00612E08" w:rsidRDefault="00A74FE9" w:rsidP="00A74FE9">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A74FE9" w:rsidRPr="00612E08" w:rsidRDefault="00A74FE9" w:rsidP="00A74FE9">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A74FE9" w:rsidRPr="00612E08" w:rsidRDefault="00A74FE9" w:rsidP="00A74FE9">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A74FE9" w:rsidRPr="00612E08" w:rsidRDefault="00A74FE9" w:rsidP="00A74FE9">
            <w:pPr>
              <w:spacing w:after="0" w:line="240" w:lineRule="auto"/>
              <w:ind w:left="54"/>
              <w:rPr>
                <w:rFonts w:ascii="Times New Roman" w:eastAsia="Times New Roman" w:hAnsi="Times New Roman" w:cs="Times New Roman"/>
                <w:b/>
                <w:sz w:val="20"/>
                <w:szCs w:val="20"/>
                <w:lang w:eastAsia="sk-SK"/>
              </w:rPr>
            </w:pPr>
          </w:p>
        </w:tc>
      </w:tr>
      <w:tr w:rsidR="00A74FE9" w:rsidRPr="00612E08" w:rsidTr="00A74FE9">
        <w:tc>
          <w:tcPr>
            <w:tcW w:w="3812" w:type="dxa"/>
            <w:tcBorders>
              <w:top w:val="nil"/>
              <w:left w:val="single" w:sz="4" w:space="0" w:color="auto"/>
              <w:bottom w:val="nil"/>
              <w:right w:val="single" w:sz="4" w:space="0" w:color="auto"/>
            </w:tcBorders>
            <w:shd w:val="clear" w:color="auto" w:fill="E2E2E2"/>
          </w:tcPr>
          <w:p w:rsidR="00A74FE9" w:rsidRPr="00612E08" w:rsidRDefault="00A74FE9" w:rsidP="00A74FE9">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A74FE9" w:rsidRPr="00612E08" w:rsidRDefault="00A74FE9" w:rsidP="00A74FE9">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A74FE9" w:rsidRPr="00612E08" w:rsidRDefault="00A74FE9" w:rsidP="00A74FE9">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A74FE9" w:rsidRPr="00612E08" w:rsidRDefault="00A74FE9" w:rsidP="00A74FE9">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A74FE9" w:rsidRPr="00612E08" w:rsidRDefault="00A74FE9" w:rsidP="00A74FE9">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A74FE9" w:rsidRPr="00612E08" w:rsidRDefault="00A74FE9" w:rsidP="00A74FE9">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A74FE9" w:rsidRPr="00612E08" w:rsidRDefault="00A74FE9" w:rsidP="00A74FE9">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74FE9" w:rsidRPr="00612E08" w:rsidTr="00A74FE9">
        <w:tc>
          <w:tcPr>
            <w:tcW w:w="3812" w:type="dxa"/>
            <w:tcBorders>
              <w:top w:val="nil"/>
              <w:left w:val="single" w:sz="4" w:space="0" w:color="auto"/>
              <w:bottom w:val="nil"/>
              <w:right w:val="single" w:sz="4" w:space="0" w:color="auto"/>
            </w:tcBorders>
            <w:shd w:val="clear" w:color="auto" w:fill="E2E2E2"/>
          </w:tcPr>
          <w:p w:rsidR="00A74FE9" w:rsidRPr="00612E08" w:rsidRDefault="00A74FE9" w:rsidP="00A74FE9">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A74FE9" w:rsidRPr="00612E08" w:rsidRDefault="00A74FE9" w:rsidP="00A74FE9">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A74FE9" w:rsidRPr="00612E08" w:rsidRDefault="00A74FE9" w:rsidP="00A74FE9">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A74FE9" w:rsidRPr="00612E08" w:rsidRDefault="00A74FE9" w:rsidP="00A74FE9">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A74FE9" w:rsidRPr="00612E08" w:rsidRDefault="00A74FE9" w:rsidP="00A74FE9">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A74FE9" w:rsidRPr="00612E08" w:rsidRDefault="00A74FE9" w:rsidP="00A74FE9">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A74FE9" w:rsidRPr="00612E08" w:rsidRDefault="00A74FE9" w:rsidP="00A74FE9">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74FE9" w:rsidRPr="00612E08" w:rsidTr="00A74FE9">
        <w:tc>
          <w:tcPr>
            <w:tcW w:w="3812" w:type="dxa"/>
            <w:tcBorders>
              <w:top w:val="single" w:sz="4" w:space="0" w:color="000000"/>
              <w:left w:val="single" w:sz="4" w:space="0" w:color="auto"/>
              <w:bottom w:val="single" w:sz="4" w:space="0" w:color="auto"/>
              <w:right w:val="single" w:sz="4" w:space="0" w:color="auto"/>
            </w:tcBorders>
            <w:shd w:val="clear" w:color="auto" w:fill="E2E2E2"/>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74FE9" w:rsidRPr="00612E08" w:rsidRDefault="00A74FE9" w:rsidP="00A74FE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74FE9" w:rsidRPr="00612E08" w:rsidRDefault="00A74FE9" w:rsidP="00A74FE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74FE9" w:rsidRPr="00612E08" w:rsidRDefault="00A74FE9" w:rsidP="00A74FE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4FE9" w:rsidRPr="00612E08" w:rsidRDefault="00A74FE9" w:rsidP="00A74FE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A74FE9" w:rsidRPr="00612E08" w:rsidRDefault="00A74FE9" w:rsidP="00A74FE9">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74FE9" w:rsidRPr="00612E08" w:rsidTr="00A74FE9">
        <w:tc>
          <w:tcPr>
            <w:tcW w:w="9176" w:type="dxa"/>
            <w:tcBorders>
              <w:top w:val="single" w:sz="4" w:space="0" w:color="auto"/>
              <w:left w:val="single" w:sz="4" w:space="0" w:color="auto"/>
              <w:bottom w:val="nil"/>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A74FE9" w:rsidRPr="00612E08" w:rsidTr="00A74FE9">
        <w:trPr>
          <w:trHeight w:val="713"/>
        </w:trPr>
        <w:tc>
          <w:tcPr>
            <w:tcW w:w="9176" w:type="dxa"/>
            <w:tcBorders>
              <w:top w:val="nil"/>
              <w:left w:val="single" w:sz="4" w:space="0" w:color="auto"/>
              <w:bottom w:val="single" w:sz="4" w:space="0" w:color="FFFFFF"/>
              <w:right w:val="single" w:sz="4" w:space="0" w:color="auto"/>
            </w:tcBorders>
            <w:shd w:val="clear" w:color="auto" w:fill="auto"/>
          </w:tcPr>
          <w:p w:rsidR="00A74FE9" w:rsidRPr="00126BFD" w:rsidRDefault="00A74FE9" w:rsidP="00A74FE9">
            <w:pPr>
              <w:jc w:val="both"/>
              <w:rPr>
                <w:rFonts w:ascii="Times New Roman" w:eastAsia="Times New Roman" w:hAnsi="Times New Roman" w:cs="Times New Roman"/>
                <w:b/>
                <w:sz w:val="20"/>
                <w:szCs w:val="20"/>
                <w:lang w:eastAsia="sk-SK"/>
              </w:rPr>
            </w:pPr>
            <w:r w:rsidRPr="00126BFD">
              <w:rPr>
                <w:rFonts w:ascii="Times New Roman" w:eastAsia="Times New Roman" w:hAnsi="Times New Roman" w:cs="Times New Roman"/>
                <w:b/>
                <w:sz w:val="20"/>
                <w:szCs w:val="20"/>
                <w:lang w:eastAsia="sk-SK"/>
              </w:rPr>
              <w:t>Zákon o súdnych a správnych poplatkoch</w:t>
            </w:r>
          </w:p>
          <w:p w:rsidR="00A74FE9" w:rsidRDefault="00A74FE9" w:rsidP="00A74FE9">
            <w:pPr>
              <w:jc w:val="both"/>
              <w:rPr>
                <w:rFonts w:ascii="Times New Roman" w:hAnsi="Times New Roman" w:cs="Times New Roman"/>
                <w:sz w:val="20"/>
                <w:szCs w:val="20"/>
              </w:rPr>
            </w:pPr>
            <w:r w:rsidRPr="00126BFD">
              <w:rPr>
                <w:rFonts w:ascii="Times New Roman" w:hAnsi="Times New Roman" w:cs="Times New Roman"/>
                <w:sz w:val="20"/>
                <w:szCs w:val="20"/>
              </w:rPr>
              <w:t>V prípade vplyvov na informatizáciu je pri valorizácii správnych a súdnych poplatkov potrebné prepracovať číselník poplatkov (a číselník služieb), ktorý sa vedie v IS PEP. Túto zmenu je potrebné vykonať formou implementácie zmenovej požiadavky, na základe ktorej sa spracuje skript s novými sadzbami správnych a súdnych poplatkov, ktorý sa následne nasadzuje do šablón pre jednotlivé technické zariadenia. Vplyv na rozpočet je marginálny (odhadovaná suma implementácie okolo 30 000 eur, čas potrebný na spracovanie sa odhaduje na 3 mesiace).</w:t>
            </w:r>
          </w:p>
          <w:p w:rsidR="00A74FE9" w:rsidRDefault="00A74FE9" w:rsidP="00A74FE9">
            <w:pPr>
              <w:jc w:val="both"/>
              <w:rPr>
                <w:rFonts w:ascii="Times New Roman" w:hAnsi="Times New Roman" w:cs="Times New Roman"/>
                <w:sz w:val="20"/>
                <w:szCs w:val="20"/>
              </w:rPr>
            </w:pPr>
          </w:p>
          <w:p w:rsidR="00A74FE9" w:rsidRPr="009517A5" w:rsidRDefault="00A74FE9" w:rsidP="00A74FE9">
            <w:pPr>
              <w:jc w:val="both"/>
              <w:rPr>
                <w:rFonts w:ascii="Times New Roman" w:eastAsia="Times New Roman" w:hAnsi="Times New Roman" w:cs="Times New Roman"/>
                <w:b/>
                <w:sz w:val="20"/>
                <w:szCs w:val="20"/>
                <w:lang w:eastAsia="sk-SK"/>
              </w:rPr>
            </w:pPr>
            <w:r w:rsidRPr="009517A5">
              <w:rPr>
                <w:rFonts w:ascii="Times New Roman" w:eastAsia="Times New Roman" w:hAnsi="Times New Roman" w:cs="Times New Roman"/>
                <w:b/>
                <w:sz w:val="20"/>
                <w:szCs w:val="20"/>
                <w:lang w:eastAsia="sk-SK"/>
              </w:rPr>
              <w:t>Zákon o stavebnom sporení</w:t>
            </w:r>
          </w:p>
          <w:p w:rsidR="00A74FE9" w:rsidRPr="005B2BB1" w:rsidRDefault="00A74FE9" w:rsidP="00A74FE9">
            <w:pPr>
              <w:jc w:val="both"/>
              <w:rPr>
                <w:rFonts w:ascii="Times New Roman" w:hAnsi="Times New Roman" w:cs="Times New Roman"/>
                <w:sz w:val="20"/>
                <w:szCs w:val="20"/>
              </w:rPr>
            </w:pPr>
            <w:r w:rsidRPr="005B2BB1">
              <w:rPr>
                <w:rFonts w:ascii="Times New Roman" w:hAnsi="Times New Roman" w:cs="Times New Roman"/>
                <w:sz w:val="20"/>
                <w:szCs w:val="20"/>
              </w:rPr>
              <w:t>Predložený návrh novely zákona  o stavebnom sporení má potenciálny pozitívny vplyv na verejné financie z dôvodu, že uvedený návrh eliminuje predpokladané zvýšené výdavky štátneho rozpočtu na štátnu prémiu od roku 2025, ktoré by bolo potrebné vynaložiť na štátnu prémiu v prípade ponechania súčasnej právnej úpravy. Na základe súčasnej právnej normy sa od 1.1.2024 pre stavebného sporiteľa - člena domácnosti, ktorú tvoria napr. manželia a jedno maloleté dieťa, zvyšuje limit spoločného príjmu domácnosti na 3,25-násobok priemernej mzdy, pričom za každé ďalšie dieťa sa limit zvyšuje o ďalších 0,65-násobku priemernej mzdy. Príjmová hranica na získanie podpory tak môže vzrásť až na cca 4-násobok súčasnej hodnoty v prípade sporiteľa v manželskom zväzku s dvoma maloletými deťmi. Keďže priemerná mzda v národnom hospodárstve za rok 2022 dosiahla 1 304 eur, nárok na štátnu prémiu bude mať v takomto prípade aj manžel (ako aj manželka), ktorý zarába až do 5 000 eur mesačne (ak  %</w:t>
            </w:r>
            <w:r>
              <w:rPr>
                <w:rFonts w:ascii="Times New Roman" w:hAnsi="Times New Roman" w:cs="Times New Roman"/>
                <w:sz w:val="20"/>
                <w:szCs w:val="20"/>
              </w:rPr>
              <w:t xml:space="preserve"> </w:t>
            </w:r>
            <w:r w:rsidRPr="005B2BB1">
              <w:rPr>
                <w:rFonts w:ascii="Times New Roman" w:hAnsi="Times New Roman" w:cs="Times New Roman"/>
                <w:sz w:val="20"/>
                <w:szCs w:val="20"/>
              </w:rPr>
              <w:t>majú rodičia 2 deti). Zo zdvojnásobenia štátnej prémie (aktuálne 2 x 7 % = 14 %) vyplýva, že domácnosť s vyššími príjmami dokáže bez problémov vložiť znížený efektívny ročný vklad 500 eur za každého sporiteľa (manžel, manželka, 1. dieťa, 2. dieťa/ spolu 2 000 eur ročne) a získať tak celkovú ročnú štátnu prémiu 280 eur. Takéto nastavenie však spôsobuje vyššie zvýhodnenie vysokopríjmových rodín oproti rodinám a slobodným jednotlivcom s nižšími príjmami a neprimerane zvýšené nároky na štátny rozpočet.</w:t>
            </w:r>
          </w:p>
          <w:p w:rsidR="00A74FE9" w:rsidRDefault="00A74FE9" w:rsidP="00A74FE9">
            <w:pPr>
              <w:jc w:val="both"/>
              <w:rPr>
                <w:rFonts w:ascii="Times New Roman" w:hAnsi="Times New Roman" w:cs="Times New Roman"/>
                <w:sz w:val="20"/>
                <w:szCs w:val="20"/>
              </w:rPr>
            </w:pPr>
            <w:r w:rsidRPr="007C3441">
              <w:rPr>
                <w:rFonts w:ascii="Times New Roman" w:hAnsi="Times New Roman" w:cs="Times New Roman"/>
                <w:sz w:val="20"/>
                <w:szCs w:val="20"/>
              </w:rPr>
              <w:lastRenderedPageBreak/>
              <w:t xml:space="preserve">Detailnú analýzu vplyvu na rozpočet verejnej správy </w:t>
            </w:r>
            <w:r>
              <w:rPr>
                <w:rFonts w:ascii="Times New Roman" w:hAnsi="Times New Roman" w:cs="Times New Roman"/>
                <w:sz w:val="20"/>
                <w:szCs w:val="20"/>
              </w:rPr>
              <w:t>v</w:t>
            </w:r>
            <w:r w:rsidRPr="007C3441">
              <w:rPr>
                <w:rFonts w:ascii="Times New Roman" w:hAnsi="Times New Roman" w:cs="Times New Roman"/>
                <w:sz w:val="20"/>
                <w:szCs w:val="20"/>
              </w:rPr>
              <w:t>šak nie je možné poskytnúť, pretože Ministerstvo financií SR nedisponuje dátami, ktoré by umožnili vykonať kvantifikáciu dopadov. Chýbajú individuálne dáta o poberateľoch štátnej prémie, ktoré by boli prepojené s príjmami na počet detí.</w:t>
            </w:r>
            <w:r>
              <w:rPr>
                <w:rFonts w:ascii="Times New Roman" w:hAnsi="Times New Roman" w:cs="Times New Roman"/>
                <w:sz w:val="20"/>
                <w:szCs w:val="20"/>
              </w:rPr>
              <w:t xml:space="preserve"> </w:t>
            </w:r>
            <w:r w:rsidRPr="005B2BB1">
              <w:rPr>
                <w:rFonts w:ascii="Times New Roman" w:hAnsi="Times New Roman" w:cs="Times New Roman"/>
                <w:sz w:val="20"/>
                <w:szCs w:val="20"/>
              </w:rPr>
              <w:t>Predložený návrh zákona nemá sociálne vplyvy, ani vplyvy na podnikateľské prostredie, životné prostredie, informatizáciu spoločnosti, služby verejnej správy pre občana a manželstvo rodičovstvo a rodinu.</w:t>
            </w:r>
          </w:p>
          <w:p w:rsidR="00A74FE9" w:rsidRPr="00126BFD" w:rsidRDefault="00A74FE9" w:rsidP="00A74FE9">
            <w:pPr>
              <w:jc w:val="both"/>
              <w:rPr>
                <w:rFonts w:ascii="Times New Roman" w:hAnsi="Times New Roman" w:cs="Times New Roman"/>
                <w:sz w:val="20"/>
                <w:szCs w:val="20"/>
              </w:rPr>
            </w:pPr>
          </w:p>
          <w:p w:rsidR="00A74FE9" w:rsidRPr="00126BFD" w:rsidRDefault="00A74FE9" w:rsidP="00A74FE9">
            <w:pPr>
              <w:jc w:val="both"/>
              <w:rPr>
                <w:rFonts w:ascii="Times New Roman" w:eastAsia="Times New Roman" w:hAnsi="Times New Roman" w:cs="Times New Roman"/>
                <w:b/>
                <w:sz w:val="20"/>
                <w:szCs w:val="20"/>
                <w:lang w:eastAsia="sk-SK"/>
              </w:rPr>
            </w:pPr>
            <w:r w:rsidRPr="00126BFD">
              <w:rPr>
                <w:rFonts w:ascii="Times New Roman" w:eastAsia="Times New Roman" w:hAnsi="Times New Roman" w:cs="Times New Roman"/>
                <w:b/>
                <w:sz w:val="20"/>
                <w:szCs w:val="20"/>
                <w:lang w:eastAsia="sk-SK"/>
              </w:rPr>
              <w:t>Zákon o dani z príjmov</w:t>
            </w:r>
          </w:p>
          <w:p w:rsidR="00A74FE9" w:rsidRPr="00126BFD" w:rsidRDefault="00A74FE9" w:rsidP="00A74FE9">
            <w:pPr>
              <w:jc w:val="both"/>
              <w:rPr>
                <w:rFonts w:ascii="Times New Roman" w:hAnsi="Times New Roman" w:cs="Times New Roman"/>
                <w:color w:val="000000" w:themeColor="text1"/>
                <w:sz w:val="20"/>
                <w:szCs w:val="20"/>
                <w:u w:val="single"/>
              </w:rPr>
            </w:pPr>
            <w:r w:rsidRPr="00126BFD">
              <w:rPr>
                <w:rFonts w:ascii="Times New Roman" w:eastAsia="Times New Roman" w:hAnsi="Times New Roman" w:cs="Times New Roman"/>
                <w:sz w:val="20"/>
                <w:szCs w:val="20"/>
                <w:lang w:eastAsia="sk-SK"/>
              </w:rPr>
              <w:t>1.</w:t>
            </w:r>
            <w:r w:rsidRPr="00126BFD">
              <w:rPr>
                <w:rFonts w:ascii="Times New Roman" w:hAnsi="Times New Roman" w:cs="Times New Roman"/>
                <w:color w:val="000000" w:themeColor="text1"/>
                <w:sz w:val="20"/>
                <w:szCs w:val="20"/>
                <w:u w:val="single"/>
              </w:rPr>
              <w:t xml:space="preserve"> Zrážková daň z dividend</w:t>
            </w:r>
          </w:p>
          <w:p w:rsidR="00A74FE9" w:rsidRPr="00126BFD" w:rsidRDefault="00A74FE9" w:rsidP="00A74FE9">
            <w:pPr>
              <w:jc w:val="both"/>
              <w:rPr>
                <w:rFonts w:ascii="Times New Roman" w:eastAsia="Times New Roman" w:hAnsi="Times New Roman" w:cs="Times New Roman"/>
                <w:sz w:val="20"/>
                <w:szCs w:val="20"/>
                <w:lang w:eastAsia="sk-SK"/>
              </w:rPr>
            </w:pPr>
            <w:r w:rsidRPr="00126BFD">
              <w:rPr>
                <w:rFonts w:ascii="Times New Roman" w:eastAsia="Times New Roman" w:hAnsi="Times New Roman" w:cs="Times New Roman"/>
                <w:sz w:val="20"/>
                <w:szCs w:val="20"/>
                <w:lang w:eastAsia="sk-SK"/>
              </w:rPr>
              <w:t xml:space="preserve">Dochádza </w:t>
            </w:r>
            <w:r w:rsidRPr="00126BFD">
              <w:rPr>
                <w:rFonts w:ascii="Times New Roman" w:eastAsia="Times New Roman" w:hAnsi="Times New Roman" w:cs="Times New Roman"/>
                <w:b/>
                <w:sz w:val="20"/>
                <w:szCs w:val="20"/>
                <w:lang w:eastAsia="sk-SK"/>
              </w:rPr>
              <w:t>k </w:t>
            </w:r>
            <w:r>
              <w:rPr>
                <w:rFonts w:ascii="Times New Roman" w:eastAsia="Times New Roman" w:hAnsi="Times New Roman" w:cs="Times New Roman"/>
                <w:b/>
                <w:sz w:val="20"/>
                <w:szCs w:val="20"/>
                <w:lang w:eastAsia="sk-SK"/>
              </w:rPr>
              <w:t>pozitívnym</w:t>
            </w:r>
            <w:r w:rsidRPr="00126BFD">
              <w:rPr>
                <w:rFonts w:ascii="Times New Roman" w:eastAsia="Times New Roman" w:hAnsi="Times New Roman" w:cs="Times New Roman"/>
                <w:b/>
                <w:sz w:val="20"/>
                <w:szCs w:val="20"/>
                <w:lang w:eastAsia="sk-SK"/>
              </w:rPr>
              <w:t xml:space="preserve"> vplyvom na informatizáciu</w:t>
            </w:r>
            <w:r w:rsidRPr="00126BFD">
              <w:rPr>
                <w:rFonts w:ascii="Times New Roman" w:eastAsia="Times New Roman" w:hAnsi="Times New Roman" w:cs="Times New Roman"/>
                <w:sz w:val="20"/>
                <w:szCs w:val="20"/>
                <w:lang w:eastAsia="sk-SK"/>
              </w:rPr>
              <w:t xml:space="preserve"> spoločnosti – v úpravách tlačiva „OZNÁMENIE platiteľa dane o zrazení a odvedení dane vyberanej zrážkou podľa § 43 ods. 11 zákona č. 595/2003 Z. z. o dani z príjmov v znení neskorších predpisov“ – upraviť tabuľku súhrnných údajov o zrazení a odvedení dane vyberanej zrážkou tak, aby bolo možné rozlíšiť, aká časť dane sa vzťahuje na dividendy zdanené 7</w:t>
            </w:r>
            <w:r>
              <w:rPr>
                <w:rFonts w:ascii="Times New Roman" w:eastAsia="Times New Roman" w:hAnsi="Times New Roman" w:cs="Times New Roman"/>
                <w:sz w:val="20"/>
                <w:szCs w:val="20"/>
                <w:lang w:eastAsia="sk-SK"/>
              </w:rPr>
              <w:t xml:space="preserve"> </w:t>
            </w:r>
            <w:r w:rsidRPr="00126BFD">
              <w:rPr>
                <w:rFonts w:ascii="Times New Roman" w:eastAsia="Times New Roman" w:hAnsi="Times New Roman" w:cs="Times New Roman"/>
                <w:sz w:val="20"/>
                <w:szCs w:val="20"/>
                <w:lang w:eastAsia="sk-SK"/>
              </w:rPr>
              <w:t>% sadzbou dane a aká časť na dividendy zdanené 1</w:t>
            </w:r>
            <w:r>
              <w:rPr>
                <w:rFonts w:ascii="Times New Roman" w:eastAsia="Times New Roman" w:hAnsi="Times New Roman" w:cs="Times New Roman"/>
                <w:sz w:val="20"/>
                <w:szCs w:val="20"/>
                <w:lang w:eastAsia="sk-SK"/>
              </w:rPr>
              <w:t xml:space="preserve">0 </w:t>
            </w:r>
            <w:r w:rsidRPr="00126BFD">
              <w:rPr>
                <w:rFonts w:ascii="Times New Roman" w:eastAsia="Times New Roman" w:hAnsi="Times New Roman" w:cs="Times New Roman"/>
                <w:sz w:val="20"/>
                <w:szCs w:val="20"/>
                <w:lang w:eastAsia="sk-SK"/>
              </w:rPr>
              <w:t>% sadzbou dane.</w:t>
            </w:r>
          </w:p>
          <w:p w:rsidR="00A74FE9" w:rsidRPr="00126BFD" w:rsidRDefault="00A74FE9" w:rsidP="00A74FE9">
            <w:pPr>
              <w:jc w:val="both"/>
              <w:rPr>
                <w:rFonts w:ascii="Times New Roman" w:hAnsi="Times New Roman" w:cs="Times New Roman"/>
                <w:sz w:val="20"/>
                <w:szCs w:val="20"/>
              </w:rPr>
            </w:pPr>
          </w:p>
          <w:p w:rsidR="00A74FE9" w:rsidRPr="00126BFD" w:rsidRDefault="00A74FE9" w:rsidP="00A74FE9">
            <w:pPr>
              <w:jc w:val="both"/>
              <w:rPr>
                <w:rFonts w:ascii="Times New Roman" w:hAnsi="Times New Roman" w:cs="Times New Roman"/>
                <w:sz w:val="20"/>
                <w:szCs w:val="20"/>
                <w:u w:val="single"/>
              </w:rPr>
            </w:pPr>
            <w:r w:rsidRPr="00126BFD">
              <w:rPr>
                <w:rFonts w:ascii="Times New Roman" w:hAnsi="Times New Roman" w:cs="Times New Roman"/>
                <w:sz w:val="20"/>
                <w:szCs w:val="20"/>
                <w:u w:val="single"/>
              </w:rPr>
              <w:t>3. Minimálna daň právnických osôb</w:t>
            </w:r>
          </w:p>
          <w:p w:rsidR="00A74FE9" w:rsidRPr="00126BFD" w:rsidRDefault="00A74FE9" w:rsidP="00A74FE9">
            <w:pPr>
              <w:jc w:val="both"/>
              <w:rPr>
                <w:rFonts w:ascii="Times New Roman" w:hAnsi="Times New Roman" w:cs="Times New Roman"/>
                <w:sz w:val="20"/>
                <w:szCs w:val="20"/>
              </w:rPr>
            </w:pPr>
            <w:r w:rsidRPr="00126BFD">
              <w:rPr>
                <w:rFonts w:ascii="Times New Roman" w:hAnsi="Times New Roman" w:cs="Times New Roman"/>
                <w:sz w:val="20"/>
                <w:szCs w:val="20"/>
              </w:rPr>
              <w:t xml:space="preserve">V dôsledku </w:t>
            </w:r>
            <w:r w:rsidRPr="00126BFD">
              <w:rPr>
                <w:rFonts w:ascii="Times New Roman" w:hAnsi="Times New Roman" w:cs="Times New Roman"/>
                <w:b/>
                <w:sz w:val="20"/>
                <w:szCs w:val="20"/>
              </w:rPr>
              <w:t>negatívneho vplyvu na podnikateľské prostredie</w:t>
            </w:r>
            <w:r w:rsidRPr="00126BFD">
              <w:rPr>
                <w:rFonts w:ascii="Times New Roman" w:hAnsi="Times New Roman" w:cs="Times New Roman"/>
                <w:sz w:val="20"/>
                <w:szCs w:val="20"/>
              </w:rPr>
              <w:t xml:space="preserve"> je možné, že niektoré z firiem v dôsledku tohto opatrenia zaniknú,alebo prípadne začnú vykazovať zisky, ktoré by v opačnom prípade nevykazovali.</w:t>
            </w:r>
          </w:p>
          <w:p w:rsidR="00A74FE9" w:rsidRPr="00126BFD" w:rsidRDefault="00A74FE9" w:rsidP="00A74FE9">
            <w:pPr>
              <w:jc w:val="both"/>
              <w:rPr>
                <w:rFonts w:ascii="Times New Roman" w:eastAsia="Times New Roman" w:hAnsi="Times New Roman" w:cs="Times New Roman"/>
                <w:sz w:val="20"/>
                <w:szCs w:val="20"/>
                <w:lang w:eastAsia="sk-SK"/>
              </w:rPr>
            </w:pPr>
          </w:p>
          <w:p w:rsidR="00A74FE9" w:rsidRDefault="00A74FE9" w:rsidP="00A74FE9">
            <w:pPr>
              <w:jc w:val="both"/>
              <w:rPr>
                <w:rFonts w:ascii="Times New Roman" w:eastAsia="Times New Roman" w:hAnsi="Times New Roman" w:cs="Times New Roman"/>
                <w:sz w:val="20"/>
                <w:szCs w:val="20"/>
                <w:lang w:eastAsia="sk-SK"/>
              </w:rPr>
            </w:pPr>
            <w:r w:rsidRPr="00126BFD">
              <w:rPr>
                <w:rFonts w:ascii="Times New Roman" w:eastAsia="Times New Roman" w:hAnsi="Times New Roman" w:cs="Times New Roman"/>
                <w:sz w:val="20"/>
                <w:szCs w:val="20"/>
                <w:lang w:eastAsia="sk-SK"/>
              </w:rPr>
              <w:t xml:space="preserve">Dochádza </w:t>
            </w:r>
            <w:r w:rsidRPr="00126BFD">
              <w:rPr>
                <w:rFonts w:ascii="Times New Roman" w:eastAsia="Times New Roman" w:hAnsi="Times New Roman" w:cs="Times New Roman"/>
                <w:b/>
                <w:sz w:val="20"/>
                <w:szCs w:val="20"/>
                <w:lang w:eastAsia="sk-SK"/>
              </w:rPr>
              <w:t>k </w:t>
            </w:r>
            <w:r>
              <w:rPr>
                <w:rFonts w:ascii="Times New Roman" w:eastAsia="Times New Roman" w:hAnsi="Times New Roman" w:cs="Times New Roman"/>
                <w:b/>
                <w:sz w:val="20"/>
                <w:szCs w:val="20"/>
                <w:lang w:eastAsia="sk-SK"/>
              </w:rPr>
              <w:t>pozitívnym</w:t>
            </w:r>
            <w:r w:rsidRPr="00126BFD">
              <w:rPr>
                <w:rFonts w:ascii="Times New Roman" w:eastAsia="Times New Roman" w:hAnsi="Times New Roman" w:cs="Times New Roman"/>
                <w:b/>
                <w:sz w:val="20"/>
                <w:szCs w:val="20"/>
                <w:lang w:eastAsia="sk-SK"/>
              </w:rPr>
              <w:t xml:space="preserve"> vplyvom na informatizáciu</w:t>
            </w:r>
            <w:r w:rsidRPr="00126BFD">
              <w:rPr>
                <w:rFonts w:ascii="Times New Roman" w:eastAsia="Times New Roman" w:hAnsi="Times New Roman" w:cs="Times New Roman"/>
                <w:sz w:val="20"/>
                <w:szCs w:val="20"/>
                <w:lang w:eastAsia="sk-SK"/>
              </w:rPr>
              <w:t xml:space="preserve"> spoločnosti – je potrebná úprava tlačiva daňového priznania k dane z príjmov právnických osôb za zdaňovacie obdobie od 1. 1. 2024.</w:t>
            </w:r>
          </w:p>
          <w:p w:rsidR="00A74FE9" w:rsidRDefault="00A74FE9" w:rsidP="00A74FE9">
            <w:pPr>
              <w:jc w:val="both"/>
              <w:rPr>
                <w:rFonts w:ascii="Times New Roman" w:eastAsia="Times New Roman" w:hAnsi="Times New Roman" w:cs="Times New Roman"/>
                <w:sz w:val="20"/>
                <w:szCs w:val="20"/>
                <w:lang w:eastAsia="sk-SK"/>
              </w:rPr>
            </w:pPr>
          </w:p>
          <w:p w:rsidR="00A74FE9" w:rsidRPr="001437EC" w:rsidRDefault="00A74FE9" w:rsidP="00A74FE9">
            <w:pPr>
              <w:jc w:val="both"/>
              <w:rPr>
                <w:rStyle w:val="Zstupntext"/>
                <w:rFonts w:cs="Calibri"/>
                <w:b/>
                <w:color w:val="000000"/>
                <w:sz w:val="20"/>
                <w:szCs w:val="20"/>
              </w:rPr>
            </w:pPr>
            <w:r w:rsidRPr="001437EC">
              <w:rPr>
                <w:rFonts w:ascii="Times New Roman" w:hAnsi="Times New Roman" w:cs="Calibri"/>
                <w:b/>
                <w:color w:val="000000"/>
                <w:sz w:val="20"/>
                <w:szCs w:val="20"/>
              </w:rPr>
              <w:t xml:space="preserve">Zákon o </w:t>
            </w:r>
            <w:r w:rsidRPr="001437EC">
              <w:rPr>
                <w:rStyle w:val="Zstupntext"/>
                <w:rFonts w:cs="Calibri"/>
                <w:b/>
                <w:color w:val="000000"/>
                <w:sz w:val="20"/>
                <w:szCs w:val="20"/>
              </w:rPr>
              <w:t>osobitnom odvode  v regulovaných odvetviach</w:t>
            </w:r>
          </w:p>
          <w:p w:rsidR="00A74FE9" w:rsidRPr="001437EC" w:rsidRDefault="00A74FE9" w:rsidP="00A74FE9">
            <w:pPr>
              <w:pStyle w:val="Normlnywebov"/>
              <w:spacing w:before="0" w:beforeAutospacing="0" w:after="160" w:afterAutospacing="0"/>
              <w:jc w:val="both"/>
              <w:rPr>
                <w:sz w:val="20"/>
                <w:szCs w:val="20"/>
              </w:rPr>
            </w:pPr>
            <w:r w:rsidRPr="001437EC">
              <w:rPr>
                <w:sz w:val="20"/>
                <w:szCs w:val="20"/>
              </w:rPr>
              <w:t xml:space="preserve">Predloženým návrhom zákona sa predpokladá pozitívny vplyv na rozpočet verejnej správy, banková daň bude príjmom štátneho rozpočtu. </w:t>
            </w:r>
          </w:p>
          <w:p w:rsidR="00A74FE9" w:rsidRPr="001437EC" w:rsidRDefault="00A74FE9" w:rsidP="00A74FE9">
            <w:pPr>
              <w:pStyle w:val="Normlnywebov"/>
              <w:spacing w:before="0" w:beforeAutospacing="0" w:after="0" w:afterAutospacing="0"/>
              <w:jc w:val="both"/>
              <w:rPr>
                <w:rFonts w:asciiTheme="minorHAnsi" w:hAnsiTheme="minorHAnsi" w:cstheme="minorBidi"/>
                <w:sz w:val="20"/>
                <w:szCs w:val="20"/>
              </w:rPr>
            </w:pPr>
            <w:r w:rsidRPr="001437EC">
              <w:rPr>
                <w:sz w:val="20"/>
                <w:szCs w:val="20"/>
              </w:rPr>
              <w:t xml:space="preserve">Negatívny vplyv na podnikateľské prostredie zakladá nová úprava osobitného odvodu z podnikania v regulovaných odvetviach pre subjekty, ktoré majú oprávnenie na výkon činnosti v oblasti vykonávanej na základe povolenia vydaného alebo udeleného NBS, ktorá zavádza oznamovaciu povinnosť a to raz za účtovné obdobie. </w:t>
            </w:r>
          </w:p>
          <w:p w:rsidR="00A74FE9" w:rsidRPr="001437EC" w:rsidRDefault="00A74FE9" w:rsidP="00A74FE9">
            <w:pPr>
              <w:pStyle w:val="Normlnywebov"/>
              <w:spacing w:before="0" w:beforeAutospacing="0" w:after="0" w:afterAutospacing="0"/>
              <w:jc w:val="both"/>
              <w:rPr>
                <w:rFonts w:ascii="Times" w:hAnsi="Times" w:cs="Times"/>
                <w:sz w:val="20"/>
                <w:szCs w:val="20"/>
              </w:rPr>
            </w:pPr>
            <w:r w:rsidRPr="001437EC">
              <w:rPr>
                <w:sz w:val="20"/>
                <w:szCs w:val="20"/>
              </w:rPr>
              <w:t>V kontexte vyššie uvedeného predkladateľ vypracoval analýzu vplyvov na podnikateľské prostredie</w:t>
            </w:r>
            <w:r w:rsidRPr="001437EC">
              <w:rPr>
                <w:rFonts w:ascii="Times" w:hAnsi="Times" w:cs="Times"/>
                <w:sz w:val="20"/>
                <w:szCs w:val="20"/>
              </w:rPr>
              <w:t>.</w:t>
            </w:r>
          </w:p>
          <w:p w:rsidR="00A74FE9" w:rsidRPr="001437EC" w:rsidRDefault="00A74FE9" w:rsidP="00A74FE9">
            <w:pPr>
              <w:jc w:val="both"/>
              <w:rPr>
                <w:rFonts w:ascii="Inter" w:hAnsi="Inter"/>
                <w:color w:val="3B3434"/>
                <w:sz w:val="20"/>
                <w:szCs w:val="20"/>
                <w:shd w:val="clear" w:color="auto" w:fill="FFFFFF"/>
              </w:rPr>
            </w:pPr>
          </w:p>
          <w:p w:rsidR="00A74FE9" w:rsidRPr="001437EC" w:rsidRDefault="00A74FE9" w:rsidP="00A74FE9">
            <w:pPr>
              <w:jc w:val="both"/>
              <w:rPr>
                <w:rFonts w:ascii="Inter" w:hAnsi="Inter"/>
                <w:b/>
                <w:color w:val="3B3434"/>
                <w:sz w:val="20"/>
                <w:szCs w:val="20"/>
                <w:shd w:val="clear" w:color="auto" w:fill="FFFFFF"/>
              </w:rPr>
            </w:pPr>
            <w:r w:rsidRPr="001437EC">
              <w:rPr>
                <w:rFonts w:ascii="Inter" w:hAnsi="Inter"/>
                <w:b/>
                <w:color w:val="3B3434"/>
                <w:sz w:val="20"/>
                <w:szCs w:val="20"/>
                <w:shd w:val="clear" w:color="auto" w:fill="FFFFFF"/>
              </w:rPr>
              <w:t>Zákon o solidárnom príspevku</w:t>
            </w:r>
          </w:p>
          <w:p w:rsidR="00A74FE9" w:rsidRPr="001437EC" w:rsidRDefault="00A74FE9" w:rsidP="00A74FE9">
            <w:pPr>
              <w:pStyle w:val="Normlnywebov"/>
              <w:spacing w:before="0" w:beforeAutospacing="0" w:after="0" w:afterAutospacing="0"/>
              <w:jc w:val="both"/>
              <w:rPr>
                <w:sz w:val="20"/>
                <w:szCs w:val="20"/>
              </w:rPr>
            </w:pPr>
            <w:r w:rsidRPr="001437EC">
              <w:rPr>
                <w:sz w:val="20"/>
                <w:szCs w:val="20"/>
              </w:rPr>
              <w:t xml:space="preserve">Predloženým návrhom novely zákona sa predpokladá pozitívny vplyv na rozpočet verejnej správy. </w:t>
            </w:r>
          </w:p>
          <w:p w:rsidR="00A74FE9" w:rsidRPr="001437EC" w:rsidRDefault="00A74FE9" w:rsidP="00A74FE9">
            <w:pPr>
              <w:pStyle w:val="Normlnywebov"/>
              <w:spacing w:before="0" w:beforeAutospacing="0" w:after="0" w:afterAutospacing="0"/>
              <w:jc w:val="both"/>
              <w:rPr>
                <w:rFonts w:asciiTheme="minorHAnsi" w:hAnsiTheme="minorHAnsi" w:cstheme="minorBidi"/>
                <w:sz w:val="20"/>
                <w:szCs w:val="20"/>
              </w:rPr>
            </w:pPr>
            <w:r w:rsidRPr="001437EC">
              <w:rPr>
                <w:sz w:val="20"/>
                <w:szCs w:val="20"/>
              </w:rPr>
              <w:t xml:space="preserve">Negatívny vplyv na podnikateľské prostredie spočíva v predĺžení obdobia na platenie solidárneho príspevku.  </w:t>
            </w:r>
          </w:p>
          <w:p w:rsidR="00A74FE9" w:rsidRDefault="00A74FE9" w:rsidP="00A74FE9">
            <w:pPr>
              <w:pStyle w:val="Normlnywebov"/>
              <w:spacing w:before="0" w:beforeAutospacing="0" w:after="0" w:afterAutospacing="0"/>
              <w:jc w:val="both"/>
              <w:rPr>
                <w:rFonts w:ascii="Times" w:hAnsi="Times" w:cs="Times"/>
                <w:sz w:val="20"/>
                <w:szCs w:val="20"/>
              </w:rPr>
            </w:pPr>
          </w:p>
          <w:p w:rsidR="00A74FE9" w:rsidRDefault="00A74FE9" w:rsidP="00A74FE9">
            <w:pPr>
              <w:jc w:val="both"/>
              <w:rPr>
                <w:rFonts w:ascii="Times New Roman" w:eastAsia="Times New Roman" w:hAnsi="Times New Roman" w:cs="Times New Roman"/>
                <w:b/>
                <w:sz w:val="20"/>
                <w:szCs w:val="20"/>
                <w:lang w:eastAsia="sk-SK"/>
              </w:rPr>
            </w:pPr>
            <w:r w:rsidRPr="00203EC6">
              <w:rPr>
                <w:rFonts w:ascii="Times New Roman" w:eastAsia="Times New Roman" w:hAnsi="Times New Roman" w:cs="Times New Roman"/>
                <w:b/>
                <w:sz w:val="20"/>
                <w:szCs w:val="20"/>
                <w:lang w:eastAsia="sk-SK"/>
              </w:rPr>
              <w:t>Zákon o Rozhlase a televízii Slovenska</w:t>
            </w:r>
          </w:p>
          <w:p w:rsidR="00A74FE9" w:rsidRDefault="00A74FE9" w:rsidP="00A74FE9">
            <w:pPr>
              <w:pStyle w:val="Normlnywebov"/>
              <w:spacing w:before="0" w:beforeAutospacing="0" w:after="0" w:afterAutospacing="0"/>
              <w:jc w:val="both"/>
              <w:rPr>
                <w:rFonts w:eastAsia="Calibri"/>
                <w:sz w:val="20"/>
                <w:szCs w:val="20"/>
              </w:rPr>
            </w:pPr>
            <w:r w:rsidRPr="00254AFD">
              <w:rPr>
                <w:rFonts w:eastAsia="Calibri"/>
                <w:sz w:val="20"/>
                <w:szCs w:val="20"/>
              </w:rPr>
              <w:t>Predpokladá sa úspora výdavkov štátneho rozpočtu</w:t>
            </w:r>
            <w:r>
              <w:rPr>
                <w:rFonts w:eastAsia="Calibri"/>
                <w:sz w:val="20"/>
                <w:szCs w:val="20"/>
              </w:rPr>
              <w:t> kapitoly Ministerstva kultúry SR, cez ktorú bol poskytovaný transfer pre Rozhlas a televíziu Slovenska.</w:t>
            </w:r>
          </w:p>
          <w:p w:rsidR="00A74FE9" w:rsidRDefault="00A74FE9" w:rsidP="00A74FE9">
            <w:pPr>
              <w:pStyle w:val="Normlnywebov"/>
              <w:spacing w:before="0" w:beforeAutospacing="0" w:after="0" w:afterAutospacing="0"/>
              <w:jc w:val="both"/>
              <w:rPr>
                <w:rFonts w:eastAsia="Calibri"/>
                <w:sz w:val="20"/>
                <w:szCs w:val="20"/>
              </w:rPr>
            </w:pPr>
          </w:p>
          <w:p w:rsidR="00A74FE9" w:rsidRDefault="00A74FE9" w:rsidP="00A74FE9">
            <w:pPr>
              <w:jc w:val="both"/>
              <w:rPr>
                <w:b/>
                <w:sz w:val="20"/>
                <w:szCs w:val="20"/>
              </w:rPr>
            </w:pPr>
            <w:r>
              <w:rPr>
                <w:rFonts w:ascii="Times New Roman" w:eastAsia="Times New Roman" w:hAnsi="Times New Roman" w:cs="Times New Roman"/>
                <w:b/>
                <w:sz w:val="20"/>
                <w:szCs w:val="20"/>
                <w:lang w:eastAsia="sk-SK"/>
              </w:rPr>
              <w:t xml:space="preserve">Zákon </w:t>
            </w:r>
            <w:r w:rsidRPr="000A4180">
              <w:rPr>
                <w:rFonts w:ascii="Times New Roman" w:eastAsia="Times New Roman" w:hAnsi="Times New Roman" w:cs="Times New Roman"/>
                <w:b/>
                <w:sz w:val="20"/>
                <w:szCs w:val="20"/>
                <w:lang w:eastAsia="sk-SK"/>
              </w:rPr>
              <w:t xml:space="preserve">o sociálnom poistení </w:t>
            </w:r>
          </w:p>
          <w:p w:rsidR="00A74FE9" w:rsidRPr="005715AB" w:rsidRDefault="00A74FE9" w:rsidP="00A74FE9">
            <w:pPr>
              <w:jc w:val="both"/>
              <w:rPr>
                <w:rFonts w:ascii="Times New Roman" w:hAnsi="Times New Roman" w:cs="Times New Roman"/>
                <w:b/>
                <w:sz w:val="20"/>
                <w:szCs w:val="20"/>
              </w:rPr>
            </w:pPr>
            <w:r w:rsidRPr="005715AB">
              <w:rPr>
                <w:rFonts w:ascii="Times New Roman" w:hAnsi="Times New Roman" w:cs="Times New Roman"/>
                <w:sz w:val="20"/>
                <w:szCs w:val="20"/>
              </w:rPr>
              <w:t xml:space="preserve">Návrh zákona bude mať pozitívny vplyv na rozpočet verejnej správy a neutrálne sociálne vplyvy nakoľko sa predpokladá, že znížená sadzba do II. piliera bude kompenzovaná zvýšenými starobnými dôchodkami z I. piliera. </w:t>
            </w:r>
          </w:p>
          <w:p w:rsidR="00A74FE9" w:rsidRDefault="00A74FE9" w:rsidP="00A74FE9">
            <w:pPr>
              <w:jc w:val="both"/>
              <w:rPr>
                <w:rFonts w:ascii="Times New Roman" w:hAnsi="Times New Roman" w:cs="Times New Roman"/>
                <w:sz w:val="20"/>
                <w:szCs w:val="20"/>
              </w:rPr>
            </w:pPr>
            <w:r w:rsidRPr="005715AB">
              <w:rPr>
                <w:rFonts w:ascii="Times New Roman" w:hAnsi="Times New Roman" w:cs="Times New Roman"/>
                <w:sz w:val="20"/>
                <w:szCs w:val="20"/>
              </w:rPr>
              <w:t>Návrh zákona bude mať negatívne vplyvy na podnikateľské prostredie vo forme zníženia výnosov dôchodkových správcovských spoločností v sledovanom horizonte (2024-2026) o cca 10,3 milióna eur. Uvedený vplyv sa nebude započítavať do mechanizmu znižovania byrokracie a nákladov v súlade s bodom 6.5 Jednotnej metodiky na posudzovanie vybraných vplyvov.</w:t>
            </w:r>
          </w:p>
          <w:p w:rsidR="00A74FE9" w:rsidRPr="00BA6337" w:rsidRDefault="00A74FE9" w:rsidP="00A74FE9">
            <w:pPr>
              <w:jc w:val="both"/>
              <w:rPr>
                <w:rFonts w:ascii="Times New Roman" w:eastAsia="Times New Roman" w:hAnsi="Times New Roman" w:cs="Times New Roman"/>
                <w:sz w:val="20"/>
                <w:szCs w:val="20"/>
                <w:lang w:eastAsia="sk-SK"/>
              </w:rPr>
            </w:pPr>
          </w:p>
        </w:tc>
      </w:tr>
      <w:tr w:rsidR="00A74FE9" w:rsidRPr="00612E08" w:rsidTr="00A74FE9">
        <w:tc>
          <w:tcPr>
            <w:tcW w:w="9176" w:type="dxa"/>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A74FE9" w:rsidRPr="00612E08" w:rsidTr="00A74FE9">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74FE9" w:rsidRPr="00815FA5" w:rsidRDefault="00A74FE9" w:rsidP="00A74FE9">
            <w:pPr>
              <w:rPr>
                <w:rFonts w:ascii="Times New Roman" w:hAnsi="Times New Roman" w:cs="Times New Roman"/>
                <w:sz w:val="20"/>
                <w:szCs w:val="20"/>
                <w:lang w:val="en-US"/>
              </w:rPr>
            </w:pPr>
            <w:r>
              <w:rPr>
                <w:rFonts w:ascii="Times New Roman" w:eastAsia="Times New Roman" w:hAnsi="Times New Roman" w:cs="Times New Roman"/>
                <w:sz w:val="20"/>
                <w:szCs w:val="20"/>
                <w:lang w:eastAsia="sk-SK"/>
              </w:rPr>
              <w:t xml:space="preserve">JUDr. Marcel Moravčík, riaditeľ odboru legislatívy, </w:t>
            </w:r>
            <w:r w:rsidRPr="009517A5">
              <w:rPr>
                <w:rFonts w:ascii="Times New Roman" w:eastAsia="Times New Roman" w:hAnsi="Times New Roman" w:cs="Times New Roman"/>
                <w:sz w:val="20"/>
                <w:szCs w:val="20"/>
                <w:lang w:eastAsia="sk-SK"/>
              </w:rPr>
              <w:t>Ministerstvo financií SR</w:t>
            </w:r>
            <w:r>
              <w:rPr>
                <w:rFonts w:ascii="Times New Roman" w:eastAsia="Times New Roman" w:hAnsi="Times New Roman" w:cs="Times New Roman"/>
                <w:sz w:val="20"/>
                <w:szCs w:val="20"/>
                <w:lang w:eastAsia="sk-SK"/>
              </w:rPr>
              <w:t xml:space="preserve">, </w:t>
            </w:r>
            <w:hyperlink r:id="rId14" w:history="1">
              <w:r w:rsidRPr="00907AE4">
                <w:rPr>
                  <w:rStyle w:val="Hypertextovprepojenie"/>
                  <w:rFonts w:ascii="Times New Roman" w:eastAsia="Times New Roman" w:hAnsi="Times New Roman" w:cs="Times New Roman"/>
                  <w:sz w:val="20"/>
                  <w:szCs w:val="20"/>
                  <w:lang w:eastAsia="sk-SK"/>
                </w:rPr>
                <w:t>marcel.moravcik</w:t>
              </w:r>
              <w:r w:rsidRPr="00907AE4">
                <w:rPr>
                  <w:rStyle w:val="Hypertextovprepojenie"/>
                  <w:rFonts w:ascii="Times New Roman" w:eastAsia="Times New Roman" w:hAnsi="Times New Roman" w:cs="Times New Roman"/>
                  <w:sz w:val="20"/>
                  <w:szCs w:val="20"/>
                  <w:lang w:val="en-US" w:eastAsia="sk-SK"/>
                </w:rPr>
                <w:t>@mfsr.sk</w:t>
              </w:r>
            </w:hyperlink>
            <w:r>
              <w:rPr>
                <w:rFonts w:ascii="Times New Roman" w:eastAsia="Times New Roman" w:hAnsi="Times New Roman" w:cs="Times New Roman"/>
                <w:sz w:val="20"/>
                <w:szCs w:val="20"/>
                <w:lang w:val="en-US" w:eastAsia="sk-SK"/>
              </w:rPr>
              <w:t xml:space="preserve"> </w:t>
            </w:r>
          </w:p>
        </w:tc>
      </w:tr>
      <w:tr w:rsidR="00A74FE9" w:rsidRPr="00612E08" w:rsidTr="00A74FE9">
        <w:tc>
          <w:tcPr>
            <w:tcW w:w="9176" w:type="dxa"/>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A74FE9" w:rsidRPr="00612E08" w:rsidTr="00A74FE9">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74FE9" w:rsidRPr="007038F9" w:rsidRDefault="00A74FE9" w:rsidP="00A74FE9">
            <w:pPr>
              <w:jc w:val="both"/>
              <w:rPr>
                <w:rFonts w:ascii="Times New Roman" w:eastAsia="Times New Roman" w:hAnsi="Times New Roman" w:cs="Times New Roman"/>
                <w:sz w:val="20"/>
                <w:szCs w:val="20"/>
                <w:lang w:eastAsia="sk-SK"/>
              </w:rPr>
            </w:pPr>
            <w:r w:rsidRPr="00C64F32">
              <w:rPr>
                <w:rFonts w:ascii="Times New Roman" w:eastAsia="Times New Roman" w:hAnsi="Times New Roman" w:cs="Times New Roman"/>
                <w:sz w:val="20"/>
                <w:szCs w:val="20"/>
                <w:lang w:eastAsia="sk-SK"/>
              </w:rPr>
              <w:t>Inštitút finančnej politiky MF SR</w:t>
            </w:r>
          </w:p>
          <w:p w:rsidR="00A74FE9" w:rsidRPr="00612E08" w:rsidRDefault="00A74FE9" w:rsidP="00A74FE9">
            <w:pPr>
              <w:rPr>
                <w:rFonts w:ascii="Times New Roman" w:eastAsia="Times New Roman" w:hAnsi="Times New Roman" w:cs="Times New Roman"/>
                <w:b/>
                <w:sz w:val="20"/>
                <w:szCs w:val="20"/>
                <w:lang w:eastAsia="sk-SK"/>
              </w:rPr>
            </w:pPr>
          </w:p>
        </w:tc>
      </w:tr>
      <w:tr w:rsidR="00A74FE9" w:rsidRPr="00612E08" w:rsidTr="00A74FE9">
        <w:tc>
          <w:tcPr>
            <w:tcW w:w="9176" w:type="dxa"/>
            <w:tcBorders>
              <w:top w:val="single" w:sz="4" w:space="0" w:color="auto"/>
              <w:left w:val="single" w:sz="4" w:space="0" w:color="auto"/>
              <w:bottom w:val="single" w:sz="4" w:space="0" w:color="FFFFFF"/>
              <w:right w:val="single" w:sz="4" w:space="0" w:color="auto"/>
            </w:tcBorders>
            <w:shd w:val="clear" w:color="auto" w:fill="E2E2E2"/>
          </w:tcPr>
          <w:p w:rsidR="00A74FE9" w:rsidRPr="00612E08" w:rsidRDefault="00A74FE9" w:rsidP="00A74FE9">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A74FE9" w:rsidRPr="00612E08" w:rsidRDefault="00A74FE9" w:rsidP="00A74FE9">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A74FE9" w:rsidRPr="00612E08" w:rsidTr="00A74FE9">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74FE9" w:rsidRPr="00612E08" w:rsidRDefault="00A74FE9" w:rsidP="00A74FE9">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74FE9" w:rsidRPr="00612E08" w:rsidTr="00A74FE9">
              <w:trPr>
                <w:trHeight w:val="396"/>
              </w:trPr>
              <w:tc>
                <w:tcPr>
                  <w:tcW w:w="2552" w:type="dxa"/>
                </w:tcPr>
                <w:p w:rsidR="00A74FE9" w:rsidRPr="00612E08" w:rsidRDefault="00EC2261" w:rsidP="00A74FE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A74FE9" w:rsidRPr="00612E08">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Súhlasné </w:t>
                  </w:r>
                </w:p>
              </w:tc>
              <w:tc>
                <w:tcPr>
                  <w:tcW w:w="3827" w:type="dxa"/>
                </w:tcPr>
                <w:p w:rsidR="00A74FE9" w:rsidRPr="00612E08" w:rsidRDefault="00EC2261" w:rsidP="00A74FE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A74FE9" w:rsidRPr="00612E08">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A74FE9" w:rsidRPr="00612E08" w:rsidRDefault="00EC2261" w:rsidP="00A74FE9">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A74FE9" w:rsidRPr="00612E08">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Nesúhlasné</w:t>
                  </w:r>
                </w:p>
              </w:tc>
            </w:tr>
          </w:tbl>
          <w:p w:rsidR="00A74FE9" w:rsidRPr="00612E08" w:rsidRDefault="00A74FE9" w:rsidP="00A74FE9">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A74FE9" w:rsidRPr="00612E08" w:rsidRDefault="00A74FE9" w:rsidP="00A74FE9">
            <w:pPr>
              <w:rPr>
                <w:rFonts w:ascii="Times New Roman" w:eastAsia="Times New Roman" w:hAnsi="Times New Roman" w:cs="Times New Roman"/>
                <w:b/>
                <w:sz w:val="20"/>
                <w:szCs w:val="20"/>
                <w:lang w:eastAsia="sk-SK"/>
              </w:rPr>
            </w:pPr>
          </w:p>
          <w:p w:rsidR="00A74FE9" w:rsidRPr="00612E08" w:rsidRDefault="00A74FE9" w:rsidP="00A74FE9">
            <w:pPr>
              <w:rPr>
                <w:rFonts w:ascii="Times New Roman" w:eastAsia="Times New Roman" w:hAnsi="Times New Roman" w:cs="Times New Roman"/>
                <w:b/>
                <w:sz w:val="20"/>
                <w:szCs w:val="20"/>
                <w:lang w:eastAsia="sk-SK"/>
              </w:rPr>
            </w:pPr>
          </w:p>
        </w:tc>
      </w:tr>
      <w:tr w:rsidR="00A74FE9" w:rsidRPr="00612E08" w:rsidTr="00A74FE9">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A74FE9" w:rsidRPr="00612E08" w:rsidRDefault="00A74FE9" w:rsidP="00A74FE9">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A74FE9" w:rsidRPr="00612E08" w:rsidTr="00A74FE9">
        <w:tblPrEx>
          <w:tblBorders>
            <w:insideH w:val="single" w:sz="4" w:space="0" w:color="FFFFFF"/>
            <w:insideV w:val="single" w:sz="4" w:space="0" w:color="FFFFFF"/>
          </w:tblBorders>
        </w:tblPrEx>
        <w:tc>
          <w:tcPr>
            <w:tcW w:w="9176" w:type="dxa"/>
            <w:shd w:val="clear" w:color="auto" w:fill="FFFFFF"/>
          </w:tcPr>
          <w:p w:rsidR="00A74FE9" w:rsidRPr="00612E08" w:rsidRDefault="00A74FE9" w:rsidP="00A74FE9">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74FE9" w:rsidRPr="00612E08" w:rsidTr="00A74FE9">
              <w:trPr>
                <w:trHeight w:val="396"/>
              </w:trPr>
              <w:tc>
                <w:tcPr>
                  <w:tcW w:w="2552" w:type="dxa"/>
                </w:tcPr>
                <w:p w:rsidR="00A74FE9" w:rsidRPr="00612E08" w:rsidRDefault="00EC2261" w:rsidP="00A74FE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A74FE9" w:rsidRPr="00612E08">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Súhlasné </w:t>
                  </w:r>
                </w:p>
              </w:tc>
              <w:tc>
                <w:tcPr>
                  <w:tcW w:w="3827" w:type="dxa"/>
                </w:tcPr>
                <w:p w:rsidR="00A74FE9" w:rsidRPr="00612E08" w:rsidRDefault="00EC2261" w:rsidP="00A74FE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A74FE9" w:rsidRPr="00612E08">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A74FE9" w:rsidRPr="00612E08" w:rsidRDefault="00EC2261" w:rsidP="00A74FE9">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A74FE9" w:rsidRPr="00612E08">
                        <w:rPr>
                          <w:rFonts w:ascii="MS Gothic" w:eastAsia="MS Gothic" w:hAnsi="MS Gothic" w:cs="Times New Roman" w:hint="eastAsia"/>
                          <w:b/>
                          <w:sz w:val="20"/>
                          <w:szCs w:val="20"/>
                          <w:lang w:eastAsia="sk-SK"/>
                        </w:rPr>
                        <w:t>☐</w:t>
                      </w:r>
                    </w:sdtContent>
                  </w:sdt>
                  <w:r w:rsidR="00A74FE9" w:rsidRPr="00612E08">
                    <w:rPr>
                      <w:rFonts w:ascii="Times New Roman" w:eastAsia="Times New Roman" w:hAnsi="Times New Roman" w:cs="Times New Roman"/>
                      <w:b/>
                      <w:sz w:val="20"/>
                      <w:szCs w:val="20"/>
                      <w:lang w:eastAsia="sk-SK"/>
                    </w:rPr>
                    <w:t xml:space="preserve">  Nesúhlasné</w:t>
                  </w:r>
                </w:p>
              </w:tc>
            </w:tr>
          </w:tbl>
          <w:p w:rsidR="00A74FE9" w:rsidRPr="00612E08" w:rsidRDefault="00A74FE9" w:rsidP="00A74FE9">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A74FE9" w:rsidRPr="00612E08" w:rsidRDefault="00A74FE9" w:rsidP="00A74FE9">
            <w:pPr>
              <w:rPr>
                <w:rFonts w:ascii="Times New Roman" w:eastAsia="Times New Roman" w:hAnsi="Times New Roman" w:cs="Times New Roman"/>
                <w:b/>
                <w:sz w:val="20"/>
                <w:szCs w:val="20"/>
                <w:lang w:eastAsia="sk-SK"/>
              </w:rPr>
            </w:pPr>
          </w:p>
          <w:p w:rsidR="00A74FE9" w:rsidRPr="00612E08" w:rsidRDefault="00A74FE9" w:rsidP="00A74FE9">
            <w:pPr>
              <w:rPr>
                <w:rFonts w:ascii="Times New Roman" w:eastAsia="Times New Roman" w:hAnsi="Times New Roman" w:cs="Times New Roman"/>
                <w:b/>
                <w:sz w:val="20"/>
                <w:szCs w:val="20"/>
                <w:lang w:eastAsia="sk-SK"/>
              </w:rPr>
            </w:pPr>
          </w:p>
        </w:tc>
      </w:tr>
    </w:tbl>
    <w:p w:rsidR="00A74FE9" w:rsidRPr="00612E08" w:rsidRDefault="00A74FE9"/>
    <w:p w:rsidR="00A74FE9" w:rsidRPr="00782C29" w:rsidRDefault="00A74FE9" w:rsidP="002A570D">
      <w:pPr>
        <w:pStyle w:val="Bezriadkovania"/>
        <w:jc w:val="both"/>
        <w:rPr>
          <w:rFonts w:ascii="Times New Roman" w:hAnsi="Times New Roman" w:cs="Times New Roman"/>
          <w:sz w:val="24"/>
          <w:szCs w:val="24"/>
        </w:rPr>
      </w:pPr>
    </w:p>
    <w:p w:rsidR="002A570D" w:rsidRDefault="002A570D"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4561A8" w:rsidRDefault="004561A8" w:rsidP="00A74FE9">
      <w:pPr>
        <w:spacing w:after="0" w:line="240" w:lineRule="auto"/>
        <w:jc w:val="center"/>
        <w:rPr>
          <w:rFonts w:ascii="Times New Roman" w:eastAsia="Times New Roman" w:hAnsi="Times New Roman" w:cs="Times New Roman"/>
          <w:b/>
          <w:bCs/>
          <w:sz w:val="28"/>
          <w:szCs w:val="28"/>
          <w:lang w:eastAsia="sk-SK"/>
        </w:rPr>
        <w:sectPr w:rsidR="004561A8" w:rsidSect="00A74FE9">
          <w:pgSz w:w="11906" w:h="16838"/>
          <w:pgMar w:top="1417" w:right="1417" w:bottom="1417" w:left="1417" w:header="708" w:footer="708" w:gutter="0"/>
          <w:cols w:space="708"/>
          <w:docGrid w:linePitch="360"/>
        </w:sectPr>
      </w:pP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(Sumárna analýza vplyvov)</w:t>
      </w:r>
    </w:p>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w:t>
      </w:r>
      <w:r>
        <w:rPr>
          <w:rFonts w:ascii="Times New Roman" w:eastAsia="Times New Roman" w:hAnsi="Times New Roman" w:cs="Times New Roman"/>
          <w:b/>
          <w:bCs/>
          <w:sz w:val="24"/>
          <w:szCs w:val="24"/>
          <w:lang w:eastAsia="sk-SK"/>
        </w:rPr>
        <w:t> </w:t>
      </w:r>
      <w:r w:rsidRPr="007B7470">
        <w:rPr>
          <w:rFonts w:ascii="Times New Roman" w:eastAsia="Times New Roman" w:hAnsi="Times New Roman" w:cs="Times New Roman"/>
          <w:b/>
          <w:bCs/>
          <w:sz w:val="24"/>
          <w:szCs w:val="24"/>
          <w:lang w:eastAsia="sk-SK"/>
        </w:rPr>
        <w:t>návrhu</w:t>
      </w:r>
    </w:p>
    <w:p w:rsidR="00A74FE9" w:rsidRDefault="00A74FE9" w:rsidP="00A74FE9">
      <w:pPr>
        <w:spacing w:after="0"/>
        <w:jc w:val="both"/>
        <w:rPr>
          <w:rFonts w:ascii="Times New Roman" w:eastAsia="Times New Roman" w:hAnsi="Times New Roman" w:cs="Times New Roman"/>
          <w:b/>
          <w:bCs/>
          <w:szCs w:val="20"/>
          <w:highlight w:val="yellow"/>
          <w:lang w:eastAsia="sk-SK"/>
        </w:rPr>
      </w:pPr>
    </w:p>
    <w:tbl>
      <w:tblPr>
        <w:tblW w:w="5403" w:type="pct"/>
        <w:tblInd w:w="-294" w:type="dxa"/>
        <w:tblLayout w:type="fixed"/>
        <w:tblCellMar>
          <w:left w:w="70" w:type="dxa"/>
          <w:right w:w="70" w:type="dxa"/>
        </w:tblCellMar>
        <w:tblLook w:val="04A0" w:firstRow="1" w:lastRow="0" w:firstColumn="1" w:lastColumn="0" w:noHBand="0" w:noVBand="1"/>
      </w:tblPr>
      <w:tblGrid>
        <w:gridCol w:w="4822"/>
        <w:gridCol w:w="708"/>
        <w:gridCol w:w="1418"/>
        <w:gridCol w:w="1416"/>
        <w:gridCol w:w="1418"/>
      </w:tblGrid>
      <w:tr w:rsidR="00A74FE9" w:rsidRPr="00CF3619" w:rsidTr="00A74FE9">
        <w:trPr>
          <w:trHeight w:val="1245"/>
        </w:trPr>
        <w:tc>
          <w:tcPr>
            <w:tcW w:w="2464"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CF3619"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bookmarkStart w:id="0" w:name="RANGE!C3"/>
            <w:r w:rsidRPr="00CF3619">
              <w:rPr>
                <w:rFonts w:ascii="Times New Roman" w:eastAsia="Times New Roman" w:hAnsi="Times New Roman" w:cs="Times New Roman"/>
                <w:b/>
                <w:bCs/>
                <w:color w:val="000000"/>
                <w:sz w:val="20"/>
                <w:szCs w:val="20"/>
                <w:lang w:eastAsia="sk-SK"/>
              </w:rPr>
              <w:t>Vplyvy na rozpočet verejnej správy</w:t>
            </w:r>
            <w:bookmarkEnd w:id="0"/>
          </w:p>
        </w:tc>
        <w:tc>
          <w:tcPr>
            <w:tcW w:w="2536" w:type="pct"/>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CF3619"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Vplyv na rozpočet verejnej správy (v eurách)</w:t>
            </w:r>
          </w:p>
        </w:tc>
      </w:tr>
      <w:tr w:rsidR="00A74FE9" w:rsidRPr="00CF3619" w:rsidTr="00A74FE9">
        <w:trPr>
          <w:trHeight w:val="315"/>
        </w:trPr>
        <w:tc>
          <w:tcPr>
            <w:tcW w:w="2464" w:type="pct"/>
            <w:vMerge/>
            <w:tcBorders>
              <w:top w:val="single" w:sz="8" w:space="0" w:color="auto"/>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p>
        </w:tc>
        <w:tc>
          <w:tcPr>
            <w:tcW w:w="362" w:type="pct"/>
            <w:tcBorders>
              <w:top w:val="nil"/>
              <w:left w:val="nil"/>
              <w:bottom w:val="single" w:sz="8" w:space="0" w:color="auto"/>
              <w:right w:val="single" w:sz="8" w:space="0" w:color="auto"/>
            </w:tcBorders>
            <w:shd w:val="clear" w:color="000000" w:fill="BFBFBF"/>
            <w:vAlign w:val="center"/>
            <w:hideMark/>
          </w:tcPr>
          <w:p w:rsidR="00A74FE9" w:rsidRPr="00CF3619"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2023</w:t>
            </w:r>
          </w:p>
        </w:tc>
        <w:tc>
          <w:tcPr>
            <w:tcW w:w="725" w:type="pct"/>
            <w:tcBorders>
              <w:top w:val="nil"/>
              <w:left w:val="nil"/>
              <w:bottom w:val="single" w:sz="8" w:space="0" w:color="auto"/>
              <w:right w:val="single" w:sz="8" w:space="0" w:color="auto"/>
            </w:tcBorders>
            <w:shd w:val="clear" w:color="000000" w:fill="BFBFBF"/>
            <w:vAlign w:val="center"/>
            <w:hideMark/>
          </w:tcPr>
          <w:p w:rsidR="00A74FE9" w:rsidRPr="00CF3619"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2024</w:t>
            </w:r>
          </w:p>
        </w:tc>
        <w:tc>
          <w:tcPr>
            <w:tcW w:w="724" w:type="pct"/>
            <w:tcBorders>
              <w:top w:val="nil"/>
              <w:left w:val="nil"/>
              <w:bottom w:val="single" w:sz="8" w:space="0" w:color="auto"/>
              <w:right w:val="single" w:sz="8" w:space="0" w:color="auto"/>
            </w:tcBorders>
            <w:shd w:val="clear" w:color="000000" w:fill="BFBFBF"/>
            <w:vAlign w:val="center"/>
            <w:hideMark/>
          </w:tcPr>
          <w:p w:rsidR="00A74FE9" w:rsidRPr="00CF3619"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2025</w:t>
            </w:r>
          </w:p>
        </w:tc>
        <w:tc>
          <w:tcPr>
            <w:tcW w:w="725" w:type="pct"/>
            <w:tcBorders>
              <w:top w:val="nil"/>
              <w:left w:val="nil"/>
              <w:bottom w:val="single" w:sz="8" w:space="0" w:color="auto"/>
              <w:right w:val="single" w:sz="8" w:space="0" w:color="auto"/>
            </w:tcBorders>
            <w:shd w:val="clear" w:color="000000" w:fill="BFBFBF"/>
            <w:vAlign w:val="center"/>
            <w:hideMark/>
          </w:tcPr>
          <w:p w:rsidR="00A74FE9" w:rsidRPr="00CF3619"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2026</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Príjmy verejnej správy celkom</w:t>
            </w:r>
          </w:p>
        </w:tc>
        <w:tc>
          <w:tcPr>
            <w:tcW w:w="362" w:type="pct"/>
            <w:tcBorders>
              <w:top w:val="nil"/>
              <w:left w:val="nil"/>
              <w:bottom w:val="single" w:sz="8" w:space="0" w:color="auto"/>
              <w:right w:val="single" w:sz="8" w:space="0" w:color="auto"/>
            </w:tcBorders>
            <w:shd w:val="clear" w:color="000000" w:fill="C0C0C0"/>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C0C0C0"/>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1 523 702 734</w:t>
            </w:r>
          </w:p>
        </w:tc>
        <w:tc>
          <w:tcPr>
            <w:tcW w:w="724" w:type="pct"/>
            <w:tcBorders>
              <w:top w:val="nil"/>
              <w:left w:val="nil"/>
              <w:bottom w:val="single" w:sz="8" w:space="0" w:color="auto"/>
              <w:right w:val="single" w:sz="8" w:space="0" w:color="auto"/>
            </w:tcBorders>
            <w:shd w:val="clear" w:color="000000" w:fill="C0C0C0"/>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1 569 900 871</w:t>
            </w:r>
          </w:p>
        </w:tc>
        <w:tc>
          <w:tcPr>
            <w:tcW w:w="725" w:type="pct"/>
            <w:tcBorders>
              <w:top w:val="nil"/>
              <w:left w:val="nil"/>
              <w:bottom w:val="single" w:sz="8" w:space="0" w:color="auto"/>
              <w:right w:val="single" w:sz="8" w:space="0" w:color="auto"/>
            </w:tcBorders>
            <w:shd w:val="clear" w:color="000000" w:fill="C0C0C0"/>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1 692 500 048</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v tom: za každý subjekt verejnej správy zvlášť</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xml:space="preserve">z toho:  </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ŠR</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803 619 336</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659 596 368</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726 459 141</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súdnych a správnych poplatkoch)</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36 750 000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49 000 000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51 000 000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dani z príjmov)</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136 763 000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113 592 000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118 795 000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spotrebnej dani z tabakových výrobkov)</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106 254 000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151 431 000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261 222 000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dani z pridanej hodnoty)</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27 009 502</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28 200 327</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28 985 915</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spotrebnej dani z alkoholických nápojov)</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17 903 000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20 853 000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20 904 000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osobitnom odvode  v regulovaných odvetviach)</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335 600 000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281 300 000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237 900 000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(Predĺženie solidárneho príspevku z činností v odvetviach ropy na rok 2024)</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179 800 000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zdravotnom poistení - zníženie DPPO)</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-42 000 000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-44 000 000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-46 000 000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štátnych sviatkoch)</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5 539 834</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59 220 041</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53 652 226</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EÚ zdroje</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obce, z toho:</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1 648 744</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19 092 820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21 405 429</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obce (Zákon o dani z príjmov)</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8 055 600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8 027 600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obce (Zákon o súdnych a správnych poplatkoch)</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750 000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1 000 000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1 000 000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obce (Zákon o štátnych sviatkoch)</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898 744</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10 037 220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12 377 829</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vyššie územné celky, z toho:</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385 176</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7 754 066</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8 745 184</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vyššie územné celky (Zákon o dani z príjmov)</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3 452 400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3 440 400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vyššie územné celky (Zákon o štátnych sviatkoch)</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385 176</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4 301 666</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5 304 784</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ostatné subjekty verejnej správy, z toho:</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718 049 478</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883 457 617</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935 890 294</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ostatné subjekty verejnej správy (Zákon o RTVS)</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-54 834 041</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-59 871 456</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-63 747 172</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ostatné subjekty verejnej správy (Sociálna poisťovňa - Zákon o sociálnom poistení)</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364 707 273</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461 888 000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496 972 304</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ostatné subjekty verejnej správy (Soci</w:t>
            </w:r>
            <w:r>
              <w:rPr>
                <w:rFonts w:ascii="Times New Roman" w:eastAsia="Times New Roman" w:hAnsi="Times New Roman" w:cs="Times New Roman"/>
                <w:i/>
                <w:iCs/>
                <w:color w:val="000000"/>
                <w:sz w:val="20"/>
                <w:szCs w:val="20"/>
                <w:lang w:eastAsia="sk-SK"/>
              </w:rPr>
              <w:t>álna poisťovňa - Zákon o štátnych</w:t>
            </w:r>
            <w:r w:rsidRPr="00CF3619">
              <w:rPr>
                <w:rFonts w:ascii="Times New Roman" w:eastAsia="Times New Roman" w:hAnsi="Times New Roman" w:cs="Times New Roman"/>
                <w:i/>
                <w:iCs/>
                <w:color w:val="000000"/>
                <w:sz w:val="20"/>
                <w:szCs w:val="20"/>
                <w:lang w:eastAsia="sk-SK"/>
              </w:rPr>
              <w:t xml:space="preserve"> sviatk</w:t>
            </w:r>
            <w:r>
              <w:rPr>
                <w:rFonts w:ascii="Times New Roman" w:eastAsia="Times New Roman" w:hAnsi="Times New Roman" w:cs="Times New Roman"/>
                <w:i/>
                <w:iCs/>
                <w:color w:val="000000"/>
                <w:sz w:val="20"/>
                <w:szCs w:val="20"/>
                <w:lang w:eastAsia="sk-SK"/>
              </w:rPr>
              <w:t>och</w:t>
            </w:r>
            <w:r w:rsidRPr="00CF3619">
              <w:rPr>
                <w:rFonts w:ascii="Times New Roman" w:eastAsia="Times New Roman" w:hAnsi="Times New Roman" w:cs="Times New Roman"/>
                <w:i/>
                <w:iCs/>
                <w:color w:val="000000"/>
                <w:sz w:val="20"/>
                <w:szCs w:val="20"/>
                <w:lang w:eastAsia="sk-SK"/>
              </w:rPr>
              <w:t>)</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3 415 023</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37 172 453</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38 573 694</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lastRenderedPageBreak/>
              <w:t xml:space="preserve">   - vplyv na ostatné subjekty verejnej správy (VZP - Zákon o dani z príjmov)</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4 000 000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4 000 000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4 000 000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ostatné subjekty verejnej správy (VZP - Zákon o zdravotnom poistení)</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399 000 000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421 000 000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440 000 000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 vplyv na ostatné subjekty verejn</w:t>
            </w:r>
            <w:r>
              <w:rPr>
                <w:rFonts w:ascii="Times New Roman" w:eastAsia="Times New Roman" w:hAnsi="Times New Roman" w:cs="Times New Roman"/>
                <w:i/>
                <w:iCs/>
                <w:color w:val="000000"/>
                <w:sz w:val="20"/>
                <w:szCs w:val="20"/>
                <w:lang w:eastAsia="sk-SK"/>
              </w:rPr>
              <w:t>ej správy (VZP - Zákon o štátnych</w:t>
            </w:r>
            <w:r w:rsidRPr="00CF3619">
              <w:rPr>
                <w:rFonts w:ascii="Times New Roman" w:eastAsia="Times New Roman" w:hAnsi="Times New Roman" w:cs="Times New Roman"/>
                <w:i/>
                <w:iCs/>
                <w:color w:val="000000"/>
                <w:sz w:val="20"/>
                <w:szCs w:val="20"/>
                <w:lang w:eastAsia="sk-SK"/>
              </w:rPr>
              <w:t xml:space="preserve"> sviatk</w:t>
            </w:r>
            <w:r>
              <w:rPr>
                <w:rFonts w:ascii="Times New Roman" w:eastAsia="Times New Roman" w:hAnsi="Times New Roman" w:cs="Times New Roman"/>
                <w:i/>
                <w:iCs/>
                <w:color w:val="000000"/>
                <w:sz w:val="20"/>
                <w:szCs w:val="20"/>
                <w:lang w:eastAsia="sk-SK"/>
              </w:rPr>
              <w:t>och</w:t>
            </w:r>
            <w:r w:rsidRPr="00CF3619">
              <w:rPr>
                <w:rFonts w:ascii="Times New Roman" w:eastAsia="Times New Roman" w:hAnsi="Times New Roman" w:cs="Times New Roman"/>
                <w:i/>
                <w:iCs/>
                <w:color w:val="000000"/>
                <w:sz w:val="20"/>
                <w:szCs w:val="20"/>
                <w:lang w:eastAsia="sk-SK"/>
              </w:rPr>
              <w:t>)</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1 761 223</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19 268 620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20 091 468</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Výdavky verejnej správy celkom</w:t>
            </w:r>
          </w:p>
        </w:tc>
        <w:tc>
          <w:tcPr>
            <w:tcW w:w="362"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-13 564 913</w:t>
            </w:r>
          </w:p>
        </w:tc>
        <w:tc>
          <w:tcPr>
            <w:tcW w:w="724"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-20 409 365</w:t>
            </w:r>
          </w:p>
        </w:tc>
        <w:tc>
          <w:tcPr>
            <w:tcW w:w="725"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-24 847 619</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v tom: za každý subjekt verejnej správy / program zvlášť</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 </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xml:space="preserve">z toho: </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ŠR</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41 201 959</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39 128 544</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38 252 828</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súdnych a správnych poplatkoch - vplyv na MF SR)</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36 000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RTVS - vplyv na MK SR)</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-54 834 041</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-59 871 456</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-63 747 172</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Rozpočtové prostriedky (Zákon o zdravotnom poistení - vplyv na ŠR a OSVS)</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96 000 000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99 000 000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102 000 000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EÚ zdroje</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    spolufinancovanie</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obce</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00"/>
        </w:trPr>
        <w:tc>
          <w:tcPr>
            <w:tcW w:w="2464" w:type="pct"/>
            <w:tcBorders>
              <w:top w:val="nil"/>
              <w:left w:val="single" w:sz="8" w:space="0" w:color="auto"/>
              <w:bottom w:val="nil"/>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z toho vplyv nových úloh v zmysle ods. 2 Čl. 6 ústavného zákona č. 493/2011 Z. z. </w:t>
            </w:r>
          </w:p>
        </w:tc>
        <w:tc>
          <w:tcPr>
            <w:tcW w:w="3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o rozpočtovej zodpovednosti</w:t>
            </w:r>
          </w:p>
        </w:tc>
        <w:tc>
          <w:tcPr>
            <w:tcW w:w="362"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c>
          <w:tcPr>
            <w:tcW w:w="725"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c>
          <w:tcPr>
            <w:tcW w:w="724"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c>
          <w:tcPr>
            <w:tcW w:w="725"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vyššie územné celky</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00"/>
        </w:trPr>
        <w:tc>
          <w:tcPr>
            <w:tcW w:w="2464" w:type="pct"/>
            <w:tcBorders>
              <w:top w:val="nil"/>
              <w:left w:val="single" w:sz="8" w:space="0" w:color="auto"/>
              <w:bottom w:val="nil"/>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 xml:space="preserve">z toho vplyv nových úloh v zmysle ods. 2 Čl. 6 ústavného zákona č. 493/2011 Z. z. </w:t>
            </w:r>
          </w:p>
        </w:tc>
        <w:tc>
          <w:tcPr>
            <w:tcW w:w="3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CF3619">
              <w:rPr>
                <w:rFonts w:ascii="Times New Roman" w:eastAsia="Times New Roman" w:hAnsi="Times New Roman" w:cs="Times New Roman"/>
                <w:i/>
                <w:iCs/>
                <w:color w:val="000000"/>
                <w:sz w:val="20"/>
                <w:szCs w:val="20"/>
                <w:lang w:eastAsia="sk-SK"/>
              </w:rPr>
              <w:t>o rozpočtovej zodpovednosti</w:t>
            </w:r>
          </w:p>
        </w:tc>
        <w:tc>
          <w:tcPr>
            <w:tcW w:w="362"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c>
          <w:tcPr>
            <w:tcW w:w="725"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c>
          <w:tcPr>
            <w:tcW w:w="724"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c>
          <w:tcPr>
            <w:tcW w:w="725" w:type="pct"/>
            <w:vMerge/>
            <w:tcBorders>
              <w:top w:val="nil"/>
              <w:left w:val="single" w:sz="8" w:space="0" w:color="auto"/>
              <w:bottom w:val="single" w:sz="8" w:space="0" w:color="000000"/>
              <w:right w:val="single" w:sz="8" w:space="0" w:color="auto"/>
            </w:tcBorders>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ostatné subjekty verejnej správy (Sociálna poisťovňa - Zákon o sociálnom poistení)</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67 169</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333 547</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646 725</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ostatné subjekty verejnej správy (RTVS - Zákon o RTVS)</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-54 834 041</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-59 871 456</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-63 747 172</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 xml:space="preserve">Vplyv na počet zamestnancov </w:t>
            </w:r>
          </w:p>
        </w:tc>
        <w:tc>
          <w:tcPr>
            <w:tcW w:w="362"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ŠR</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obce</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vyššie územné celky</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ostatné subjekty verejnej správy</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Vplyv na mzdové výdavky</w:t>
            </w:r>
          </w:p>
        </w:tc>
        <w:tc>
          <w:tcPr>
            <w:tcW w:w="362"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ŠR</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obce</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vyššie územné celky</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CF3619">
              <w:rPr>
                <w:rFonts w:ascii="Times New Roman" w:eastAsia="Times New Roman" w:hAnsi="Times New Roman" w:cs="Times New Roman"/>
                <w:b/>
                <w:bCs/>
                <w:i/>
                <w:iCs/>
                <w:color w:val="000000"/>
                <w:sz w:val="20"/>
                <w:szCs w:val="20"/>
                <w:lang w:eastAsia="sk-SK"/>
              </w:rPr>
              <w:t>- vplyv na ostatné subjekty verejnej správy</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Financovanie zabezpečené v rozpočte</w:t>
            </w:r>
          </w:p>
        </w:tc>
        <w:tc>
          <w:tcPr>
            <w:tcW w:w="362"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36 000</w:t>
            </w:r>
          </w:p>
        </w:tc>
        <w:tc>
          <w:tcPr>
            <w:tcW w:w="724"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C0C0C0"/>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v tom: MF SR</w:t>
            </w:r>
          </w:p>
        </w:tc>
        <w:tc>
          <w:tcPr>
            <w:tcW w:w="362"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36 000</w:t>
            </w:r>
          </w:p>
        </w:tc>
        <w:tc>
          <w:tcPr>
            <w:tcW w:w="724"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c>
          <w:tcPr>
            <w:tcW w:w="725" w:type="pct"/>
            <w:tcBorders>
              <w:top w:val="nil"/>
              <w:left w:val="nil"/>
              <w:bottom w:val="single" w:sz="8" w:space="0" w:color="auto"/>
              <w:right w:val="single" w:sz="8" w:space="0" w:color="auto"/>
            </w:tcBorders>
            <w:shd w:val="clear" w:color="auto" w:fill="auto"/>
            <w:noWrap/>
            <w:vAlign w:val="center"/>
            <w:hideMark/>
          </w:tcPr>
          <w:p w:rsidR="00A74FE9" w:rsidRPr="00CF3619"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CF3619">
              <w:rPr>
                <w:rFonts w:ascii="Times New Roman" w:eastAsia="Times New Roman" w:hAnsi="Times New Roman" w:cs="Times New Roman"/>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Iné ako rozpočtové zdroje</w:t>
            </w:r>
          </w:p>
        </w:tc>
        <w:tc>
          <w:tcPr>
            <w:tcW w:w="362"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BFBFBF"/>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r>
      <w:tr w:rsidR="00A74FE9" w:rsidRPr="00CF3619" w:rsidTr="00A74FE9">
        <w:trPr>
          <w:trHeight w:val="315"/>
        </w:trPr>
        <w:tc>
          <w:tcPr>
            <w:tcW w:w="2464" w:type="pct"/>
            <w:tcBorders>
              <w:top w:val="nil"/>
              <w:left w:val="single" w:sz="8" w:space="0" w:color="auto"/>
              <w:bottom w:val="single" w:sz="8" w:space="0" w:color="auto"/>
              <w:right w:val="single" w:sz="8" w:space="0" w:color="auto"/>
            </w:tcBorders>
            <w:shd w:val="clear" w:color="000000" w:fill="A6A6A6"/>
            <w:noWrap/>
            <w:vAlign w:val="center"/>
            <w:hideMark/>
          </w:tcPr>
          <w:p w:rsidR="00A74FE9" w:rsidRPr="00CF3619" w:rsidRDefault="00A74FE9" w:rsidP="00A74FE9">
            <w:pPr>
              <w:spacing w:after="0" w:line="240" w:lineRule="auto"/>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Rozpočtovo nekrytý vplyv / úspora - Celkový vplyv na rozpočet (+negatívum/-pozitívum)</w:t>
            </w:r>
          </w:p>
        </w:tc>
        <w:tc>
          <w:tcPr>
            <w:tcW w:w="362" w:type="pct"/>
            <w:tcBorders>
              <w:top w:val="nil"/>
              <w:left w:val="nil"/>
              <w:bottom w:val="single" w:sz="8" w:space="0" w:color="auto"/>
              <w:right w:val="single" w:sz="8" w:space="0" w:color="auto"/>
            </w:tcBorders>
            <w:shd w:val="clear" w:color="000000" w:fill="A6A6A6"/>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0</w:t>
            </w:r>
          </w:p>
        </w:tc>
        <w:tc>
          <w:tcPr>
            <w:tcW w:w="725" w:type="pct"/>
            <w:tcBorders>
              <w:top w:val="nil"/>
              <w:left w:val="nil"/>
              <w:bottom w:val="single" w:sz="8" w:space="0" w:color="auto"/>
              <w:right w:val="single" w:sz="8" w:space="0" w:color="auto"/>
            </w:tcBorders>
            <w:shd w:val="clear" w:color="000000" w:fill="A6A6A6"/>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-1 537 303 647</w:t>
            </w:r>
          </w:p>
        </w:tc>
        <w:tc>
          <w:tcPr>
            <w:tcW w:w="724" w:type="pct"/>
            <w:tcBorders>
              <w:top w:val="nil"/>
              <w:left w:val="nil"/>
              <w:bottom w:val="single" w:sz="8" w:space="0" w:color="auto"/>
              <w:right w:val="single" w:sz="8" w:space="0" w:color="auto"/>
            </w:tcBorders>
            <w:shd w:val="clear" w:color="000000" w:fill="A6A6A6"/>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-1 590 310 236</w:t>
            </w:r>
          </w:p>
        </w:tc>
        <w:tc>
          <w:tcPr>
            <w:tcW w:w="725" w:type="pct"/>
            <w:tcBorders>
              <w:top w:val="nil"/>
              <w:left w:val="nil"/>
              <w:bottom w:val="single" w:sz="8" w:space="0" w:color="auto"/>
              <w:right w:val="single" w:sz="8" w:space="0" w:color="auto"/>
            </w:tcBorders>
            <w:shd w:val="clear" w:color="000000" w:fill="A6A6A6"/>
            <w:noWrap/>
            <w:vAlign w:val="center"/>
            <w:hideMark/>
          </w:tcPr>
          <w:p w:rsidR="00A74FE9" w:rsidRPr="00CF3619"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CF3619">
              <w:rPr>
                <w:rFonts w:ascii="Times New Roman" w:eastAsia="Times New Roman" w:hAnsi="Times New Roman" w:cs="Times New Roman"/>
                <w:b/>
                <w:bCs/>
                <w:color w:val="000000"/>
                <w:sz w:val="20"/>
                <w:szCs w:val="20"/>
                <w:lang w:eastAsia="sk-SK"/>
              </w:rPr>
              <w:t>-1 717 347 667</w:t>
            </w:r>
          </w:p>
        </w:tc>
      </w:tr>
    </w:tbl>
    <w:p w:rsidR="00A74FE9" w:rsidRDefault="00A74FE9" w:rsidP="00A74FE9">
      <w:pPr>
        <w:spacing w:after="0"/>
        <w:jc w:val="both"/>
        <w:rPr>
          <w:rFonts w:ascii="Times New Roman" w:eastAsia="Times New Roman" w:hAnsi="Times New Roman" w:cs="Times New Roman"/>
          <w:b/>
          <w:bCs/>
          <w:szCs w:val="20"/>
          <w:highlight w:val="yellow"/>
          <w:lang w:eastAsia="sk-SK"/>
        </w:rPr>
      </w:pPr>
    </w:p>
    <w:p w:rsidR="00A74FE9" w:rsidRPr="00C8307B" w:rsidRDefault="00A74FE9" w:rsidP="00A74FE9">
      <w:pPr>
        <w:spacing w:after="0"/>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Pozn.: </w:t>
      </w:r>
      <w:r w:rsidRPr="00C8307B">
        <w:rPr>
          <w:rFonts w:ascii="Times New Roman" w:eastAsia="Times New Roman" w:hAnsi="Times New Roman" w:cs="Times New Roman"/>
          <w:b/>
          <w:bCs/>
          <w:sz w:val="20"/>
          <w:szCs w:val="20"/>
          <w:lang w:eastAsia="sk-SK"/>
        </w:rPr>
        <w:t xml:space="preserve">Detailné analýzy vplyvov na rozpočet verejnej správy sú priložené v samostatných súboroch za </w:t>
      </w:r>
      <w:r>
        <w:rPr>
          <w:rFonts w:ascii="Times New Roman" w:eastAsia="Times New Roman" w:hAnsi="Times New Roman" w:cs="Times New Roman"/>
          <w:b/>
          <w:bCs/>
          <w:sz w:val="20"/>
          <w:szCs w:val="20"/>
          <w:lang w:eastAsia="sk-SK"/>
        </w:rPr>
        <w:t>novelizačné</w:t>
      </w:r>
      <w:r w:rsidRPr="00C8307B">
        <w:rPr>
          <w:rFonts w:ascii="Times New Roman" w:eastAsia="Times New Roman" w:hAnsi="Times New Roman" w:cs="Times New Roman"/>
          <w:b/>
          <w:bCs/>
          <w:sz w:val="20"/>
          <w:szCs w:val="20"/>
          <w:lang w:eastAsia="sk-SK"/>
        </w:rPr>
        <w:t xml:space="preserve"> článk</w:t>
      </w:r>
      <w:r>
        <w:rPr>
          <w:rFonts w:ascii="Times New Roman" w:eastAsia="Times New Roman" w:hAnsi="Times New Roman" w:cs="Times New Roman"/>
          <w:b/>
          <w:bCs/>
          <w:sz w:val="20"/>
          <w:szCs w:val="20"/>
          <w:lang w:eastAsia="sk-SK"/>
        </w:rPr>
        <w:t>y</w:t>
      </w:r>
      <w:r w:rsidRPr="00C8307B">
        <w:rPr>
          <w:rFonts w:ascii="Times New Roman" w:eastAsia="Times New Roman" w:hAnsi="Times New Roman" w:cs="Times New Roman"/>
          <w:b/>
          <w:bCs/>
          <w:sz w:val="20"/>
          <w:szCs w:val="20"/>
          <w:lang w:eastAsia="sk-SK"/>
        </w:rPr>
        <w:t xml:space="preserve"> Návrhu zákona, ktorým sa menia a dopĺňajú niektoré zákony v súvislosti so zlepšením stavu verejných financií.</w:t>
      </w:r>
    </w:p>
    <w:p w:rsidR="00A74FE9" w:rsidRDefault="00A74FE9" w:rsidP="00A74FE9">
      <w:pPr>
        <w:spacing w:after="0"/>
        <w:rPr>
          <w:rFonts w:ascii="Times New Roman" w:eastAsia="Times New Roman" w:hAnsi="Times New Roman" w:cs="Times New Roman"/>
          <w:bCs/>
          <w:sz w:val="18"/>
          <w:szCs w:val="20"/>
          <w:lang w:eastAsia="sk-SK"/>
        </w:rPr>
      </w:pPr>
      <w:r w:rsidRPr="00C8307B">
        <w:rPr>
          <w:rFonts w:ascii="Times New Roman" w:eastAsia="Times New Roman" w:hAnsi="Times New Roman" w:cs="Times New Roman"/>
          <w:bCs/>
          <w:sz w:val="18"/>
          <w:szCs w:val="20"/>
          <w:lang w:eastAsia="sk-SK"/>
        </w:rPr>
        <w:lastRenderedPageBreak/>
        <w:t xml:space="preserve">        </w:t>
      </w:r>
    </w:p>
    <w:p w:rsidR="00A74FE9" w:rsidRPr="00FC76FE" w:rsidRDefault="00A74FE9" w:rsidP="00A74FE9">
      <w:pPr>
        <w:spacing w:after="0" w:line="240" w:lineRule="auto"/>
        <w:jc w:val="center"/>
        <w:rPr>
          <w:rFonts w:ascii="Times New Roman" w:eastAsia="Times New Roman" w:hAnsi="Times New Roman" w:cs="Times New Roman"/>
          <w:b/>
          <w:bCs/>
          <w:sz w:val="28"/>
          <w:szCs w:val="28"/>
          <w:lang w:eastAsia="sk-SK"/>
        </w:rPr>
      </w:pPr>
      <w:r w:rsidRPr="00FC76FE">
        <w:rPr>
          <w:rFonts w:ascii="Times New Roman" w:eastAsia="Times New Roman" w:hAnsi="Times New Roman" w:cs="Times New Roman"/>
          <w:b/>
          <w:bCs/>
          <w:sz w:val="28"/>
          <w:szCs w:val="28"/>
          <w:lang w:eastAsia="sk-SK"/>
        </w:rPr>
        <w:t>Analýza vplyvov na rozpočet verejnej správy,</w:t>
      </w:r>
    </w:p>
    <w:p w:rsidR="00A74FE9" w:rsidRPr="00FC76FE" w:rsidRDefault="00A74FE9" w:rsidP="00A74FE9">
      <w:pPr>
        <w:spacing w:after="0" w:line="240" w:lineRule="auto"/>
        <w:jc w:val="center"/>
        <w:rPr>
          <w:rFonts w:ascii="Times New Roman" w:eastAsia="Times New Roman" w:hAnsi="Times New Roman" w:cs="Times New Roman"/>
          <w:b/>
          <w:bCs/>
          <w:sz w:val="28"/>
          <w:szCs w:val="28"/>
          <w:lang w:eastAsia="sk-SK"/>
        </w:rPr>
      </w:pPr>
      <w:r w:rsidRPr="00FC76FE">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(Zákon o súdnych a správnych poplatkoch)</w:t>
      </w: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2.1 Zhrnutie vplyvov na rozpočet verejnej správy v návrhu</w:t>
      </w:r>
    </w:p>
    <w:p w:rsidR="00A74FE9" w:rsidRPr="00FC76FE" w:rsidRDefault="00A74FE9" w:rsidP="00A74FE9">
      <w:pPr>
        <w:spacing w:after="0" w:line="240" w:lineRule="auto"/>
        <w:jc w:val="right"/>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A74FE9" w:rsidRPr="00FC76FE" w:rsidTr="00A74FE9">
        <w:trPr>
          <w:cantSplit/>
          <w:trHeight w:val="194"/>
          <w:jc w:val="center"/>
        </w:trPr>
        <w:tc>
          <w:tcPr>
            <w:tcW w:w="4661" w:type="dxa"/>
            <w:vMerge w:val="restart"/>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bookmarkStart w:id="1" w:name="OLE_LINK1"/>
            <w:r w:rsidRPr="00FC76FE">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 na rozpočet verejnej správy (v eurách)</w:t>
            </w:r>
          </w:p>
        </w:tc>
      </w:tr>
      <w:tr w:rsidR="00A74FE9" w:rsidRPr="00FC76FE" w:rsidTr="00A74FE9">
        <w:trPr>
          <w:cantSplit/>
          <w:trHeight w:val="70"/>
          <w:jc w:val="center"/>
        </w:trPr>
        <w:tc>
          <w:tcPr>
            <w:tcW w:w="4661" w:type="dxa"/>
            <w:vMerge/>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2026</w:t>
            </w:r>
          </w:p>
        </w:tc>
      </w:tr>
      <w:tr w:rsidR="00A74FE9" w:rsidRPr="00FC76FE" w:rsidTr="00A74FE9">
        <w:trPr>
          <w:trHeight w:val="70"/>
          <w:jc w:val="center"/>
        </w:trPr>
        <w:tc>
          <w:tcPr>
            <w:tcW w:w="4661" w:type="dxa"/>
            <w:shd w:val="clear" w:color="auto" w:fill="C0C0C0"/>
            <w:noWrap/>
            <w:vAlign w:val="center"/>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37 500 000</w:t>
            </w:r>
          </w:p>
        </w:tc>
        <w:tc>
          <w:tcPr>
            <w:tcW w:w="1267" w:type="dxa"/>
            <w:shd w:val="clear" w:color="auto" w:fill="C0C0C0"/>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50 000 000</w:t>
            </w:r>
          </w:p>
        </w:tc>
        <w:tc>
          <w:tcPr>
            <w:tcW w:w="1267" w:type="dxa"/>
            <w:shd w:val="clear" w:color="auto" w:fill="C0C0C0"/>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52 000 000</w:t>
            </w:r>
          </w:p>
        </w:tc>
      </w:tr>
      <w:tr w:rsidR="00A74FE9" w:rsidRPr="00FC76FE" w:rsidTr="00A74FE9">
        <w:trPr>
          <w:trHeight w:val="132"/>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ŠR</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36 750 000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49 000 000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51 000 000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Cs/>
                <w:i/>
                <w:iCs/>
                <w:sz w:val="24"/>
                <w:szCs w:val="24"/>
                <w:lang w:eastAsia="sk-SK"/>
              </w:rPr>
              <w:t>Rozpočtové prostriedky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Cs/>
                <w:i/>
                <w:iCs/>
                <w:sz w:val="24"/>
                <w:szCs w:val="24"/>
                <w:lang w:eastAsia="sk-SK"/>
              </w:rPr>
            </w:pPr>
            <w:r w:rsidRPr="00FC76FE">
              <w:rPr>
                <w:rFonts w:ascii="Times New Roman" w:eastAsia="Times New Roman" w:hAnsi="Times New Roman" w:cs="Times New Roman"/>
                <w:bCs/>
                <w:i/>
                <w:iCs/>
                <w:sz w:val="24"/>
                <w:szCs w:val="24"/>
                <w:lang w:eastAsia="sk-SK"/>
              </w:rPr>
              <w:t>EÚ zdroje</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obce</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750 000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1 000 000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1 000 000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125"/>
          <w:jc w:val="center"/>
        </w:trPr>
        <w:tc>
          <w:tcPr>
            <w:tcW w:w="4661" w:type="dxa"/>
            <w:shd w:val="clear" w:color="auto" w:fill="C0C0C0"/>
            <w:noWrap/>
            <w:vAlign w:val="center"/>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36 000</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xml:space="preserve">0   </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 tom: MF SR</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36 000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ŠR</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36 000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Cs/>
                <w:i/>
                <w:iCs/>
                <w:sz w:val="24"/>
                <w:szCs w:val="24"/>
                <w:lang w:eastAsia="sk-SK"/>
              </w:rPr>
              <w:t>Rozpočtové prostriedky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36 000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Cs/>
                <w:i/>
                <w:iCs/>
                <w:sz w:val="24"/>
                <w:szCs w:val="24"/>
                <w:lang w:eastAsia="sk-SK"/>
              </w:rPr>
            </w:pPr>
            <w:r w:rsidRPr="00FC76FE">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Cs/>
                <w:i/>
                <w:iCs/>
                <w:sz w:val="24"/>
                <w:szCs w:val="24"/>
                <w:lang w:eastAsia="sk-SK"/>
              </w:rPr>
            </w:pPr>
            <w:r w:rsidRPr="00FC76FE">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obce</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Cs/>
                <w:i/>
                <w:iCs/>
                <w:sz w:val="24"/>
                <w:szCs w:val="24"/>
                <w:lang w:eastAsia="sk-SK"/>
              </w:rPr>
            </w:pPr>
            <w:r w:rsidRPr="00FC76FE">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125"/>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Cs/>
                <w:i/>
                <w:iCs/>
                <w:sz w:val="24"/>
                <w:szCs w:val="24"/>
                <w:lang w:eastAsia="sk-SK"/>
              </w:rPr>
            </w:pPr>
            <w:r w:rsidRPr="00FC76FE">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shd w:val="clear" w:color="auto" w:fill="BFBFBF" w:themeFill="background1" w:themeFillShade="BF"/>
            <w:noWrap/>
            <w:vAlign w:val="center"/>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ŠR</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obce</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shd w:val="clear" w:color="auto" w:fill="BFBFBF" w:themeFill="background1" w:themeFillShade="BF"/>
            <w:noWrap/>
            <w:vAlign w:val="center"/>
          </w:tcPr>
          <w:p w:rsidR="00A74FE9" w:rsidRPr="00FC76FE" w:rsidRDefault="00A74FE9" w:rsidP="00A74FE9">
            <w:pPr>
              <w:spacing w:after="0" w:line="240" w:lineRule="auto"/>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ŠR</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obce</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i/>
                <w:iCs/>
                <w:sz w:val="24"/>
                <w:szCs w:val="24"/>
                <w:lang w:eastAsia="sk-SK"/>
              </w:rPr>
            </w:pPr>
            <w:r w:rsidRPr="00FC76FE">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b/>
                <w:bCs/>
                <w:iCs/>
                <w:sz w:val="24"/>
                <w:szCs w:val="24"/>
                <w:lang w:eastAsia="sk-SK"/>
              </w:rPr>
            </w:pPr>
            <w:r w:rsidRPr="00FC76FE">
              <w:rPr>
                <w:rFonts w:ascii="Times New Roman" w:eastAsia="Times New Roman" w:hAnsi="Times New Roman" w:cs="Times New Roman"/>
                <w:b/>
                <w:bCs/>
                <w:iCs/>
                <w:sz w:val="24"/>
                <w:szCs w:val="24"/>
                <w:lang w:eastAsia="sk-SK"/>
              </w:rPr>
              <w:t>0</w:t>
            </w:r>
          </w:p>
        </w:tc>
      </w:tr>
      <w:tr w:rsidR="00A74FE9" w:rsidRPr="00FC76FE" w:rsidTr="00A74FE9">
        <w:trPr>
          <w:trHeight w:val="70"/>
          <w:jc w:val="center"/>
        </w:trPr>
        <w:tc>
          <w:tcPr>
            <w:tcW w:w="4661" w:type="dxa"/>
            <w:shd w:val="clear" w:color="auto" w:fill="C0C0C0"/>
            <w:noWrap/>
            <w:vAlign w:val="center"/>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36 000</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r>
      <w:tr w:rsidR="00A74FE9" w:rsidRPr="00FC76FE" w:rsidTr="00A74FE9">
        <w:trPr>
          <w:trHeight w:val="70"/>
          <w:jc w:val="center"/>
        </w:trPr>
        <w:tc>
          <w:tcPr>
            <w:tcW w:w="4661" w:type="dxa"/>
            <w:noWrap/>
            <w:vAlign w:val="center"/>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 tom: MF SR</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36 000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c>
          <w:tcPr>
            <w:tcW w:w="1267" w:type="dxa"/>
            <w:noWrap/>
            <w:vAlign w:val="center"/>
          </w:tcPr>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0</w:t>
            </w:r>
          </w:p>
        </w:tc>
      </w:tr>
      <w:tr w:rsidR="00A74FE9" w:rsidRPr="00FC76FE" w:rsidTr="00A74FE9">
        <w:trPr>
          <w:trHeight w:val="70"/>
          <w:jc w:val="center"/>
        </w:trPr>
        <w:tc>
          <w:tcPr>
            <w:tcW w:w="4661" w:type="dxa"/>
            <w:shd w:val="clear" w:color="auto" w:fill="BFBFBF" w:themeFill="background1" w:themeFillShade="BF"/>
            <w:noWrap/>
            <w:vAlign w:val="center"/>
          </w:tcPr>
          <w:p w:rsidR="00A74FE9" w:rsidRPr="00FC76FE" w:rsidRDefault="00A74FE9" w:rsidP="00A74FE9">
            <w:pPr>
              <w:spacing w:after="0" w:line="240" w:lineRule="auto"/>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r>
      <w:tr w:rsidR="00A74FE9" w:rsidRPr="00FC76FE" w:rsidTr="00A74FE9">
        <w:trPr>
          <w:trHeight w:val="70"/>
          <w:jc w:val="center"/>
        </w:trPr>
        <w:tc>
          <w:tcPr>
            <w:tcW w:w="4661" w:type="dxa"/>
            <w:shd w:val="clear" w:color="auto" w:fill="A6A6A6" w:themeFill="background1" w:themeFillShade="A6"/>
            <w:noWrap/>
            <w:vAlign w:val="center"/>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A74FE9" w:rsidRPr="00FC76FE" w:rsidRDefault="00A74FE9" w:rsidP="00A74FE9">
            <w:pPr>
              <w:spacing w:after="0" w:line="240" w:lineRule="auto"/>
              <w:jc w:val="right"/>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r>
      <w:bookmarkEnd w:id="1"/>
    </w:tbl>
    <w:p w:rsidR="00A74FE9" w:rsidRPr="00FC76FE" w:rsidRDefault="00A74FE9" w:rsidP="00A74FE9">
      <w:pPr>
        <w:spacing w:after="0"/>
        <w:rPr>
          <w:rFonts w:ascii="Times New Roman" w:eastAsia="Times New Roman" w:hAnsi="Times New Roman" w:cs="Times New Roman"/>
          <w:bCs/>
          <w:sz w:val="20"/>
          <w:szCs w:val="20"/>
          <w:lang w:eastAsia="sk-SK"/>
        </w:rPr>
      </w:pPr>
    </w:p>
    <w:p w:rsidR="00A74FE9" w:rsidRPr="00FC76FE" w:rsidRDefault="00A74FE9" w:rsidP="00A74FE9">
      <w:pPr>
        <w:spacing w:after="0"/>
        <w:rPr>
          <w:rFonts w:ascii="Times New Roman" w:eastAsia="Times New Roman" w:hAnsi="Times New Roman" w:cs="Times New Roman"/>
          <w:bCs/>
          <w:sz w:val="20"/>
          <w:szCs w:val="20"/>
          <w:lang w:eastAsia="sk-SK"/>
        </w:rPr>
      </w:pPr>
    </w:p>
    <w:p w:rsidR="00A74FE9" w:rsidRPr="00FC76FE" w:rsidRDefault="00A74FE9" w:rsidP="00A74FE9">
      <w:pPr>
        <w:spacing w:after="0"/>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74FE9" w:rsidRPr="00FC76FE" w:rsidTr="00A74FE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FC76FE" w:rsidRDefault="00A74FE9" w:rsidP="00A74FE9">
            <w:pPr>
              <w:spacing w:after="0" w:line="240" w:lineRule="auto"/>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2023</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2025</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2026</w:t>
            </w:r>
          </w:p>
        </w:tc>
      </w:tr>
      <w:tr w:rsidR="00A74FE9" w:rsidRPr="00FC76FE"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FC76FE"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FC76FE">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r>
      <w:tr w:rsidR="00A74FE9" w:rsidRPr="00FC76FE"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0</w:t>
            </w:r>
          </w:p>
        </w:tc>
      </w:tr>
      <w:tr w:rsidR="00A74FE9" w:rsidRPr="00FC76FE"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FC76FE" w:rsidRDefault="00A74FE9" w:rsidP="00A74FE9">
            <w:pPr>
              <w:spacing w:after="0" w:line="240" w:lineRule="auto"/>
              <w:rPr>
                <w:rFonts w:ascii="Times New Roman" w:eastAsia="Times New Roman" w:hAnsi="Times New Roman" w:cs="Times New Roman"/>
                <w:b/>
                <w:color w:val="000000" w:themeColor="text1"/>
                <w:sz w:val="24"/>
                <w:szCs w:val="24"/>
                <w:lang w:eastAsia="sk-SK"/>
              </w:rPr>
            </w:pPr>
            <w:r w:rsidRPr="00FC76FE">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rPr>
                <w:rFonts w:ascii="Times New Roman" w:eastAsia="Times New Roman" w:hAnsi="Times New Roman" w:cs="Times New Roman"/>
                <w:color w:val="000000"/>
                <w:sz w:val="24"/>
                <w:szCs w:val="24"/>
                <w:lang w:eastAsia="sk-SK"/>
              </w:rPr>
            </w:pPr>
            <w:r w:rsidRPr="00FC76FE">
              <w:rPr>
                <w:rFonts w:ascii="Times New Roman" w:eastAsia="Times New Roman" w:hAnsi="Times New Roman" w:cs="Times New Roman"/>
                <w:color w:val="000000"/>
                <w:sz w:val="24"/>
                <w:szCs w:val="24"/>
                <w:lang w:eastAsia="sk-SK"/>
              </w:rPr>
              <w:t> </w:t>
            </w:r>
          </w:p>
        </w:tc>
      </w:tr>
      <w:tr w:rsidR="00A74FE9" w:rsidRPr="00FC76FE"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FC76FE"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FC76FE">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r>
      <w:tr w:rsidR="00A74FE9" w:rsidRPr="00FC76FE"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FC76FE"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FC76FE">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FC76FE">
              <w:rPr>
                <w:rFonts w:ascii="Times New Roman" w:eastAsia="Times New Roman" w:hAnsi="Times New Roman" w:cs="Times New Roman"/>
                <w:b/>
                <w:color w:val="000000"/>
                <w:sz w:val="24"/>
                <w:szCs w:val="24"/>
                <w:lang w:eastAsia="sk-SK"/>
              </w:rPr>
              <w:t>0</w:t>
            </w:r>
          </w:p>
        </w:tc>
      </w:tr>
      <w:tr w:rsidR="00A74FE9" w:rsidRPr="00FC76FE" w:rsidTr="00A74FE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FC76FE">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74FE9" w:rsidRPr="00FC76FE"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r>
    </w:tbl>
    <w:p w:rsidR="00A74FE9" w:rsidRPr="00FC76FE" w:rsidRDefault="00A74FE9" w:rsidP="00A74FE9">
      <w:pPr>
        <w:rPr>
          <w:rFonts w:ascii="Times New Roman" w:eastAsia="Times New Roman" w:hAnsi="Times New Roman" w:cs="Times New Roman"/>
          <w:b/>
          <w:bCs/>
          <w:sz w:val="24"/>
          <w:szCs w:val="24"/>
          <w:lang w:eastAsia="sk-SK"/>
        </w:rPr>
      </w:pPr>
    </w:p>
    <w:p w:rsidR="00A74FE9" w:rsidRPr="00FC76FE" w:rsidRDefault="00A74FE9" w:rsidP="00A74FE9">
      <w:pP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74FE9" w:rsidRPr="00FC76FE"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Pr="00FC76FE" w:rsidRDefault="00A74FE9" w:rsidP="00A74FE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 xml:space="preserve">Návrh predpokladá pozitívny vplyv na rozpočet verejnej správy v dôsledku zvýšenia sadzieb správnych poplatkov a súdnych poplatkov. Časť poplatkov, ktorým sa mení sadzba, je preneseným výkonom štátnej správy na úseku matričných činností, preto sa indikuje zvýšenie príjmov územnej samosprávy (obce) o 1 mil. eur ročne. Ide o expertný odhad, nakoľko údaje o vybraných správnych poplatkoch za konkrétne úseky činností sa na centrálnej úrovni nezbierajú. </w:t>
      </w:r>
    </w:p>
    <w:p w:rsidR="00A74FE9" w:rsidRPr="00FC76FE" w:rsidRDefault="00A74FE9" w:rsidP="00A74FE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rsidR="00A74FE9" w:rsidRPr="00FC76FE" w:rsidRDefault="00A74FE9" w:rsidP="00A74FE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Na strane výdavkov sa odhadovaná suma 36 000 eur použije na úpravu softvéru služby eKolok (nasadenie scriptu do IS PEP a nových šablón na platobné zariadenia). Táto suma je alokovaná v rozpočte MF SR na službu eKolok v roku 2024 a výdavok je rozpočtovo krytý.</w:t>
      </w: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2.2. Popis a charakteristika návrhu</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Úprava súdnych a správnych poplatkov.</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2.2.1. Popis návrhu:</w:t>
      </w:r>
    </w:p>
    <w:p w:rsidR="00A74FE9" w:rsidRPr="00FC76FE"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Valorizácia sadzieb vybraných poplatkov, z ktorých väčšina sa naposledy menila skôr ako pred zavedením eura na Slovensku (rok 2009). Primárne ide o úpravu sadzieb poplatkov v nadväznosti na infláciu (jej zohľadnenie od roku 2009 predstavuje nárast spotrebiteľských cien o približne 54%), nakoľko náklady štátu na agendu správnych orgánov, súdov, orgánov súdov a prokuratúry priebežne rastú (mzdy, réžia, IT systémy). Predmetná valorizácia bude implementovaná prevádzkovateľom systému eKolok – Slovenskou poštou a. s. na základe úpravy číselníka služieb. Okruh a spôsob poskytovania služieb zostane zachovaný.</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lastRenderedPageBreak/>
        <w:t>2.2.2. Charakteristika návrhu:</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sz w:val="24"/>
          <w:szCs w:val="24"/>
          <w:bdr w:val="single" w:sz="4" w:space="0" w:color="auto"/>
          <w:lang w:eastAsia="sk-SK"/>
        </w:rPr>
        <w:t xml:space="preserve"> X </w:t>
      </w:r>
      <w:r w:rsidRPr="00FC76FE">
        <w:rPr>
          <w:rFonts w:ascii="Times New Roman" w:eastAsia="Times New Roman" w:hAnsi="Times New Roman" w:cs="Times New Roman"/>
          <w:b/>
          <w:sz w:val="24"/>
          <w:szCs w:val="24"/>
          <w:lang w:eastAsia="sk-SK"/>
        </w:rPr>
        <w:t xml:space="preserve">  </w:t>
      </w:r>
      <w:r w:rsidRPr="00FC76FE">
        <w:rPr>
          <w:rFonts w:ascii="Times New Roman" w:eastAsia="Times New Roman" w:hAnsi="Times New Roman" w:cs="Times New Roman"/>
          <w:sz w:val="24"/>
          <w:szCs w:val="24"/>
          <w:lang w:eastAsia="sk-SK"/>
        </w:rPr>
        <w:t>zmena sadzby</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zmena v nároku</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nová služba alebo nariadenie (alebo ich zrušenie)</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kombinovaný návrh</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iné </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2.2.3. Predpoklady vývoja objemu aktivít:</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 roku 2022 bolo  na správnych a súdnych poplatkoch vybratých 205 mil. eur.  Návrh sa zameriava na valorizáciu  správnych a súdnych poplatkov v sume 116 mil. eur (z toho 22,5 mil. eur súdne poplatky). Valorizácia naviazaná na infláciu od roku 2009 sa týka najmä týchto poplatkov:</w:t>
      </w:r>
    </w:p>
    <w:p w:rsidR="00A74FE9" w:rsidRPr="00FC76FE" w:rsidRDefault="00A74FE9" w:rsidP="00A74FE9">
      <w:pPr>
        <w:spacing w:after="0" w:line="240" w:lineRule="auto"/>
        <w:jc w:val="right"/>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right"/>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4"/>
          <w:szCs w:val="24"/>
          <w:lang w:eastAsia="sk-SK"/>
        </w:rPr>
        <w:t xml:space="preserve"> </w:t>
      </w:r>
      <w:r w:rsidRPr="00FC76FE">
        <w:rPr>
          <w:rFonts w:ascii="Times New Roman" w:eastAsia="Times New Roman" w:hAnsi="Times New Roman" w:cs="Times New Roman"/>
          <w:sz w:val="20"/>
          <w:szCs w:val="20"/>
          <w:lang w:eastAsia="sk-SK"/>
        </w:rPr>
        <w:t xml:space="preserve">Tabuľka č. 2 </w:t>
      </w:r>
    </w:p>
    <w:tbl>
      <w:tblPr>
        <w:tblW w:w="635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73"/>
        <w:gridCol w:w="1266"/>
        <w:gridCol w:w="1206"/>
        <w:gridCol w:w="1206"/>
      </w:tblGrid>
      <w:tr w:rsidR="00A74FE9" w:rsidRPr="00FC76FE" w:rsidTr="00A74FE9">
        <w:trPr>
          <w:trHeight w:val="549"/>
        </w:trPr>
        <w:tc>
          <w:tcPr>
            <w:tcW w:w="2673" w:type="dxa"/>
            <w:tcBorders>
              <w:top w:val="nil"/>
              <w:left w:val="nil"/>
              <w:bottom w:val="single" w:sz="6" w:space="0" w:color="auto"/>
              <w:right w:val="nil"/>
            </w:tcBorders>
            <w:shd w:val="clear" w:color="auto" w:fill="auto"/>
            <w:vAlign w:val="center"/>
            <w:hideMark/>
          </w:tcPr>
          <w:p w:rsidR="00A74FE9" w:rsidRPr="00FC76FE" w:rsidRDefault="00A74FE9" w:rsidP="00A74FE9">
            <w:pPr>
              <w:spacing w:after="0" w:line="240" w:lineRule="auto"/>
              <w:jc w:val="center"/>
              <w:textAlignment w:val="baseline"/>
              <w:rPr>
                <w:rFonts w:ascii="Times New Roman" w:eastAsia="Times New Roman" w:hAnsi="Times New Roman"/>
                <w:sz w:val="20"/>
                <w:szCs w:val="20"/>
                <w:lang w:eastAsia="sk-SK"/>
              </w:rPr>
            </w:pPr>
            <w:r w:rsidRPr="00FC76FE">
              <w:rPr>
                <w:rFonts w:ascii="Arial Narrow" w:eastAsia="Times New Roman" w:hAnsi="Arial Narrow"/>
                <w:b/>
                <w:bCs/>
                <w:sz w:val="20"/>
                <w:szCs w:val="20"/>
                <w:lang w:eastAsia="sk-SK"/>
              </w:rPr>
              <w:t>Kategória SP</w:t>
            </w:r>
            <w:r w:rsidRPr="00FC76FE">
              <w:rPr>
                <w:rFonts w:ascii="Arial Narrow" w:eastAsia="Times New Roman" w:hAnsi="Arial Narrow"/>
                <w:sz w:val="20"/>
                <w:szCs w:val="20"/>
                <w:lang w:eastAsia="sk-SK"/>
              </w:rPr>
              <w:t> </w:t>
            </w:r>
          </w:p>
        </w:tc>
        <w:tc>
          <w:tcPr>
            <w:tcW w:w="1266" w:type="dxa"/>
            <w:tcBorders>
              <w:top w:val="nil"/>
              <w:left w:val="nil"/>
              <w:bottom w:val="single" w:sz="6" w:space="0" w:color="auto"/>
              <w:right w:val="nil"/>
            </w:tcBorders>
            <w:shd w:val="clear" w:color="auto" w:fill="auto"/>
            <w:vAlign w:val="center"/>
            <w:hideMark/>
          </w:tcPr>
          <w:p w:rsidR="00A74FE9" w:rsidRPr="00FC76FE" w:rsidRDefault="00A74FE9" w:rsidP="00A74FE9">
            <w:pPr>
              <w:spacing w:after="0" w:line="240" w:lineRule="auto"/>
              <w:jc w:val="center"/>
              <w:textAlignment w:val="baseline"/>
              <w:rPr>
                <w:rFonts w:ascii="Times New Roman" w:eastAsia="Times New Roman" w:hAnsi="Times New Roman"/>
                <w:sz w:val="20"/>
                <w:szCs w:val="20"/>
                <w:lang w:eastAsia="sk-SK"/>
              </w:rPr>
            </w:pPr>
            <w:r w:rsidRPr="00FC76FE">
              <w:rPr>
                <w:rFonts w:ascii="Arial Narrow" w:eastAsia="Times New Roman" w:hAnsi="Arial Narrow"/>
                <w:b/>
                <w:bCs/>
                <w:sz w:val="20"/>
                <w:szCs w:val="20"/>
                <w:lang w:eastAsia="sk-SK"/>
              </w:rPr>
              <w:t>Objem v 2022 (mil. eur)</w:t>
            </w:r>
            <w:r w:rsidRPr="00FC76FE">
              <w:rPr>
                <w:rFonts w:ascii="Arial Narrow" w:eastAsia="Times New Roman" w:hAnsi="Arial Narrow"/>
                <w:sz w:val="20"/>
                <w:szCs w:val="20"/>
                <w:lang w:eastAsia="sk-SK"/>
              </w:rPr>
              <w:t> </w:t>
            </w:r>
          </w:p>
        </w:tc>
        <w:tc>
          <w:tcPr>
            <w:tcW w:w="1206" w:type="dxa"/>
            <w:tcBorders>
              <w:top w:val="nil"/>
              <w:left w:val="nil"/>
              <w:bottom w:val="single" w:sz="6" w:space="0" w:color="auto"/>
              <w:right w:val="nil"/>
            </w:tcBorders>
            <w:shd w:val="clear" w:color="auto" w:fill="auto"/>
            <w:vAlign w:val="center"/>
            <w:hideMark/>
          </w:tcPr>
          <w:p w:rsidR="00A74FE9" w:rsidRPr="00FC76FE" w:rsidRDefault="00A74FE9" w:rsidP="00A74FE9">
            <w:pPr>
              <w:spacing w:after="0" w:line="240" w:lineRule="auto"/>
              <w:jc w:val="center"/>
              <w:textAlignment w:val="baseline"/>
              <w:rPr>
                <w:rFonts w:ascii="Times New Roman" w:eastAsia="Times New Roman" w:hAnsi="Times New Roman"/>
                <w:sz w:val="20"/>
                <w:szCs w:val="20"/>
                <w:lang w:eastAsia="sk-SK"/>
              </w:rPr>
            </w:pPr>
            <w:r w:rsidRPr="00FC76FE">
              <w:rPr>
                <w:rFonts w:ascii="Arial Narrow" w:eastAsia="Times New Roman" w:hAnsi="Arial Narrow"/>
                <w:b/>
                <w:bCs/>
                <w:sz w:val="20"/>
                <w:szCs w:val="20"/>
                <w:lang w:eastAsia="sk-SK"/>
              </w:rPr>
              <w:t>Objem po valorizácii 2024 (mil. eur)</w:t>
            </w:r>
            <w:r w:rsidRPr="00FC76FE">
              <w:rPr>
                <w:rFonts w:ascii="Arial Narrow" w:eastAsia="Times New Roman" w:hAnsi="Arial Narrow"/>
                <w:sz w:val="20"/>
                <w:szCs w:val="20"/>
                <w:lang w:eastAsia="sk-SK"/>
              </w:rPr>
              <w:t> </w:t>
            </w:r>
          </w:p>
        </w:tc>
        <w:tc>
          <w:tcPr>
            <w:tcW w:w="1206" w:type="dxa"/>
            <w:tcBorders>
              <w:top w:val="nil"/>
              <w:left w:val="nil"/>
              <w:bottom w:val="single" w:sz="6" w:space="0" w:color="auto"/>
              <w:right w:val="nil"/>
            </w:tcBorders>
            <w:shd w:val="clear" w:color="auto" w:fill="auto"/>
            <w:vAlign w:val="center"/>
            <w:hideMark/>
          </w:tcPr>
          <w:p w:rsidR="00A74FE9" w:rsidRPr="00FC76FE" w:rsidRDefault="00A74FE9" w:rsidP="00A74FE9">
            <w:pPr>
              <w:spacing w:after="0" w:line="240" w:lineRule="auto"/>
              <w:jc w:val="center"/>
              <w:textAlignment w:val="baseline"/>
              <w:rPr>
                <w:rFonts w:ascii="Arial Narrow" w:eastAsia="Times New Roman" w:hAnsi="Arial Narrow"/>
                <w:b/>
                <w:bCs/>
                <w:sz w:val="20"/>
                <w:szCs w:val="20"/>
                <w:lang w:eastAsia="sk-SK"/>
              </w:rPr>
            </w:pPr>
            <w:r w:rsidRPr="00FC76FE">
              <w:rPr>
                <w:rFonts w:ascii="Arial Narrow" w:eastAsia="Times New Roman" w:hAnsi="Arial Narrow"/>
                <w:b/>
                <w:bCs/>
                <w:sz w:val="20"/>
                <w:szCs w:val="20"/>
                <w:lang w:eastAsia="sk-SK"/>
              </w:rPr>
              <w:t xml:space="preserve">Rozdiel </w:t>
            </w:r>
          </w:p>
          <w:p w:rsidR="00A74FE9" w:rsidRPr="00FC76FE" w:rsidRDefault="00A74FE9" w:rsidP="00A74FE9">
            <w:pPr>
              <w:spacing w:after="0" w:line="240" w:lineRule="auto"/>
              <w:jc w:val="center"/>
              <w:textAlignment w:val="baseline"/>
              <w:rPr>
                <w:rFonts w:ascii="Times New Roman" w:eastAsia="Times New Roman" w:hAnsi="Times New Roman"/>
                <w:sz w:val="20"/>
                <w:szCs w:val="20"/>
                <w:lang w:eastAsia="sk-SK"/>
              </w:rPr>
            </w:pPr>
            <w:r w:rsidRPr="00FC76FE">
              <w:rPr>
                <w:rFonts w:ascii="Arial Narrow" w:eastAsia="Times New Roman" w:hAnsi="Arial Narrow"/>
                <w:b/>
                <w:bCs/>
                <w:sz w:val="20"/>
                <w:szCs w:val="20"/>
                <w:lang w:eastAsia="sk-SK"/>
              </w:rPr>
              <w:t>(mil. eur)</w:t>
            </w:r>
            <w:r w:rsidRPr="00FC76FE">
              <w:rPr>
                <w:rFonts w:ascii="Arial Narrow" w:eastAsia="Times New Roman" w:hAnsi="Arial Narrow"/>
                <w:sz w:val="20"/>
                <w:szCs w:val="20"/>
                <w:lang w:eastAsia="sk-SK"/>
              </w:rPr>
              <w:t> </w:t>
            </w:r>
          </w:p>
        </w:tc>
      </w:tr>
      <w:tr w:rsidR="00A74FE9" w:rsidRPr="00FC76FE" w:rsidTr="00A74FE9">
        <w:trPr>
          <w:trHeight w:val="267"/>
        </w:trPr>
        <w:tc>
          <w:tcPr>
            <w:tcW w:w="2673" w:type="dxa"/>
            <w:tcBorders>
              <w:top w:val="nil"/>
              <w:left w:val="nil"/>
              <w:bottom w:val="nil"/>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0"/>
                <w:szCs w:val="20"/>
                <w:lang w:eastAsia="sk-SK"/>
              </w:rPr>
            </w:pPr>
            <w:r w:rsidRPr="00FC76FE">
              <w:rPr>
                <w:rFonts w:ascii="Arial Narrow" w:eastAsia="Times New Roman" w:hAnsi="Arial Narrow"/>
                <w:sz w:val="20"/>
                <w:szCs w:val="20"/>
                <w:lang w:eastAsia="sk-SK"/>
              </w:rPr>
              <w:t>Kataster </w:t>
            </w:r>
          </w:p>
        </w:tc>
        <w:tc>
          <w:tcPr>
            <w:tcW w:w="126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0"/>
                <w:szCs w:val="20"/>
                <w:lang w:eastAsia="sk-SK"/>
              </w:rPr>
            </w:pPr>
            <w:r w:rsidRPr="00FC76FE">
              <w:rPr>
                <w:rFonts w:ascii="Arial Narrow" w:eastAsia="Times New Roman" w:hAnsi="Arial Narrow"/>
                <w:sz w:val="20"/>
                <w:szCs w:val="20"/>
                <w:lang w:eastAsia="sk-SK"/>
              </w:rPr>
              <w:t>29,1 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0"/>
                <w:szCs w:val="20"/>
                <w:lang w:eastAsia="sk-SK"/>
              </w:rPr>
            </w:pPr>
            <w:r w:rsidRPr="00FC76FE">
              <w:rPr>
                <w:rFonts w:ascii="Arial Narrow" w:eastAsia="Times New Roman" w:hAnsi="Arial Narrow"/>
                <w:sz w:val="20"/>
                <w:szCs w:val="20"/>
                <w:lang w:eastAsia="sk-SK"/>
              </w:rPr>
              <w:t>40,9 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0"/>
                <w:szCs w:val="20"/>
                <w:lang w:eastAsia="sk-SK"/>
              </w:rPr>
            </w:pPr>
            <w:r w:rsidRPr="00FC76FE">
              <w:rPr>
                <w:rFonts w:ascii="Arial Narrow" w:eastAsia="Times New Roman" w:hAnsi="Arial Narrow"/>
                <w:sz w:val="20"/>
                <w:szCs w:val="20"/>
                <w:lang w:eastAsia="sk-SK"/>
              </w:rPr>
              <w:t>11,8 </w:t>
            </w:r>
          </w:p>
        </w:tc>
      </w:tr>
      <w:tr w:rsidR="00A74FE9" w:rsidRPr="00FC76FE" w:rsidTr="00A74FE9">
        <w:trPr>
          <w:trHeight w:val="267"/>
        </w:trPr>
        <w:tc>
          <w:tcPr>
            <w:tcW w:w="2673" w:type="dxa"/>
            <w:tcBorders>
              <w:top w:val="nil"/>
              <w:left w:val="nil"/>
              <w:bottom w:val="nil"/>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Doklady (OP, VP, CP) </w:t>
            </w:r>
          </w:p>
        </w:tc>
        <w:tc>
          <w:tcPr>
            <w:tcW w:w="126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22,9 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32,2 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9,3 </w:t>
            </w:r>
          </w:p>
        </w:tc>
      </w:tr>
      <w:tr w:rsidR="00A74FE9" w:rsidRPr="00FC76FE" w:rsidTr="00A74FE9">
        <w:trPr>
          <w:trHeight w:val="267"/>
        </w:trPr>
        <w:tc>
          <w:tcPr>
            <w:tcW w:w="2673" w:type="dxa"/>
            <w:tcBorders>
              <w:top w:val="nil"/>
              <w:left w:val="nil"/>
              <w:bottom w:val="nil"/>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Súdne poplatky (fixné) </w:t>
            </w:r>
          </w:p>
        </w:tc>
        <w:tc>
          <w:tcPr>
            <w:tcW w:w="126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22,5 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31,6 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9,1 </w:t>
            </w:r>
          </w:p>
        </w:tc>
      </w:tr>
      <w:tr w:rsidR="00A74FE9" w:rsidRPr="00FC76FE" w:rsidTr="00A74FE9">
        <w:trPr>
          <w:trHeight w:val="267"/>
        </w:trPr>
        <w:tc>
          <w:tcPr>
            <w:tcW w:w="2673" w:type="dxa"/>
            <w:tcBorders>
              <w:top w:val="nil"/>
              <w:left w:val="nil"/>
              <w:bottom w:val="nil"/>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Jednotlivo schvaľované vozidlá* </w:t>
            </w:r>
          </w:p>
        </w:tc>
        <w:tc>
          <w:tcPr>
            <w:tcW w:w="126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6,3 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7,9 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1,6 </w:t>
            </w:r>
          </w:p>
        </w:tc>
      </w:tr>
      <w:tr w:rsidR="00A74FE9" w:rsidRPr="00FC76FE" w:rsidTr="00A74FE9">
        <w:trPr>
          <w:trHeight w:val="267"/>
        </w:trPr>
        <w:tc>
          <w:tcPr>
            <w:tcW w:w="2673" w:type="dxa"/>
            <w:tcBorders>
              <w:top w:val="nil"/>
              <w:left w:val="nil"/>
              <w:bottom w:val="nil"/>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Cudzinecká polícia </w:t>
            </w:r>
          </w:p>
        </w:tc>
        <w:tc>
          <w:tcPr>
            <w:tcW w:w="126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7,4 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10,4 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3,0 </w:t>
            </w:r>
          </w:p>
        </w:tc>
      </w:tr>
      <w:tr w:rsidR="00A74FE9" w:rsidRPr="00FC76FE" w:rsidTr="00A74FE9">
        <w:trPr>
          <w:trHeight w:val="267"/>
        </w:trPr>
        <w:tc>
          <w:tcPr>
            <w:tcW w:w="2673" w:type="dxa"/>
            <w:tcBorders>
              <w:top w:val="nil"/>
              <w:left w:val="nil"/>
              <w:bottom w:val="nil"/>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Vodičské oprávnenia </w:t>
            </w:r>
          </w:p>
        </w:tc>
        <w:tc>
          <w:tcPr>
            <w:tcW w:w="126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3,1 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4,4 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1,3 </w:t>
            </w:r>
          </w:p>
        </w:tc>
      </w:tr>
      <w:tr w:rsidR="00A74FE9" w:rsidRPr="00FC76FE" w:rsidTr="00A74FE9">
        <w:trPr>
          <w:trHeight w:val="267"/>
        </w:trPr>
        <w:tc>
          <w:tcPr>
            <w:tcW w:w="2673" w:type="dxa"/>
            <w:tcBorders>
              <w:top w:val="nil"/>
              <w:left w:val="nil"/>
              <w:bottom w:val="nil"/>
              <w:right w:val="nil"/>
            </w:tcBorders>
            <w:shd w:val="clear" w:color="auto" w:fill="auto"/>
            <w:vAlign w:val="center"/>
          </w:tcPr>
          <w:p w:rsidR="00A74FE9" w:rsidRPr="00FC76FE" w:rsidRDefault="00A74FE9" w:rsidP="00A74FE9">
            <w:pPr>
              <w:spacing w:after="0" w:line="240" w:lineRule="auto"/>
              <w:textAlignment w:val="baseline"/>
              <w:rPr>
                <w:rFonts w:ascii="Arial Narrow" w:eastAsia="Times New Roman" w:hAnsi="Arial Narrow"/>
                <w:sz w:val="20"/>
                <w:szCs w:val="20"/>
                <w:lang w:eastAsia="sk-SK"/>
              </w:rPr>
            </w:pPr>
            <w:r w:rsidRPr="00FC76FE">
              <w:rPr>
                <w:rFonts w:ascii="Arial Narrow" w:eastAsia="Times New Roman" w:hAnsi="Arial Narrow"/>
                <w:sz w:val="20"/>
                <w:szCs w:val="20"/>
                <w:lang w:eastAsia="sk-SK"/>
              </w:rPr>
              <w:t>Matrika</w:t>
            </w:r>
          </w:p>
        </w:tc>
        <w:tc>
          <w:tcPr>
            <w:tcW w:w="1266" w:type="dxa"/>
            <w:tcBorders>
              <w:top w:val="nil"/>
              <w:left w:val="nil"/>
              <w:bottom w:val="nil"/>
              <w:right w:val="nil"/>
            </w:tcBorders>
            <w:shd w:val="clear" w:color="auto" w:fill="auto"/>
            <w:vAlign w:val="center"/>
          </w:tcPr>
          <w:p w:rsidR="00A74FE9" w:rsidRPr="00FC76FE" w:rsidRDefault="00A74FE9" w:rsidP="00A74FE9">
            <w:pPr>
              <w:spacing w:after="0" w:line="240" w:lineRule="auto"/>
              <w:jc w:val="right"/>
              <w:textAlignment w:val="baseline"/>
              <w:rPr>
                <w:rFonts w:ascii="Arial Narrow" w:eastAsia="Times New Roman" w:hAnsi="Arial Narrow"/>
                <w:sz w:val="20"/>
                <w:szCs w:val="20"/>
                <w:lang w:eastAsia="sk-SK"/>
              </w:rPr>
            </w:pPr>
            <w:r w:rsidRPr="00FC76FE">
              <w:rPr>
                <w:rFonts w:ascii="Arial Narrow" w:eastAsia="Times New Roman" w:hAnsi="Arial Narrow"/>
                <w:sz w:val="20"/>
                <w:szCs w:val="20"/>
                <w:lang w:eastAsia="sk-SK"/>
              </w:rPr>
              <w:t>2,5</w:t>
            </w:r>
          </w:p>
        </w:tc>
        <w:tc>
          <w:tcPr>
            <w:tcW w:w="1206" w:type="dxa"/>
            <w:tcBorders>
              <w:top w:val="nil"/>
              <w:left w:val="nil"/>
              <w:bottom w:val="nil"/>
              <w:right w:val="nil"/>
            </w:tcBorders>
            <w:shd w:val="clear" w:color="auto" w:fill="auto"/>
            <w:vAlign w:val="center"/>
          </w:tcPr>
          <w:p w:rsidR="00A74FE9" w:rsidRPr="00FC76FE" w:rsidRDefault="00A74FE9" w:rsidP="00A74FE9">
            <w:pPr>
              <w:spacing w:after="0" w:line="240" w:lineRule="auto"/>
              <w:jc w:val="right"/>
              <w:textAlignment w:val="baseline"/>
              <w:rPr>
                <w:rFonts w:ascii="Arial Narrow" w:eastAsia="Times New Roman" w:hAnsi="Arial Narrow"/>
                <w:sz w:val="20"/>
                <w:szCs w:val="20"/>
                <w:lang w:eastAsia="sk-SK"/>
              </w:rPr>
            </w:pPr>
            <w:r w:rsidRPr="00FC76FE">
              <w:rPr>
                <w:rFonts w:ascii="Arial Narrow" w:eastAsia="Times New Roman" w:hAnsi="Arial Narrow"/>
                <w:sz w:val="20"/>
                <w:szCs w:val="20"/>
                <w:lang w:eastAsia="sk-SK"/>
              </w:rPr>
              <w:t>3,5</w:t>
            </w:r>
          </w:p>
        </w:tc>
        <w:tc>
          <w:tcPr>
            <w:tcW w:w="1206" w:type="dxa"/>
            <w:tcBorders>
              <w:top w:val="nil"/>
              <w:left w:val="nil"/>
              <w:bottom w:val="nil"/>
              <w:right w:val="nil"/>
            </w:tcBorders>
            <w:shd w:val="clear" w:color="auto" w:fill="auto"/>
            <w:vAlign w:val="center"/>
          </w:tcPr>
          <w:p w:rsidR="00A74FE9" w:rsidRPr="00FC76FE" w:rsidRDefault="00A74FE9" w:rsidP="00A74FE9">
            <w:pPr>
              <w:spacing w:after="0" w:line="240" w:lineRule="auto"/>
              <w:jc w:val="right"/>
              <w:textAlignment w:val="baseline"/>
              <w:rPr>
                <w:rFonts w:ascii="Arial Narrow" w:eastAsia="Times New Roman" w:hAnsi="Arial Narrow"/>
                <w:sz w:val="20"/>
                <w:szCs w:val="20"/>
                <w:lang w:eastAsia="sk-SK"/>
              </w:rPr>
            </w:pPr>
            <w:r w:rsidRPr="00FC76FE">
              <w:rPr>
                <w:rFonts w:ascii="Arial Narrow" w:eastAsia="Times New Roman" w:hAnsi="Arial Narrow"/>
                <w:sz w:val="20"/>
                <w:szCs w:val="20"/>
                <w:lang w:eastAsia="sk-SK"/>
              </w:rPr>
              <w:t>1,0</w:t>
            </w:r>
          </w:p>
        </w:tc>
      </w:tr>
      <w:tr w:rsidR="00A74FE9" w:rsidRPr="00FC76FE" w:rsidTr="00A74FE9">
        <w:trPr>
          <w:trHeight w:val="267"/>
        </w:trPr>
        <w:tc>
          <w:tcPr>
            <w:tcW w:w="2673" w:type="dxa"/>
            <w:tcBorders>
              <w:top w:val="nil"/>
              <w:left w:val="nil"/>
              <w:bottom w:val="nil"/>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Ostatné </w:t>
            </w:r>
          </w:p>
        </w:tc>
        <w:tc>
          <w:tcPr>
            <w:tcW w:w="126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18,5 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31,4 </w:t>
            </w:r>
          </w:p>
        </w:tc>
        <w:tc>
          <w:tcPr>
            <w:tcW w:w="1206" w:type="dxa"/>
            <w:tcBorders>
              <w:top w:val="nil"/>
              <w:left w:val="nil"/>
              <w:bottom w:val="nil"/>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sz w:val="20"/>
                <w:szCs w:val="20"/>
                <w:lang w:eastAsia="sk-SK"/>
              </w:rPr>
              <w:t>12,9 </w:t>
            </w:r>
          </w:p>
        </w:tc>
      </w:tr>
      <w:tr w:rsidR="00A74FE9" w:rsidRPr="00FC76FE" w:rsidTr="00A74FE9">
        <w:trPr>
          <w:trHeight w:val="267"/>
        </w:trPr>
        <w:tc>
          <w:tcPr>
            <w:tcW w:w="2673" w:type="dxa"/>
            <w:tcBorders>
              <w:top w:val="single" w:sz="6" w:space="0" w:color="auto"/>
              <w:left w:val="nil"/>
              <w:bottom w:val="single" w:sz="6" w:space="0" w:color="auto"/>
              <w:right w:val="nil"/>
            </w:tcBorders>
            <w:shd w:val="clear" w:color="auto" w:fill="auto"/>
            <w:vAlign w:val="center"/>
            <w:hideMark/>
          </w:tcPr>
          <w:p w:rsidR="00A74FE9" w:rsidRPr="00FC76FE" w:rsidRDefault="00A74FE9" w:rsidP="00A74FE9">
            <w:pPr>
              <w:spacing w:after="0" w:line="240" w:lineRule="auto"/>
              <w:textAlignment w:val="baseline"/>
              <w:rPr>
                <w:rFonts w:ascii="Times New Roman" w:eastAsia="Times New Roman" w:hAnsi="Times New Roman"/>
                <w:sz w:val="24"/>
                <w:szCs w:val="24"/>
                <w:lang w:eastAsia="sk-SK"/>
              </w:rPr>
            </w:pPr>
            <w:r w:rsidRPr="00FC76FE">
              <w:rPr>
                <w:rFonts w:ascii="Arial Narrow" w:eastAsia="Times New Roman" w:hAnsi="Arial Narrow"/>
                <w:b/>
                <w:bCs/>
                <w:sz w:val="20"/>
                <w:szCs w:val="20"/>
                <w:lang w:eastAsia="sk-SK"/>
              </w:rPr>
              <w:t>Spolu</w:t>
            </w:r>
            <w:r w:rsidRPr="00FC76FE">
              <w:rPr>
                <w:rFonts w:ascii="Arial Narrow" w:eastAsia="Times New Roman" w:hAnsi="Arial Narrow"/>
                <w:sz w:val="20"/>
                <w:szCs w:val="20"/>
                <w:lang w:eastAsia="sk-SK"/>
              </w:rPr>
              <w:t> </w:t>
            </w:r>
          </w:p>
        </w:tc>
        <w:tc>
          <w:tcPr>
            <w:tcW w:w="1266" w:type="dxa"/>
            <w:tcBorders>
              <w:top w:val="single" w:sz="6" w:space="0" w:color="auto"/>
              <w:left w:val="nil"/>
              <w:bottom w:val="single" w:sz="6" w:space="0" w:color="auto"/>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b/>
                <w:bCs/>
                <w:sz w:val="20"/>
                <w:szCs w:val="20"/>
                <w:lang w:eastAsia="sk-SK"/>
              </w:rPr>
              <w:t>115,9</w:t>
            </w:r>
            <w:r w:rsidRPr="00FC76FE">
              <w:rPr>
                <w:rFonts w:ascii="Arial Narrow" w:eastAsia="Times New Roman" w:hAnsi="Arial Narrow"/>
                <w:sz w:val="20"/>
                <w:szCs w:val="20"/>
                <w:lang w:eastAsia="sk-SK"/>
              </w:rPr>
              <w:t> </w:t>
            </w:r>
          </w:p>
        </w:tc>
        <w:tc>
          <w:tcPr>
            <w:tcW w:w="1206" w:type="dxa"/>
            <w:tcBorders>
              <w:top w:val="single" w:sz="6" w:space="0" w:color="auto"/>
              <w:left w:val="nil"/>
              <w:bottom w:val="single" w:sz="6" w:space="0" w:color="auto"/>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b/>
                <w:bCs/>
                <w:sz w:val="20"/>
                <w:szCs w:val="20"/>
                <w:lang w:eastAsia="sk-SK"/>
              </w:rPr>
              <w:t>165,9</w:t>
            </w:r>
            <w:r w:rsidRPr="00FC76FE">
              <w:rPr>
                <w:rFonts w:ascii="Arial Narrow" w:eastAsia="Times New Roman" w:hAnsi="Arial Narrow"/>
                <w:sz w:val="20"/>
                <w:szCs w:val="20"/>
                <w:lang w:eastAsia="sk-SK"/>
              </w:rPr>
              <w:t> </w:t>
            </w:r>
          </w:p>
        </w:tc>
        <w:tc>
          <w:tcPr>
            <w:tcW w:w="1206" w:type="dxa"/>
            <w:tcBorders>
              <w:top w:val="single" w:sz="6" w:space="0" w:color="auto"/>
              <w:left w:val="nil"/>
              <w:bottom w:val="single" w:sz="6" w:space="0" w:color="auto"/>
              <w:right w:val="nil"/>
            </w:tcBorders>
            <w:shd w:val="clear" w:color="auto" w:fill="auto"/>
            <w:vAlign w:val="center"/>
            <w:hideMark/>
          </w:tcPr>
          <w:p w:rsidR="00A74FE9" w:rsidRPr="00FC76FE" w:rsidRDefault="00A74FE9" w:rsidP="00A74FE9">
            <w:pPr>
              <w:spacing w:after="0" w:line="240" w:lineRule="auto"/>
              <w:jc w:val="right"/>
              <w:textAlignment w:val="baseline"/>
              <w:rPr>
                <w:rFonts w:ascii="Times New Roman" w:eastAsia="Times New Roman" w:hAnsi="Times New Roman"/>
                <w:sz w:val="24"/>
                <w:szCs w:val="24"/>
                <w:lang w:eastAsia="sk-SK"/>
              </w:rPr>
            </w:pPr>
            <w:r w:rsidRPr="00FC76FE">
              <w:rPr>
                <w:rFonts w:ascii="Arial Narrow" w:eastAsia="Times New Roman" w:hAnsi="Arial Narrow"/>
                <w:b/>
                <w:bCs/>
                <w:sz w:val="20"/>
                <w:szCs w:val="20"/>
                <w:lang w:eastAsia="sk-SK"/>
              </w:rPr>
              <w:t>50,0</w:t>
            </w:r>
            <w:r w:rsidRPr="00FC76FE">
              <w:rPr>
                <w:rFonts w:ascii="Arial Narrow" w:eastAsia="Times New Roman" w:hAnsi="Arial Narrow"/>
                <w:sz w:val="20"/>
                <w:szCs w:val="20"/>
                <w:lang w:eastAsia="sk-SK"/>
              </w:rPr>
              <w:t> </w:t>
            </w:r>
          </w:p>
        </w:tc>
      </w:tr>
      <w:tr w:rsidR="00A74FE9" w:rsidRPr="00FC76FE" w:rsidTr="00A74FE9">
        <w:trPr>
          <w:trHeight w:val="267"/>
        </w:trPr>
        <w:tc>
          <w:tcPr>
            <w:tcW w:w="6351" w:type="dxa"/>
            <w:gridSpan w:val="4"/>
            <w:tcBorders>
              <w:top w:val="single" w:sz="6" w:space="0" w:color="auto"/>
              <w:left w:val="nil"/>
              <w:bottom w:val="nil"/>
              <w:right w:val="nil"/>
            </w:tcBorders>
            <w:shd w:val="clear" w:color="auto" w:fill="auto"/>
          </w:tcPr>
          <w:p w:rsidR="00A74FE9" w:rsidRPr="00FC76FE" w:rsidRDefault="00A74FE9" w:rsidP="00A74FE9">
            <w:pPr>
              <w:spacing w:after="0" w:line="240" w:lineRule="auto"/>
              <w:jc w:val="right"/>
              <w:textAlignment w:val="baseline"/>
              <w:rPr>
                <w:rFonts w:ascii="Arial Narrow" w:eastAsia="Times New Roman" w:hAnsi="Arial Narrow"/>
                <w:b/>
                <w:bCs/>
                <w:i/>
                <w:sz w:val="18"/>
                <w:szCs w:val="20"/>
                <w:lang w:eastAsia="sk-SK"/>
              </w:rPr>
            </w:pPr>
            <w:r w:rsidRPr="00FC76FE">
              <w:rPr>
                <w:rFonts w:ascii="Arial Narrow" w:eastAsia="Times New Roman" w:hAnsi="Arial Narrow"/>
                <w:i/>
                <w:sz w:val="18"/>
                <w:lang w:eastAsia="sk-SK"/>
              </w:rPr>
              <w:t>*Indexácia od 2018 </w:t>
            </w:r>
          </w:p>
        </w:tc>
      </w:tr>
    </w:tbl>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2.2.4. Výpočty vplyvov na verejné financie</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xml:space="preserve">Na výpočty poslúžili údaje z centrálnej evidencie správnych a súdnych poplatkov v rámci služby eKolok za rok 2022. </w:t>
      </w: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4"/>
          <w:szCs w:val="20"/>
          <w:lang w:eastAsia="sk-SK"/>
        </w:rPr>
        <w:sectPr w:rsidR="00A74FE9" w:rsidRPr="00FC76FE" w:rsidSect="00A74FE9">
          <w:headerReference w:type="default" r:id="rId15"/>
          <w:pgSz w:w="11906" w:h="16838"/>
          <w:pgMar w:top="1417" w:right="1417" w:bottom="1417" w:left="1417" w:header="708" w:footer="708" w:gutter="0"/>
          <w:cols w:space="708"/>
          <w:docGrid w:linePitch="360"/>
        </w:sectPr>
      </w:pPr>
    </w:p>
    <w:p w:rsidR="00A74FE9" w:rsidRPr="00FC76FE" w:rsidRDefault="00A74FE9" w:rsidP="00A74FE9">
      <w:pPr>
        <w:spacing w:after="0" w:line="240" w:lineRule="auto"/>
        <w:jc w:val="center"/>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FC76FE"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Príjmy štátny rozpočet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poznámka</w:t>
            </w:r>
          </w:p>
        </w:tc>
      </w:tr>
      <w:tr w:rsidR="00A74FE9" w:rsidRPr="00FC76FE"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vertAlign w:val="superscript"/>
                <w:lang w:eastAsia="sk-SK"/>
              </w:rPr>
            </w:pPr>
            <w:r w:rsidRPr="00FC76FE">
              <w:rPr>
                <w:rFonts w:ascii="Times New Roman" w:eastAsia="Times New Roman" w:hAnsi="Times New Roman" w:cs="Times New Roman"/>
                <w:b/>
                <w:bCs/>
                <w:sz w:val="24"/>
                <w:szCs w:val="24"/>
                <w:lang w:eastAsia="sk-SK"/>
              </w:rPr>
              <w:t>Daňové príjmy (100)</w:t>
            </w:r>
            <w:r w:rsidRPr="00FC76F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Nedaňové príjmy (200)</w:t>
            </w:r>
            <w:r w:rsidRPr="00FC76F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36 750 000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49 000 000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51 000 000</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Príjmy VPS.</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z toho súdne poplatky (221001)</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6 825 000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9 100 000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9 300 000</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Príjmy VPS.</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z toho správne poplatky (221004)</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29 925 000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39 900 000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41 700 000</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Príjmy VPS.</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Granty a transfery (300)</w:t>
            </w:r>
            <w:r w:rsidRPr="00FC76F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36 750 000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49 000 000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51 000 000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bl>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1 –  príjmy rozpísať až do položiek platnej ekonomickej klasifikácie</w:t>
      </w:r>
    </w:p>
    <w:p w:rsidR="00A74FE9" w:rsidRPr="00FC76FE" w:rsidRDefault="00A74FE9" w:rsidP="00A74FE9">
      <w:pPr>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 xml:space="preserve"> </w:t>
      </w:r>
    </w:p>
    <w:p w:rsidR="00A74FE9" w:rsidRPr="00FC76FE" w:rsidRDefault="00A74FE9" w:rsidP="00A74FE9">
      <w:pPr>
        <w:spacing w:after="0" w:line="240" w:lineRule="auto"/>
        <w:jc w:val="center"/>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lastRenderedPageBreak/>
        <w:t xml:space="preserve">                                                                                                                                                                                                                                                       Tabuľka č. 3</w:t>
      </w: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jc w:val="center"/>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FC76FE"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Príjmy obce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poznámka</w:t>
            </w:r>
          </w:p>
        </w:tc>
      </w:tr>
      <w:tr w:rsidR="00A74FE9" w:rsidRPr="00FC76FE"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vertAlign w:val="superscript"/>
                <w:lang w:eastAsia="sk-SK"/>
              </w:rPr>
            </w:pPr>
            <w:r w:rsidRPr="00FC76FE">
              <w:rPr>
                <w:rFonts w:ascii="Times New Roman" w:eastAsia="Times New Roman" w:hAnsi="Times New Roman" w:cs="Times New Roman"/>
                <w:b/>
                <w:bCs/>
                <w:sz w:val="24"/>
                <w:szCs w:val="24"/>
                <w:lang w:eastAsia="sk-SK"/>
              </w:rPr>
              <w:t>Daňové príjmy (100)</w:t>
            </w:r>
            <w:r w:rsidRPr="00FC76F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Nedaňové príjmy (200)</w:t>
            </w:r>
            <w:r w:rsidRPr="00FC76F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750 000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1 000 000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1 000 000</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z toho správne poplatky (221004)</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750 000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1 000 000</w:t>
            </w:r>
          </w:p>
        </w:tc>
        <w:tc>
          <w:tcPr>
            <w:tcW w:w="1500" w:type="dxa"/>
            <w:tcBorders>
              <w:top w:val="nil"/>
              <w:left w:val="nil"/>
              <w:bottom w:val="single" w:sz="4" w:space="0" w:color="auto"/>
              <w:right w:val="single" w:sz="4" w:space="0" w:color="auto"/>
            </w:tcBorders>
            <w:vAlign w:val="center"/>
          </w:tcPr>
          <w:p w:rsidR="00A74FE9" w:rsidRPr="00FC76FE" w:rsidRDefault="00A74FE9" w:rsidP="00A74FE9">
            <w:pPr>
              <w:spacing w:after="0" w:line="240" w:lineRule="auto"/>
              <w:jc w:val="center"/>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1 000 000</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Príjmy obcí zo správnych poplatkov na matričnú činnosť.</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Granty a transfery (300)</w:t>
            </w:r>
            <w:r w:rsidRPr="00FC76F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750 000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1 000 000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1 000 000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bl>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1 –  príjmy rozpísať až do položiek platnej ekonomickej klasifikácie</w:t>
      </w:r>
    </w:p>
    <w:p w:rsidR="00A74FE9" w:rsidRPr="00FC76FE" w:rsidRDefault="00A74FE9" w:rsidP="00A74FE9">
      <w:pPr>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FC76FE"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poznámka</w:t>
            </w:r>
          </w:p>
        </w:tc>
      </w:tr>
      <w:tr w:rsidR="00A74FE9" w:rsidRPr="00FC76FE"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0"/>
                <w:szCs w:val="20"/>
                <w:vertAlign w:val="superscript"/>
                <w:lang w:eastAsia="sk-SK"/>
              </w:rPr>
            </w:pPr>
            <w:r w:rsidRPr="00FC76FE">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0"/>
                <w:szCs w:val="20"/>
                <w:vertAlign w:val="superscript"/>
                <w:lang w:eastAsia="sk-SK"/>
              </w:rPr>
            </w:pPr>
            <w:r w:rsidRPr="00FC76FE">
              <w:rPr>
                <w:rFonts w:ascii="Times New Roman" w:eastAsia="Times New Roman" w:hAnsi="Times New Roman" w:cs="Times New Roman"/>
                <w:sz w:val="20"/>
                <w:szCs w:val="20"/>
                <w:lang w:eastAsia="sk-SK"/>
              </w:rPr>
              <w:t xml:space="preserve">  Tovary a služby (630)</w:t>
            </w:r>
            <w:r w:rsidRPr="00FC76FE">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36 000</w:t>
            </w: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Rozpočtová kapitola MF SR na službu eKolok.</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  Bežné transfery (640)</w:t>
            </w:r>
            <w:r w:rsidRPr="00FC76FE">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  Splácanie úrokov a ostatné platby súvisiace s </w:t>
            </w:r>
            <w:r w:rsidRPr="00FC76FE">
              <w:t xml:space="preserve"> </w:t>
            </w:r>
            <w:r w:rsidRPr="00FC76FE">
              <w:rPr>
                <w:rFonts w:ascii="Times New Roman" w:eastAsia="Times New Roman" w:hAnsi="Times New Roman" w:cs="Times New Roman"/>
                <w:sz w:val="20"/>
                <w:szCs w:val="20"/>
                <w:lang w:eastAsia="sk-SK"/>
              </w:rPr>
              <w:t>úverom, pôžičkou, návratnou finančnou výpomocou a finančným prenájmom (650)</w:t>
            </w:r>
            <w:r w:rsidRPr="00FC76FE">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  Obstarávanie kapitálových aktív (710)</w:t>
            </w:r>
            <w:r w:rsidRPr="00FC76FE">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  Kapitálové transfery (720)</w:t>
            </w:r>
            <w:r w:rsidRPr="00FC76FE">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366"/>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b/>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b/>
              </w:rPr>
            </w:pPr>
            <w:r w:rsidRPr="00FC76FE">
              <w:rPr>
                <w:b/>
              </w:rPr>
              <w:t>36 000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b/>
              </w:rPr>
            </w:pPr>
            <w:r w:rsidRPr="00FC76FE">
              <w:rPr>
                <w:b/>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b/>
              </w:rPr>
            </w:pPr>
            <w:r w:rsidRPr="00FC76FE">
              <w:rPr>
                <w:b/>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bl>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 xml:space="preserve">  2 –  výdavky rozpísať až do položiek platnej ekonomickej klasifikácie</w:t>
      </w:r>
    </w:p>
    <w:p w:rsidR="00A74FE9" w:rsidRPr="00FC76FE" w:rsidRDefault="00A74FE9" w:rsidP="00A74FE9">
      <w:pPr>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4"/>
          <w:szCs w:val="20"/>
          <w:lang w:eastAsia="sk-SK"/>
        </w:rPr>
        <w:t xml:space="preserve">  Poznámka:</w:t>
      </w: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FC76FE"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FC76FE">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FC76FE">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FC76FE">
              <w:rPr>
                <w:rFonts w:ascii="Times New Roman" w:eastAsia="Times New Roman" w:hAnsi="Times New Roman" w:cs="Times New Roman"/>
                <w:b/>
                <w:bCs/>
                <w:color w:val="000000" w:themeColor="text1"/>
                <w:sz w:val="24"/>
                <w:szCs w:val="24"/>
                <w:lang w:eastAsia="sk-SK"/>
              </w:rPr>
              <w:t>poznámka</w:t>
            </w:r>
          </w:p>
        </w:tc>
      </w:tr>
      <w:tr w:rsidR="00A74FE9" w:rsidRPr="00FC76FE"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FC76FE">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FC76FE">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FC76FE">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FC76FE">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FC76FE">
              <w:rPr>
                <w:rFonts w:ascii="Times New Roman" w:eastAsia="Times New Roman" w:hAnsi="Times New Roman" w:cs="Times New Roman"/>
                <w:color w:val="000000" w:themeColor="text1"/>
                <w:sz w:val="20"/>
                <w:szCs w:val="20"/>
                <w:lang w:eastAsia="sk-SK"/>
              </w:rPr>
              <w:t xml:space="preserve">  Tovary a služby (630)</w:t>
            </w:r>
            <w:r w:rsidRPr="00FC76FE">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r w:rsidRPr="00FC76FE">
              <w:rPr>
                <w:rFonts w:ascii="Times New Roman" w:eastAsia="Times New Roman" w:hAnsi="Times New Roman" w:cs="Times New Roman"/>
                <w:color w:val="000000" w:themeColor="text1"/>
                <w:sz w:val="20"/>
                <w:szCs w:val="20"/>
                <w:lang w:eastAsia="sk-SK"/>
              </w:rPr>
              <w:t>36 000</w:t>
            </w: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sz w:val="24"/>
                <w:szCs w:val="24"/>
                <w:lang w:eastAsia="sk-SK"/>
              </w:rPr>
              <w:t>Rozpočtová kapitola MF SR na službu eKolok.</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FC76FE">
              <w:rPr>
                <w:rFonts w:ascii="Times New Roman" w:eastAsia="Times New Roman" w:hAnsi="Times New Roman" w:cs="Times New Roman"/>
                <w:color w:val="000000" w:themeColor="text1"/>
                <w:sz w:val="20"/>
                <w:szCs w:val="20"/>
                <w:lang w:eastAsia="sk-SK"/>
              </w:rPr>
              <w:t xml:space="preserve">  Bežné transfery (640)</w:t>
            </w:r>
            <w:r w:rsidRPr="00FC76FE">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FC76FE">
              <w:rPr>
                <w:rFonts w:ascii="Times New Roman" w:eastAsia="Times New Roman" w:hAnsi="Times New Roman" w:cs="Times New Roman"/>
                <w:color w:val="000000" w:themeColor="text1"/>
                <w:sz w:val="20"/>
                <w:szCs w:val="20"/>
                <w:lang w:eastAsia="sk-SK"/>
              </w:rPr>
              <w:t xml:space="preserve">  Splácanie úrokov a ostatné platby súvisiace s </w:t>
            </w:r>
            <w:r w:rsidRPr="00FC76FE">
              <w:rPr>
                <w:color w:val="000000" w:themeColor="text1"/>
              </w:rPr>
              <w:t xml:space="preserve"> </w:t>
            </w:r>
            <w:r w:rsidRPr="00FC76FE">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FC76FE">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FC76FE">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FC76FE">
              <w:rPr>
                <w:rFonts w:ascii="Times New Roman" w:eastAsia="Times New Roman" w:hAnsi="Times New Roman" w:cs="Times New Roman"/>
                <w:color w:val="000000" w:themeColor="text1"/>
                <w:sz w:val="20"/>
                <w:szCs w:val="20"/>
                <w:lang w:eastAsia="sk-SK"/>
              </w:rPr>
              <w:t xml:space="preserve">  Obstarávanie kapitálových aktív (710)</w:t>
            </w:r>
            <w:r w:rsidRPr="00FC76FE">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r w:rsidR="00A74FE9" w:rsidRPr="00FC76FE" w:rsidTr="00A74FE9">
        <w:trPr>
          <w:trHeight w:val="255"/>
        </w:trPr>
        <w:tc>
          <w:tcPr>
            <w:tcW w:w="7070"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FC76FE">
              <w:rPr>
                <w:rFonts w:ascii="Times New Roman" w:eastAsia="Times New Roman" w:hAnsi="Times New Roman" w:cs="Times New Roman"/>
                <w:color w:val="000000" w:themeColor="text1"/>
                <w:sz w:val="20"/>
                <w:szCs w:val="20"/>
                <w:lang w:eastAsia="sk-SK"/>
              </w:rPr>
              <w:t xml:space="preserve">  Kapitálové transfery (720)</w:t>
            </w:r>
            <w:r w:rsidRPr="00FC76FE">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r w:rsidR="00A74FE9" w:rsidRPr="00FC76FE" w:rsidTr="00A74FE9">
        <w:trPr>
          <w:trHeight w:val="366"/>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FC76FE">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rFonts w:ascii="Times New Roman" w:hAnsi="Times New Roman" w:cs="Times New Roman"/>
                <w:b/>
                <w:sz w:val="20"/>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rFonts w:ascii="Times New Roman" w:hAnsi="Times New Roman" w:cs="Times New Roman"/>
                <w:b/>
                <w:sz w:val="20"/>
              </w:rPr>
            </w:pPr>
            <w:r w:rsidRPr="00FC76FE">
              <w:rPr>
                <w:rFonts w:ascii="Times New Roman" w:hAnsi="Times New Roman" w:cs="Times New Roman"/>
                <w:b/>
                <w:sz w:val="20"/>
              </w:rPr>
              <w:t>36 000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rFonts w:ascii="Times New Roman" w:hAnsi="Times New Roman" w:cs="Times New Roman"/>
                <w:b/>
                <w:sz w:val="20"/>
              </w:rPr>
            </w:pPr>
            <w:r w:rsidRPr="00FC76FE">
              <w:rPr>
                <w:rFonts w:ascii="Times New Roman" w:hAnsi="Times New Roman" w:cs="Times New Roman"/>
                <w:b/>
                <w:sz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jc w:val="center"/>
              <w:rPr>
                <w:rFonts w:ascii="Times New Roman" w:hAnsi="Times New Roman" w:cs="Times New Roman"/>
                <w:b/>
                <w:sz w:val="20"/>
              </w:rPr>
            </w:pPr>
            <w:r w:rsidRPr="00FC76FE">
              <w:rPr>
                <w:rFonts w:ascii="Times New Roman" w:hAnsi="Times New Roman" w:cs="Times New Roman"/>
                <w:b/>
                <w:sz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FC76FE">
              <w:rPr>
                <w:rFonts w:ascii="Times New Roman" w:eastAsia="Times New Roman" w:hAnsi="Times New Roman" w:cs="Times New Roman"/>
                <w:color w:val="000000" w:themeColor="text1"/>
                <w:sz w:val="24"/>
                <w:szCs w:val="24"/>
                <w:lang w:eastAsia="sk-SK"/>
              </w:rPr>
              <w:t> </w:t>
            </w:r>
          </w:p>
        </w:tc>
      </w:tr>
    </w:tbl>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color w:val="000000" w:themeColor="text1"/>
          <w:sz w:val="20"/>
          <w:szCs w:val="20"/>
          <w:lang w:eastAsia="sk-SK"/>
        </w:rPr>
        <w:t xml:space="preserve">  2 –  výdavky rozpísať až do podpo</w:t>
      </w:r>
      <w:r w:rsidRPr="00FC76FE">
        <w:rPr>
          <w:rFonts w:ascii="Times New Roman" w:eastAsia="Times New Roman" w:hAnsi="Times New Roman" w:cs="Times New Roman"/>
          <w:bCs/>
          <w:sz w:val="20"/>
          <w:szCs w:val="20"/>
          <w:lang w:eastAsia="sk-SK"/>
        </w:rPr>
        <w:t>ložiek platnej ekonomickej klasifikácie</w:t>
      </w:r>
    </w:p>
    <w:p w:rsidR="00A74FE9" w:rsidRPr="00FC76FE" w:rsidRDefault="00A74FE9" w:rsidP="00A74FE9">
      <w:pPr>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4"/>
          <w:szCs w:val="20"/>
          <w:lang w:eastAsia="sk-SK"/>
        </w:rPr>
        <w:t xml:space="preserve">  Poznámka:</w:t>
      </w: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p>
    <w:p w:rsidR="00A74FE9" w:rsidRPr="00FC76FE" w:rsidRDefault="00A74FE9" w:rsidP="00A74FE9">
      <w:pPr>
        <w:spacing w:after="0" w:line="240" w:lineRule="auto"/>
        <w:jc w:val="right"/>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 xml:space="preserve">                 </w:t>
      </w:r>
    </w:p>
    <w:p w:rsidR="00A74FE9" w:rsidRPr="00FC76FE" w:rsidRDefault="00A74FE9" w:rsidP="00A74FE9">
      <w:pPr>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A74FE9" w:rsidRPr="00FC76FE"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poznámka</w:t>
            </w:r>
          </w:p>
        </w:tc>
      </w:tr>
      <w:tr w:rsidR="00A74FE9" w:rsidRPr="00FC76FE"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2024</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2026</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w:t>
            </w: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w:t>
            </w: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w:t>
            </w:r>
          </w:p>
        </w:tc>
      </w:tr>
      <w:tr w:rsidR="00A74FE9" w:rsidRPr="00FC76FE" w:rsidTr="00A74FE9">
        <w:trPr>
          <w:trHeight w:val="255"/>
        </w:trPr>
        <w:tc>
          <w:tcPr>
            <w:tcW w:w="6188" w:type="dxa"/>
            <w:tcBorders>
              <w:top w:val="nil"/>
              <w:left w:val="single" w:sz="4" w:space="0" w:color="auto"/>
              <w:bottom w:val="single" w:sz="4" w:space="0" w:color="auto"/>
              <w:right w:val="single" w:sz="4" w:space="0" w:color="auto"/>
            </w:tcBorders>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FC76FE"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w:t>
            </w:r>
          </w:p>
        </w:tc>
      </w:tr>
      <w:tr w:rsidR="00A74FE9" w:rsidRPr="00FC76FE" w:rsidTr="00A74FE9">
        <w:trPr>
          <w:trHeight w:val="255"/>
        </w:trPr>
        <w:tc>
          <w:tcPr>
            <w:tcW w:w="618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r>
      <w:tr w:rsidR="00A74FE9" w:rsidRPr="00FC76FE" w:rsidTr="00A74FE9">
        <w:trPr>
          <w:trHeight w:val="255"/>
        </w:trPr>
        <w:tc>
          <w:tcPr>
            <w:tcW w:w="6188" w:type="dxa"/>
            <w:tcBorders>
              <w:top w:val="nil"/>
              <w:left w:val="nil"/>
              <w:bottom w:val="nil"/>
              <w:right w:val="nil"/>
            </w:tcBorders>
          </w:tcPr>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r>
      <w:tr w:rsidR="00A74FE9" w:rsidRPr="00FC76FE" w:rsidTr="00A74FE9">
        <w:trPr>
          <w:trHeight w:val="255"/>
        </w:trPr>
        <w:tc>
          <w:tcPr>
            <w:tcW w:w="13112" w:type="dxa"/>
            <w:gridSpan w:val="6"/>
            <w:tcBorders>
              <w:top w:val="nil"/>
              <w:left w:val="nil"/>
              <w:bottom w:val="nil"/>
              <w:right w:val="nil"/>
            </w:tcBorders>
            <w:noWrap/>
          </w:tcPr>
          <w:p w:rsidR="00A74FE9" w:rsidRPr="00FC76FE" w:rsidRDefault="00A74FE9" w:rsidP="00A74FE9">
            <w:pPr>
              <w:spacing w:after="0" w:line="240" w:lineRule="auto"/>
              <w:jc w:val="both"/>
              <w:rPr>
                <w:rFonts w:ascii="Times New Roman" w:eastAsia="Times New Roman" w:hAnsi="Times New Roman" w:cs="Times New Roman"/>
                <w:bCs/>
                <w:sz w:val="24"/>
                <w:szCs w:val="20"/>
                <w:lang w:eastAsia="sk-SK"/>
              </w:rPr>
            </w:pPr>
            <w:r w:rsidRPr="00FC76FE">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r>
      <w:tr w:rsidR="00A74FE9" w:rsidRPr="00FC76FE" w:rsidTr="00A74FE9">
        <w:trPr>
          <w:trHeight w:val="255"/>
        </w:trPr>
        <w:tc>
          <w:tcPr>
            <w:tcW w:w="10394" w:type="dxa"/>
            <w:gridSpan w:val="4"/>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sz w:val="24"/>
                <w:szCs w:val="24"/>
                <w:lang w:eastAsia="sk-SK"/>
              </w:rPr>
            </w:pPr>
          </w:p>
        </w:tc>
      </w:tr>
    </w:tbl>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 xml:space="preserve">                                                                 </w:t>
      </w:r>
    </w:p>
    <w:p w:rsidR="00A74FE9" w:rsidRPr="00FC76FE" w:rsidRDefault="00A74FE9" w:rsidP="00A74FE9">
      <w:pPr>
        <w:spacing w:after="0" w:line="240" w:lineRule="auto"/>
        <w:jc w:val="both"/>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 xml:space="preserve">2.2.5. Výpočet vplyvov na dlhodobú udržateľnosť verejných financií </w:t>
      </w: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 xml:space="preserve">                                                                                                                                </w:t>
      </w:r>
      <w:r w:rsidRPr="00FC76FE">
        <w:rPr>
          <w:rFonts w:ascii="Times New Roman" w:eastAsia="Times New Roman" w:hAnsi="Times New Roman" w:cs="Times New Roman"/>
          <w:sz w:val="24"/>
          <w:szCs w:val="24"/>
          <w:lang w:eastAsia="sk-SK"/>
        </w:rPr>
        <w:tab/>
      </w:r>
      <w:r w:rsidRPr="00FC76FE">
        <w:rPr>
          <w:rFonts w:ascii="Times New Roman" w:eastAsia="Times New Roman" w:hAnsi="Times New Roman" w:cs="Times New Roman"/>
          <w:sz w:val="24"/>
          <w:szCs w:val="24"/>
          <w:lang w:eastAsia="sk-SK"/>
        </w:rPr>
        <w:tab/>
      </w:r>
      <w:r w:rsidRPr="00FC76FE">
        <w:rPr>
          <w:rFonts w:ascii="Times New Roman" w:eastAsia="Times New Roman" w:hAnsi="Times New Roman" w:cs="Times New Roman"/>
          <w:sz w:val="24"/>
          <w:szCs w:val="24"/>
          <w:lang w:eastAsia="sk-SK"/>
        </w:rPr>
        <w:tab/>
      </w:r>
      <w:r w:rsidRPr="00FC76FE">
        <w:rPr>
          <w:rFonts w:ascii="Times New Roman" w:eastAsia="Times New Roman" w:hAnsi="Times New Roman" w:cs="Times New Roman"/>
          <w:sz w:val="24"/>
          <w:szCs w:val="24"/>
          <w:lang w:eastAsia="sk-SK"/>
        </w:rPr>
        <w:tab/>
      </w:r>
      <w:r w:rsidRPr="00FC76FE">
        <w:rPr>
          <w:rFonts w:ascii="Times New Roman" w:eastAsia="Times New Roman" w:hAnsi="Times New Roman" w:cs="Times New Roman"/>
          <w:sz w:val="24"/>
          <w:szCs w:val="24"/>
          <w:lang w:eastAsia="sk-SK"/>
        </w:rPr>
        <w:tab/>
      </w:r>
      <w:r w:rsidRPr="00FC76FE">
        <w:rPr>
          <w:rFonts w:ascii="Times New Roman" w:eastAsia="Times New Roman" w:hAnsi="Times New Roman" w:cs="Times New Roman"/>
          <w:sz w:val="24"/>
          <w:szCs w:val="24"/>
          <w:lang w:eastAsia="sk-SK"/>
        </w:rPr>
        <w:tab/>
      </w:r>
      <w:r w:rsidRPr="00FC76FE">
        <w:rPr>
          <w:rFonts w:ascii="Times New Roman" w:eastAsia="Times New Roman" w:hAnsi="Times New Roman" w:cs="Times New Roman"/>
          <w:sz w:val="24"/>
          <w:szCs w:val="24"/>
          <w:lang w:eastAsia="sk-SK"/>
        </w:rPr>
        <w:tab/>
      </w:r>
      <w:r w:rsidRPr="00FC76FE">
        <w:rPr>
          <w:rFonts w:ascii="Times New Roman" w:eastAsia="Times New Roman" w:hAnsi="Times New Roman" w:cs="Times New Roman"/>
          <w:sz w:val="24"/>
          <w:szCs w:val="24"/>
          <w:lang w:eastAsia="sk-SK"/>
        </w:rPr>
        <w:tab/>
      </w:r>
    </w:p>
    <w:p w:rsidR="00A74FE9" w:rsidRPr="00FC76FE" w:rsidRDefault="00A74FE9" w:rsidP="00A74FE9">
      <w:pPr>
        <w:spacing w:after="0" w:line="240" w:lineRule="auto"/>
        <w:jc w:val="both"/>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74FE9" w:rsidRPr="00FC76FE" w:rsidTr="00A74FE9">
        <w:trPr>
          <w:trHeight w:val="284"/>
        </w:trPr>
        <w:tc>
          <w:tcPr>
            <w:tcW w:w="2943" w:type="dxa"/>
            <w:vMerge w:val="restart"/>
            <w:shd w:val="clear" w:color="auto" w:fill="BFBFBF" w:themeFill="background1" w:themeFillShade="BF"/>
            <w:vAlign w:val="center"/>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Poznámka</w:t>
            </w:r>
          </w:p>
        </w:tc>
      </w:tr>
      <w:tr w:rsidR="00A74FE9" w:rsidRPr="00FC76FE" w:rsidTr="00A74FE9">
        <w:trPr>
          <w:trHeight w:val="284"/>
        </w:trPr>
        <w:tc>
          <w:tcPr>
            <w:tcW w:w="2943" w:type="dxa"/>
            <w:vMerge/>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FC76FE" w:rsidTr="00A74FE9">
        <w:trPr>
          <w:trHeight w:val="284"/>
        </w:trPr>
        <w:tc>
          <w:tcPr>
            <w:tcW w:w="2943" w:type="dxa"/>
            <w:shd w:val="clear" w:color="auto" w:fill="auto"/>
            <w:vAlign w:val="bottom"/>
          </w:tcPr>
          <w:p w:rsidR="00A74FE9" w:rsidRPr="00FC76FE"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Vplyv na výdavky v p. b. HDP</w:t>
            </w:r>
          </w:p>
        </w:tc>
        <w:tc>
          <w:tcPr>
            <w:tcW w:w="1447"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FC76FE" w:rsidTr="00A74FE9">
        <w:trPr>
          <w:trHeight w:val="284"/>
        </w:trPr>
        <w:tc>
          <w:tcPr>
            <w:tcW w:w="2943" w:type="dxa"/>
            <w:shd w:val="clear" w:color="auto" w:fill="auto"/>
          </w:tcPr>
          <w:p w:rsidR="00A74FE9" w:rsidRPr="00FC76FE"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Vplyv na príjmy v p. b. HDP</w:t>
            </w:r>
          </w:p>
        </w:tc>
        <w:tc>
          <w:tcPr>
            <w:tcW w:w="1447"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FC76FE" w:rsidTr="00A74FE9">
        <w:trPr>
          <w:trHeight w:val="284"/>
        </w:trPr>
        <w:tc>
          <w:tcPr>
            <w:tcW w:w="2943" w:type="dxa"/>
            <w:shd w:val="clear" w:color="auto" w:fill="auto"/>
          </w:tcPr>
          <w:p w:rsidR="00A74FE9" w:rsidRPr="00FC76FE"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Vplyv na bilanciu  v p. b. HDP</w:t>
            </w:r>
          </w:p>
        </w:tc>
        <w:tc>
          <w:tcPr>
            <w:tcW w:w="1447"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FC76FE"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
          <w:sz w:val="24"/>
          <w:szCs w:val="24"/>
          <w:lang w:eastAsia="sk-SK"/>
        </w:rPr>
      </w:pPr>
      <w:r w:rsidRPr="00FC76FE">
        <w:rPr>
          <w:rFonts w:ascii="Times New Roman" w:eastAsia="Times New Roman" w:hAnsi="Times New Roman" w:cs="Times New Roman"/>
          <w:b/>
          <w:sz w:val="24"/>
          <w:szCs w:val="24"/>
          <w:lang w:eastAsia="sk-SK"/>
        </w:rPr>
        <w:t xml:space="preserve">Poznámka: </w:t>
      </w:r>
    </w:p>
    <w:p w:rsidR="00A74FE9" w:rsidRDefault="00A74FE9" w:rsidP="00A74FE9">
      <w:pPr>
        <w:spacing w:after="0" w:line="240" w:lineRule="auto"/>
        <w:rPr>
          <w:rFonts w:ascii="Times New Roman" w:eastAsia="Times New Roman" w:hAnsi="Times New Roman" w:cs="Times New Roman"/>
          <w:sz w:val="24"/>
          <w:szCs w:val="24"/>
          <w:lang w:eastAsia="sk-SK"/>
        </w:rPr>
        <w:sectPr w:rsidR="00A74FE9" w:rsidSect="001733E1">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418" w:left="1276" w:header="709" w:footer="709" w:gutter="0"/>
          <w:cols w:space="708"/>
          <w:docGrid w:linePitch="360"/>
        </w:sectPr>
      </w:pPr>
      <w:r w:rsidRPr="00FC76FE">
        <w:rPr>
          <w:rFonts w:ascii="Times New Roman" w:eastAsia="Times New Roman" w:hAnsi="Times New Roman" w:cs="Times New Roman"/>
          <w:sz w:val="24"/>
          <w:szCs w:val="24"/>
          <w:lang w:eastAsia="sk-SK"/>
        </w:rPr>
        <w:t>Písmeno „d“ označuj</w:t>
      </w:r>
      <w:r>
        <w:rPr>
          <w:rFonts w:ascii="Times New Roman" w:eastAsia="Times New Roman" w:hAnsi="Times New Roman" w:cs="Times New Roman"/>
          <w:sz w:val="24"/>
          <w:szCs w:val="24"/>
          <w:lang w:eastAsia="sk-SK"/>
        </w:rPr>
        <w:t>e prvý rok nasledujúcej dekády</w:t>
      </w:r>
    </w:p>
    <w:p w:rsidR="00A74FE9" w:rsidRDefault="00A74FE9" w:rsidP="00A74FE9">
      <w:pPr>
        <w:spacing w:after="0"/>
        <w:rPr>
          <w:rFonts w:ascii="Times New Roman" w:eastAsia="Times New Roman" w:hAnsi="Times New Roman" w:cs="Times New Roman"/>
          <w:sz w:val="24"/>
          <w:szCs w:val="24"/>
          <w:lang w:eastAsia="sk-SK"/>
        </w:rPr>
      </w:pP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(Zákon o dani z príjmu)</w:t>
      </w:r>
    </w:p>
    <w:p w:rsidR="00A74FE9" w:rsidRPr="00212894"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212894" w:rsidRDefault="00A74FE9" w:rsidP="00A74FE9">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A74FE9" w:rsidRDefault="00A74FE9" w:rsidP="00A74FE9">
      <w:pPr>
        <w:spacing w:after="0" w:line="240" w:lineRule="auto"/>
        <w:jc w:val="right"/>
        <w:rPr>
          <w:rFonts w:ascii="Times New Roman" w:eastAsia="Times New Roman" w:hAnsi="Times New Roman" w:cs="Times New Roman"/>
          <w:sz w:val="20"/>
          <w:szCs w:val="20"/>
          <w:lang w:eastAsia="sk-SK"/>
        </w:rPr>
      </w:pPr>
    </w:p>
    <w:p w:rsidR="00A74FE9" w:rsidRPr="007D5748" w:rsidRDefault="00A74FE9" w:rsidP="00A74FE9">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923" w:type="dxa"/>
        <w:tblInd w:w="-10" w:type="dxa"/>
        <w:tblCellMar>
          <w:left w:w="70" w:type="dxa"/>
          <w:right w:w="70" w:type="dxa"/>
        </w:tblCellMar>
        <w:tblLook w:val="04A0" w:firstRow="1" w:lastRow="0" w:firstColumn="1" w:lastColumn="0" w:noHBand="0" w:noVBand="1"/>
      </w:tblPr>
      <w:tblGrid>
        <w:gridCol w:w="4700"/>
        <w:gridCol w:w="970"/>
        <w:gridCol w:w="1418"/>
        <w:gridCol w:w="1417"/>
        <w:gridCol w:w="1418"/>
      </w:tblGrid>
      <w:tr w:rsidR="00A74FE9" w:rsidRPr="0052263E"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52263E"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Vplyvy na rozpočet verejnej správy</w:t>
            </w:r>
          </w:p>
        </w:tc>
        <w:tc>
          <w:tcPr>
            <w:tcW w:w="5223"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52263E"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szCs w:val="24"/>
                <w:lang w:eastAsia="sk-SK"/>
              </w:rPr>
              <w:t>Vplyv na rozpočet verejnej správy (v eurách)</w:t>
            </w:r>
          </w:p>
        </w:tc>
      </w:tr>
      <w:tr w:rsidR="00A74FE9" w:rsidRPr="0052263E"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970" w:type="dxa"/>
            <w:tcBorders>
              <w:top w:val="nil"/>
              <w:left w:val="nil"/>
              <w:bottom w:val="single" w:sz="8" w:space="0" w:color="auto"/>
              <w:right w:val="single" w:sz="8" w:space="0" w:color="auto"/>
            </w:tcBorders>
            <w:shd w:val="clear" w:color="000000" w:fill="BFBFBF"/>
            <w:vAlign w:val="center"/>
            <w:hideMark/>
          </w:tcPr>
          <w:p w:rsidR="00A74FE9" w:rsidRPr="0052263E"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2023</w:t>
            </w:r>
          </w:p>
        </w:tc>
        <w:tc>
          <w:tcPr>
            <w:tcW w:w="1418" w:type="dxa"/>
            <w:tcBorders>
              <w:top w:val="nil"/>
              <w:left w:val="nil"/>
              <w:bottom w:val="single" w:sz="8" w:space="0" w:color="auto"/>
              <w:right w:val="single" w:sz="8" w:space="0" w:color="auto"/>
            </w:tcBorders>
            <w:shd w:val="clear" w:color="000000" w:fill="BFBFBF"/>
            <w:vAlign w:val="center"/>
            <w:hideMark/>
          </w:tcPr>
          <w:p w:rsidR="00A74FE9" w:rsidRPr="0052263E"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2024</w:t>
            </w:r>
          </w:p>
        </w:tc>
        <w:tc>
          <w:tcPr>
            <w:tcW w:w="1417" w:type="dxa"/>
            <w:tcBorders>
              <w:top w:val="nil"/>
              <w:left w:val="nil"/>
              <w:bottom w:val="single" w:sz="8" w:space="0" w:color="auto"/>
              <w:right w:val="single" w:sz="8" w:space="0" w:color="auto"/>
            </w:tcBorders>
            <w:shd w:val="clear" w:color="000000" w:fill="BFBFBF"/>
            <w:vAlign w:val="center"/>
            <w:hideMark/>
          </w:tcPr>
          <w:p w:rsidR="00A74FE9" w:rsidRPr="0052263E"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2025</w:t>
            </w:r>
          </w:p>
        </w:tc>
        <w:tc>
          <w:tcPr>
            <w:tcW w:w="1418" w:type="dxa"/>
            <w:tcBorders>
              <w:top w:val="nil"/>
              <w:left w:val="nil"/>
              <w:bottom w:val="single" w:sz="8" w:space="0" w:color="auto"/>
              <w:right w:val="single" w:sz="8" w:space="0" w:color="auto"/>
            </w:tcBorders>
            <w:shd w:val="clear" w:color="000000" w:fill="BFBFBF"/>
            <w:vAlign w:val="center"/>
            <w:hideMark/>
          </w:tcPr>
          <w:p w:rsidR="00A74FE9" w:rsidRPr="0052263E"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2026</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Príjmy verejnej správy celkom</w:t>
            </w:r>
          </w:p>
        </w:tc>
        <w:tc>
          <w:tcPr>
            <w:tcW w:w="970" w:type="dxa"/>
            <w:tcBorders>
              <w:top w:val="nil"/>
              <w:left w:val="nil"/>
              <w:bottom w:val="single" w:sz="8" w:space="0" w:color="auto"/>
              <w:right w:val="single" w:sz="8" w:space="0" w:color="auto"/>
            </w:tcBorders>
            <w:shd w:val="clear" w:color="000000" w:fill="C0C0C0"/>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C0C0C0"/>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140 763</w:t>
            </w:r>
            <w:r w:rsidRPr="0052263E">
              <w:rPr>
                <w:rFonts w:ascii="Times New Roman" w:eastAsia="Times New Roman" w:hAnsi="Times New Roman" w:cs="Times New Roman"/>
                <w:b/>
                <w:bCs/>
                <w:color w:val="000000"/>
                <w:sz w:val="24"/>
                <w:szCs w:val="24"/>
                <w:lang w:eastAsia="sk-SK"/>
              </w:rPr>
              <w:t xml:space="preserve"> 000</w:t>
            </w:r>
          </w:p>
        </w:tc>
        <w:tc>
          <w:tcPr>
            <w:tcW w:w="1417" w:type="dxa"/>
            <w:tcBorders>
              <w:top w:val="nil"/>
              <w:left w:val="nil"/>
              <w:bottom w:val="single" w:sz="8" w:space="0" w:color="auto"/>
              <w:right w:val="single" w:sz="8" w:space="0" w:color="auto"/>
            </w:tcBorders>
            <w:shd w:val="clear" w:color="000000" w:fill="C0C0C0"/>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B13063">
              <w:rPr>
                <w:rFonts w:ascii="Times New Roman" w:eastAsia="Times New Roman" w:hAnsi="Times New Roman" w:cs="Times New Roman"/>
                <w:b/>
                <w:bCs/>
                <w:color w:val="000000"/>
                <w:sz w:val="24"/>
                <w:szCs w:val="24"/>
                <w:lang w:eastAsia="sk-SK"/>
              </w:rPr>
              <w:t>129 100 000</w:t>
            </w:r>
          </w:p>
        </w:tc>
        <w:tc>
          <w:tcPr>
            <w:tcW w:w="1418" w:type="dxa"/>
            <w:tcBorders>
              <w:top w:val="nil"/>
              <w:left w:val="nil"/>
              <w:bottom w:val="single" w:sz="8" w:space="0" w:color="auto"/>
              <w:right w:val="single" w:sz="8" w:space="0" w:color="auto"/>
            </w:tcBorders>
            <w:shd w:val="clear" w:color="000000" w:fill="C0C0C0"/>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B13063">
              <w:rPr>
                <w:rFonts w:ascii="Times New Roman" w:eastAsia="Times New Roman" w:hAnsi="Times New Roman" w:cs="Times New Roman"/>
                <w:b/>
                <w:bCs/>
                <w:color w:val="000000"/>
                <w:sz w:val="24"/>
                <w:szCs w:val="24"/>
                <w:lang w:eastAsia="sk-SK"/>
              </w:rPr>
              <w:t>134 263 000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xml:space="preserve">z toho:  </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ŠR</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136 763</w:t>
            </w:r>
            <w:r w:rsidRPr="0052263E">
              <w:rPr>
                <w:rFonts w:ascii="Times New Roman" w:eastAsia="Times New Roman" w:hAnsi="Times New Roman" w:cs="Times New Roman"/>
                <w:b/>
                <w:bCs/>
                <w:color w:val="000000"/>
                <w:sz w:val="24"/>
                <w:szCs w:val="24"/>
                <w:lang w:eastAsia="sk-SK"/>
              </w:rPr>
              <w:t xml:space="preserve"> 000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B13063">
              <w:rPr>
                <w:rFonts w:ascii="Times New Roman" w:eastAsia="Times New Roman" w:hAnsi="Times New Roman" w:cs="Times New Roman"/>
                <w:b/>
                <w:bCs/>
                <w:color w:val="000000"/>
                <w:sz w:val="24"/>
                <w:szCs w:val="24"/>
                <w:lang w:eastAsia="sk-SK"/>
              </w:rPr>
              <w:t>113 592 000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B13063">
              <w:rPr>
                <w:rFonts w:ascii="Times New Roman" w:eastAsia="Times New Roman" w:hAnsi="Times New Roman" w:cs="Times New Roman"/>
                <w:b/>
                <w:bCs/>
                <w:color w:val="000000"/>
                <w:sz w:val="24"/>
                <w:szCs w:val="24"/>
                <w:lang w:eastAsia="sk-SK"/>
              </w:rPr>
              <w:t>118 795 000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Rozpočtové prostriedky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136 763</w:t>
            </w:r>
            <w:r w:rsidRPr="0052263E">
              <w:rPr>
                <w:rFonts w:ascii="Times New Roman" w:eastAsia="Times New Roman" w:hAnsi="Times New Roman" w:cs="Times New Roman"/>
                <w:b/>
                <w:bCs/>
                <w:color w:val="000000"/>
                <w:sz w:val="24"/>
                <w:szCs w:val="24"/>
                <w:lang w:eastAsia="sk-SK"/>
              </w:rPr>
              <w:t xml:space="preserve"> 000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B13063">
              <w:rPr>
                <w:rFonts w:ascii="Times New Roman" w:eastAsia="Times New Roman" w:hAnsi="Times New Roman" w:cs="Times New Roman"/>
                <w:b/>
                <w:bCs/>
                <w:color w:val="000000"/>
                <w:sz w:val="24"/>
                <w:szCs w:val="24"/>
                <w:lang w:eastAsia="sk-SK"/>
              </w:rPr>
              <w:t>113 592 000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B13063">
              <w:rPr>
                <w:rFonts w:ascii="Times New Roman" w:eastAsia="Times New Roman" w:hAnsi="Times New Roman" w:cs="Times New Roman"/>
                <w:b/>
                <w:bCs/>
                <w:color w:val="000000"/>
                <w:sz w:val="24"/>
                <w:szCs w:val="24"/>
                <w:lang w:eastAsia="sk-SK"/>
              </w:rPr>
              <w:t>118 795 000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 xml:space="preserve">v tom: (111) daň z príjmov fyzických osôb </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11 508 000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-40 000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-43 000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v tom: (112) daň z príjmov právnických osôb</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102 892</w:t>
            </w:r>
            <w:r w:rsidRPr="0052263E">
              <w:rPr>
                <w:rFonts w:ascii="Times New Roman" w:eastAsia="Times New Roman" w:hAnsi="Times New Roman" w:cs="Times New Roman"/>
                <w:color w:val="000000"/>
                <w:sz w:val="24"/>
                <w:szCs w:val="24"/>
                <w:lang w:eastAsia="sk-SK"/>
              </w:rPr>
              <w:t xml:space="preserve"> 000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B13063">
              <w:rPr>
                <w:rFonts w:ascii="Times New Roman" w:eastAsia="Times New Roman" w:hAnsi="Times New Roman" w:cs="Times New Roman"/>
                <w:color w:val="000000"/>
                <w:sz w:val="24"/>
                <w:szCs w:val="24"/>
                <w:lang w:eastAsia="sk-SK"/>
              </w:rPr>
              <w:t>86 732 000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B13063">
              <w:rPr>
                <w:rFonts w:ascii="Times New Roman" w:eastAsia="Times New Roman" w:hAnsi="Times New Roman" w:cs="Times New Roman"/>
                <w:color w:val="000000"/>
                <w:sz w:val="24"/>
                <w:szCs w:val="24"/>
                <w:lang w:eastAsia="sk-SK"/>
              </w:rPr>
              <w:t>86 575 000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v tom: (113) daň z príjmov vyberaná zrážkou</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22 363 000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26 900 000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32 263 000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EÚ zdroje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obce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8 055 600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8 027 600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v tom: (111) daň z príjmov fyzických osôb</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8 055 600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8 027 600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vyššie územné celky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3 452 400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3 440 400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v tom: (111) daň z príjmov fyzických osôb</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3 452 400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3 440 400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xml:space="preserve"> - vplyv na zdravotné poisťovne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4 000 000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4 000 000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4 000 000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v tom: (154) poistné</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4 000 000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4 000 000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ostatné subjekty verejnej správy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Výdavky verejnej správy celkom</w:t>
            </w:r>
          </w:p>
        </w:tc>
        <w:tc>
          <w:tcPr>
            <w:tcW w:w="970" w:type="dxa"/>
            <w:tcBorders>
              <w:top w:val="nil"/>
              <w:left w:val="nil"/>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v tom: za každý subjekt verejnej správy / program zvlášť</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xml:space="preserve">z toho: </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ŠR</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Rozpočtové prostriedky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 xml:space="preserve">    EÚ zdroje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i/>
                <w:iCs/>
                <w:color w:val="000000"/>
                <w:sz w:val="24"/>
                <w:szCs w:val="24"/>
                <w:lang w:eastAsia="sk-SK"/>
              </w:rPr>
            </w:pPr>
            <w:r w:rsidRPr="0052263E">
              <w:rPr>
                <w:rFonts w:ascii="Times New Roman" w:eastAsia="Times New Roman" w:hAnsi="Times New Roman" w:cs="Times New Roman"/>
                <w:i/>
                <w:iCs/>
                <w:color w:val="000000"/>
                <w:sz w:val="24"/>
                <w:szCs w:val="24"/>
                <w:lang w:eastAsia="sk-SK"/>
              </w:rPr>
              <w:t xml:space="preserve">    spolufinancovanie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obce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vyššie územné celky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ostatné subjekty verejnej správy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 xml:space="preserve">Vplyv na počet zamestnancov </w:t>
            </w:r>
          </w:p>
        </w:tc>
        <w:tc>
          <w:tcPr>
            <w:tcW w:w="970"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ŠR</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obce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vyššie územné celky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lastRenderedPageBreak/>
              <w:t>- vplyv na ostatné subjekty verejnej správy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Vplyv na mzdové výdavky</w:t>
            </w:r>
          </w:p>
        </w:tc>
        <w:tc>
          <w:tcPr>
            <w:tcW w:w="970"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ŠR</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obce</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vyššie územné celky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b/>
                <w:bCs/>
                <w:i/>
                <w:iCs/>
                <w:color w:val="000000"/>
                <w:sz w:val="24"/>
                <w:szCs w:val="24"/>
                <w:lang w:eastAsia="sk-SK"/>
              </w:rPr>
            </w:pPr>
            <w:r w:rsidRPr="0052263E">
              <w:rPr>
                <w:rFonts w:ascii="Times New Roman" w:eastAsia="Times New Roman" w:hAnsi="Times New Roman" w:cs="Times New Roman"/>
                <w:b/>
                <w:bCs/>
                <w:i/>
                <w:iCs/>
                <w:color w:val="000000"/>
                <w:sz w:val="24"/>
                <w:szCs w:val="24"/>
                <w:lang w:eastAsia="sk-SK"/>
              </w:rPr>
              <w:t>- vplyv na ostatné subjekty verejnej správy</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Financovanie zabezpečené v rozpočte</w:t>
            </w:r>
          </w:p>
        </w:tc>
        <w:tc>
          <w:tcPr>
            <w:tcW w:w="970" w:type="dxa"/>
            <w:tcBorders>
              <w:top w:val="nil"/>
              <w:left w:val="nil"/>
              <w:bottom w:val="single" w:sz="8" w:space="0" w:color="auto"/>
              <w:right w:val="single" w:sz="8" w:space="0" w:color="auto"/>
            </w:tcBorders>
            <w:shd w:val="clear" w:color="000000" w:fill="C0C0C0"/>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C0C0C0"/>
            <w:noWrap/>
            <w:vAlign w:val="center"/>
          </w:tcPr>
          <w:p w:rsidR="00A74FE9" w:rsidRPr="002A7560"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000000" w:fill="C0C0C0"/>
            <w:noWrap/>
            <w:vAlign w:val="center"/>
          </w:tcPr>
          <w:p w:rsidR="00A74FE9" w:rsidRPr="002A7560"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C0C0C0"/>
            <w:noWrap/>
            <w:vAlign w:val="center"/>
          </w:tcPr>
          <w:p w:rsidR="00A74FE9" w:rsidRPr="002A7560"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v tom: za každý subjekt verejnej správy / program zvlášť</w:t>
            </w:r>
          </w:p>
        </w:tc>
        <w:tc>
          <w:tcPr>
            <w:tcW w:w="970" w:type="dxa"/>
            <w:tcBorders>
              <w:top w:val="nil"/>
              <w:left w:val="nil"/>
              <w:bottom w:val="single" w:sz="8" w:space="0" w:color="auto"/>
              <w:right w:val="single" w:sz="8" w:space="0" w:color="auto"/>
            </w:tcBorders>
            <w:shd w:val="clear" w:color="auto" w:fill="auto"/>
            <w:noWrap/>
            <w:vAlign w:val="center"/>
            <w:hideMark/>
          </w:tcPr>
          <w:p w:rsidR="00A74FE9" w:rsidRPr="0052263E"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52263E">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2A7560"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A7560">
              <w:rPr>
                <w:rFonts w:ascii="Times New Roman" w:eastAsia="Times New Roman" w:hAnsi="Times New Roman" w:cs="Times New Roman"/>
                <w:color w:val="000000"/>
                <w:sz w:val="24"/>
                <w:szCs w:val="24"/>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rsidR="00A74FE9" w:rsidRPr="002A7560"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A7560">
              <w:rPr>
                <w:rFonts w:ascii="Times New Roman" w:eastAsia="Times New Roman" w:hAnsi="Times New Roman" w:cs="Times New Roman"/>
                <w:color w:val="000000"/>
                <w:sz w:val="24"/>
                <w:szCs w:val="24"/>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2A7560"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A7560">
              <w:rPr>
                <w:rFonts w:ascii="Times New Roman" w:eastAsia="Times New Roman" w:hAnsi="Times New Roman" w:cs="Times New Roman"/>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Iné ako rozpočtové zdroje</w:t>
            </w:r>
          </w:p>
        </w:tc>
        <w:tc>
          <w:tcPr>
            <w:tcW w:w="970" w:type="dxa"/>
            <w:tcBorders>
              <w:top w:val="nil"/>
              <w:left w:val="nil"/>
              <w:bottom w:val="single" w:sz="8" w:space="0" w:color="auto"/>
              <w:right w:val="single" w:sz="8" w:space="0" w:color="auto"/>
            </w:tcBorders>
            <w:shd w:val="clear" w:color="000000" w:fill="BFBFBF"/>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2A7560"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A7560">
              <w:rPr>
                <w:rFonts w:ascii="Times New Roman" w:eastAsia="Times New Roman" w:hAnsi="Times New Roman" w:cs="Times New Roman"/>
                <w:b/>
                <w:bCs/>
                <w:color w:val="000000"/>
                <w:sz w:val="24"/>
                <w:szCs w:val="24"/>
                <w:lang w:eastAsia="sk-SK"/>
              </w:rPr>
              <w:t>0</w:t>
            </w:r>
          </w:p>
        </w:tc>
        <w:tc>
          <w:tcPr>
            <w:tcW w:w="1417" w:type="dxa"/>
            <w:tcBorders>
              <w:top w:val="nil"/>
              <w:left w:val="nil"/>
              <w:bottom w:val="single" w:sz="8" w:space="0" w:color="auto"/>
              <w:right w:val="single" w:sz="8" w:space="0" w:color="auto"/>
            </w:tcBorders>
            <w:shd w:val="clear" w:color="000000" w:fill="BFBFBF"/>
            <w:noWrap/>
            <w:vAlign w:val="center"/>
            <w:hideMark/>
          </w:tcPr>
          <w:p w:rsidR="00A74FE9" w:rsidRPr="002A7560"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A7560">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2A7560"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A7560">
              <w:rPr>
                <w:rFonts w:ascii="Times New Roman" w:eastAsia="Times New Roman" w:hAnsi="Times New Roman" w:cs="Times New Roman"/>
                <w:b/>
                <w:bCs/>
                <w:color w:val="000000"/>
                <w:sz w:val="24"/>
                <w:szCs w:val="24"/>
                <w:lang w:eastAsia="sk-SK"/>
              </w:rPr>
              <w:t>0</w:t>
            </w:r>
          </w:p>
        </w:tc>
      </w:tr>
      <w:tr w:rsidR="00A74FE9" w:rsidRPr="0052263E" w:rsidTr="00A74FE9">
        <w:trPr>
          <w:trHeight w:val="330"/>
        </w:trPr>
        <w:tc>
          <w:tcPr>
            <w:tcW w:w="4700" w:type="dxa"/>
            <w:tcBorders>
              <w:top w:val="nil"/>
              <w:left w:val="single" w:sz="8" w:space="0" w:color="auto"/>
              <w:bottom w:val="single" w:sz="8" w:space="0" w:color="auto"/>
              <w:right w:val="single" w:sz="8" w:space="0" w:color="auto"/>
            </w:tcBorders>
            <w:shd w:val="clear" w:color="000000" w:fill="A6A6A6"/>
            <w:noWrap/>
            <w:vAlign w:val="center"/>
            <w:hideMark/>
          </w:tcPr>
          <w:p w:rsidR="00A74FE9" w:rsidRPr="0052263E" w:rsidRDefault="00A74FE9" w:rsidP="00A74FE9">
            <w:pPr>
              <w:spacing w:after="0" w:line="240" w:lineRule="auto"/>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Rozpočtovo nekrytý vplyv / úspora</w:t>
            </w:r>
          </w:p>
        </w:tc>
        <w:tc>
          <w:tcPr>
            <w:tcW w:w="970" w:type="dxa"/>
            <w:tcBorders>
              <w:top w:val="nil"/>
              <w:left w:val="nil"/>
              <w:bottom w:val="single" w:sz="8" w:space="0" w:color="auto"/>
              <w:right w:val="single" w:sz="8" w:space="0" w:color="auto"/>
            </w:tcBorders>
            <w:shd w:val="clear" w:color="000000" w:fill="A6A6A6"/>
            <w:noWrap/>
            <w:vAlign w:val="center"/>
            <w:hideMark/>
          </w:tcPr>
          <w:p w:rsidR="00A74FE9" w:rsidRPr="0052263E"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52263E">
              <w:rPr>
                <w:rFonts w:ascii="Times New Roman" w:eastAsia="Times New Roman" w:hAnsi="Times New Roman" w:cs="Times New Roman"/>
                <w:b/>
                <w:bCs/>
                <w:color w:val="000000"/>
                <w:sz w:val="24"/>
                <w:szCs w:val="24"/>
                <w:lang w:eastAsia="sk-SK"/>
              </w:rPr>
              <w:t>0</w:t>
            </w:r>
          </w:p>
        </w:tc>
        <w:tc>
          <w:tcPr>
            <w:tcW w:w="1418" w:type="dxa"/>
            <w:tcBorders>
              <w:top w:val="nil"/>
              <w:left w:val="nil"/>
              <w:bottom w:val="single" w:sz="8" w:space="0" w:color="auto"/>
              <w:right w:val="single" w:sz="8" w:space="0" w:color="auto"/>
            </w:tcBorders>
            <w:shd w:val="clear" w:color="000000" w:fill="A6A6A6"/>
            <w:noWrap/>
            <w:vAlign w:val="center"/>
          </w:tcPr>
          <w:p w:rsidR="00A74FE9" w:rsidRPr="002A7560" w:rsidRDefault="00A74FE9" w:rsidP="00A74FE9">
            <w:pPr>
              <w:spacing w:after="0" w:line="240" w:lineRule="auto"/>
              <w:jc w:val="right"/>
              <w:rPr>
                <w:rFonts w:ascii="Times New Roman" w:eastAsia="Times New Roman" w:hAnsi="Times New Roman" w:cs="Times New Roman"/>
                <w:b/>
                <w:bCs/>
                <w:color w:val="000000"/>
                <w:szCs w:val="24"/>
                <w:lang w:eastAsia="sk-SK"/>
              </w:rPr>
            </w:pPr>
            <w:r>
              <w:rPr>
                <w:rFonts w:ascii="Times New Roman" w:eastAsia="Times New Roman" w:hAnsi="Times New Roman" w:cs="Times New Roman"/>
                <w:b/>
                <w:bCs/>
                <w:color w:val="000000"/>
                <w:szCs w:val="24"/>
                <w:lang w:eastAsia="sk-SK"/>
              </w:rPr>
              <w:t>0</w:t>
            </w:r>
          </w:p>
        </w:tc>
        <w:tc>
          <w:tcPr>
            <w:tcW w:w="1417" w:type="dxa"/>
            <w:tcBorders>
              <w:top w:val="nil"/>
              <w:left w:val="nil"/>
              <w:bottom w:val="single" w:sz="8" w:space="0" w:color="auto"/>
              <w:right w:val="single" w:sz="8" w:space="0" w:color="auto"/>
            </w:tcBorders>
            <w:shd w:val="clear" w:color="000000" w:fill="A6A6A6"/>
            <w:noWrap/>
            <w:vAlign w:val="center"/>
          </w:tcPr>
          <w:p w:rsidR="00A74FE9" w:rsidRPr="002A7560" w:rsidRDefault="00A74FE9" w:rsidP="00A74FE9">
            <w:pPr>
              <w:spacing w:after="0" w:line="240" w:lineRule="auto"/>
              <w:jc w:val="right"/>
              <w:rPr>
                <w:rFonts w:ascii="Times New Roman" w:eastAsia="Times New Roman" w:hAnsi="Times New Roman" w:cs="Times New Roman"/>
                <w:b/>
                <w:bCs/>
                <w:color w:val="000000"/>
                <w:szCs w:val="24"/>
                <w:lang w:eastAsia="sk-SK"/>
              </w:rPr>
            </w:pPr>
            <w:r>
              <w:rPr>
                <w:rFonts w:ascii="Times New Roman" w:eastAsia="Times New Roman" w:hAnsi="Times New Roman" w:cs="Times New Roman"/>
                <w:b/>
                <w:bCs/>
                <w:color w:val="000000"/>
                <w:szCs w:val="24"/>
                <w:lang w:eastAsia="sk-SK"/>
              </w:rPr>
              <w:t>0</w:t>
            </w:r>
          </w:p>
        </w:tc>
        <w:tc>
          <w:tcPr>
            <w:tcW w:w="1418" w:type="dxa"/>
            <w:tcBorders>
              <w:top w:val="nil"/>
              <w:left w:val="nil"/>
              <w:bottom w:val="single" w:sz="8" w:space="0" w:color="auto"/>
              <w:right w:val="single" w:sz="8" w:space="0" w:color="auto"/>
            </w:tcBorders>
            <w:shd w:val="clear" w:color="000000" w:fill="A6A6A6"/>
            <w:noWrap/>
            <w:vAlign w:val="center"/>
          </w:tcPr>
          <w:p w:rsidR="00A74FE9" w:rsidRPr="002A7560" w:rsidRDefault="00A74FE9" w:rsidP="00A74FE9">
            <w:pPr>
              <w:spacing w:after="0" w:line="240" w:lineRule="auto"/>
              <w:jc w:val="right"/>
              <w:rPr>
                <w:rFonts w:ascii="Times New Roman" w:eastAsia="Times New Roman" w:hAnsi="Times New Roman" w:cs="Times New Roman"/>
                <w:b/>
                <w:bCs/>
                <w:color w:val="000000"/>
                <w:szCs w:val="24"/>
                <w:lang w:eastAsia="sk-SK"/>
              </w:rPr>
            </w:pPr>
            <w:r>
              <w:rPr>
                <w:rFonts w:ascii="Times New Roman" w:eastAsia="Times New Roman" w:hAnsi="Times New Roman" w:cs="Times New Roman"/>
                <w:b/>
                <w:bCs/>
                <w:color w:val="000000"/>
                <w:szCs w:val="24"/>
                <w:lang w:eastAsia="sk-SK"/>
              </w:rPr>
              <w:t>0</w:t>
            </w:r>
          </w:p>
        </w:tc>
      </w:tr>
    </w:tbl>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A74FE9" w:rsidRPr="007D5748"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961"/>
        <w:gridCol w:w="1399"/>
        <w:gridCol w:w="1397"/>
        <w:gridCol w:w="1394"/>
      </w:tblGrid>
      <w:tr w:rsidR="00A74FE9" w:rsidTr="00A74FE9">
        <w:trPr>
          <w:trHeight w:val="194"/>
          <w:jc w:val="center"/>
        </w:trPr>
        <w:tc>
          <w:tcPr>
            <w:tcW w:w="3911" w:type="dxa"/>
            <w:vMerge w:val="restart"/>
            <w:shd w:val="clear" w:color="auto" w:fill="BFBFBF" w:themeFill="background1" w:themeFillShade="BF"/>
            <w:vAlign w:val="center"/>
          </w:tcPr>
          <w:p w:rsidR="00A74FE9" w:rsidRDefault="00A74FE9" w:rsidP="00A74FE9">
            <w:pPr>
              <w:spacing w:after="0" w:line="240" w:lineRule="auto"/>
              <w:jc w:val="center"/>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 xml:space="preserve">Vplyvy na </w:t>
            </w:r>
            <w:r w:rsidRPr="00F1296D">
              <w:rPr>
                <w:rFonts w:ascii="Times New Roman" w:eastAsia="Times New Roman" w:hAnsi="Times New Roman" w:cs="Times New Roman"/>
                <w:b/>
                <w:bCs/>
                <w:szCs w:val="24"/>
                <w:lang w:eastAsia="sk-SK"/>
              </w:rPr>
              <w:t>rozpočet</w:t>
            </w:r>
            <w:r w:rsidRPr="61BD6446">
              <w:rPr>
                <w:rFonts w:ascii="Times New Roman" w:eastAsia="Times New Roman" w:hAnsi="Times New Roman" w:cs="Times New Roman"/>
                <w:b/>
                <w:bCs/>
                <w:sz w:val="24"/>
                <w:szCs w:val="24"/>
                <w:lang w:eastAsia="sk-SK"/>
              </w:rPr>
              <w:t xml:space="preserve"> verejnej správy</w:t>
            </w:r>
          </w:p>
        </w:tc>
        <w:tc>
          <w:tcPr>
            <w:tcW w:w="5151" w:type="dxa"/>
            <w:gridSpan w:val="4"/>
            <w:shd w:val="clear" w:color="auto" w:fill="BFBFBF" w:themeFill="background1" w:themeFillShade="BF"/>
            <w:vAlign w:val="center"/>
          </w:tcPr>
          <w:p w:rsidR="00A74FE9" w:rsidRDefault="00A74FE9" w:rsidP="00A74FE9">
            <w:pPr>
              <w:spacing w:after="0" w:line="240" w:lineRule="auto"/>
              <w:jc w:val="center"/>
              <w:rPr>
                <w:rFonts w:ascii="Times New Roman" w:eastAsia="Times New Roman" w:hAnsi="Times New Roman" w:cs="Times New Roman"/>
                <w:b/>
                <w:bCs/>
                <w:sz w:val="24"/>
                <w:szCs w:val="24"/>
                <w:lang w:eastAsia="sk-SK"/>
              </w:rPr>
            </w:pPr>
            <w:r w:rsidRPr="00F1296D">
              <w:rPr>
                <w:rFonts w:ascii="Times New Roman" w:eastAsia="Times New Roman" w:hAnsi="Times New Roman" w:cs="Times New Roman"/>
                <w:b/>
                <w:bCs/>
                <w:szCs w:val="24"/>
                <w:lang w:eastAsia="sk-SK"/>
              </w:rPr>
              <w:t>Vplyv na rozpočet verejnej správy (v eurách)</w:t>
            </w:r>
          </w:p>
        </w:tc>
      </w:tr>
      <w:tr w:rsidR="00A74FE9" w:rsidTr="00A74FE9">
        <w:trPr>
          <w:trHeight w:val="70"/>
          <w:jc w:val="center"/>
        </w:trPr>
        <w:tc>
          <w:tcPr>
            <w:tcW w:w="3911" w:type="dxa"/>
            <w:vMerge/>
          </w:tcPr>
          <w:p w:rsidR="00A74FE9" w:rsidRDefault="00A74FE9" w:rsidP="00A74FE9"/>
        </w:tc>
        <w:tc>
          <w:tcPr>
            <w:tcW w:w="961" w:type="dxa"/>
            <w:tcBorders>
              <w:top w:val="nil"/>
              <w:left w:val="nil"/>
              <w:bottom w:val="single" w:sz="8" w:space="0" w:color="auto"/>
              <w:right w:val="single" w:sz="8" w:space="0" w:color="auto"/>
            </w:tcBorders>
            <w:shd w:val="clear" w:color="auto" w:fill="BFBFBF" w:themeFill="background1" w:themeFillShade="BF"/>
            <w:vAlign w:val="center"/>
          </w:tcPr>
          <w:p w:rsidR="00A74FE9" w:rsidRPr="00F1296D" w:rsidRDefault="00A74FE9" w:rsidP="00A74FE9">
            <w:pPr>
              <w:spacing w:after="0"/>
              <w:jc w:val="center"/>
              <w:rPr>
                <w:rFonts w:ascii="Times New Roman" w:hAnsi="Times New Roman" w:cs="Times New Roman"/>
                <w:b/>
                <w:bCs/>
                <w:color w:val="000000" w:themeColor="text1"/>
              </w:rPr>
            </w:pPr>
            <w:r w:rsidRPr="00F1296D">
              <w:rPr>
                <w:rFonts w:ascii="Times New Roman" w:hAnsi="Times New Roman" w:cs="Times New Roman"/>
                <w:b/>
                <w:bCs/>
                <w:color w:val="000000" w:themeColor="text1"/>
              </w:rPr>
              <w:t>2023</w:t>
            </w:r>
          </w:p>
        </w:tc>
        <w:tc>
          <w:tcPr>
            <w:tcW w:w="1399" w:type="dxa"/>
            <w:tcBorders>
              <w:top w:val="nil"/>
              <w:left w:val="nil"/>
              <w:bottom w:val="single" w:sz="8" w:space="0" w:color="auto"/>
              <w:right w:val="single" w:sz="8" w:space="0" w:color="auto"/>
            </w:tcBorders>
            <w:shd w:val="clear" w:color="auto" w:fill="BFBFBF" w:themeFill="background1" w:themeFillShade="BF"/>
            <w:vAlign w:val="center"/>
          </w:tcPr>
          <w:p w:rsidR="00A74FE9" w:rsidRPr="00F1296D" w:rsidRDefault="00A74FE9" w:rsidP="00A74FE9">
            <w:pPr>
              <w:spacing w:after="0"/>
              <w:jc w:val="center"/>
              <w:rPr>
                <w:rFonts w:ascii="Times New Roman" w:hAnsi="Times New Roman" w:cs="Times New Roman"/>
                <w:b/>
                <w:bCs/>
                <w:color w:val="000000" w:themeColor="text1"/>
              </w:rPr>
            </w:pPr>
            <w:r w:rsidRPr="00F1296D">
              <w:rPr>
                <w:rFonts w:ascii="Times New Roman" w:hAnsi="Times New Roman" w:cs="Times New Roman"/>
                <w:b/>
                <w:bCs/>
                <w:color w:val="000000" w:themeColor="text1"/>
              </w:rPr>
              <w:t>2024</w:t>
            </w:r>
          </w:p>
        </w:tc>
        <w:tc>
          <w:tcPr>
            <w:tcW w:w="1397" w:type="dxa"/>
            <w:tcBorders>
              <w:top w:val="nil"/>
              <w:left w:val="nil"/>
              <w:bottom w:val="single" w:sz="8" w:space="0" w:color="auto"/>
              <w:right w:val="single" w:sz="8" w:space="0" w:color="auto"/>
            </w:tcBorders>
            <w:shd w:val="clear" w:color="auto" w:fill="BFBFBF" w:themeFill="background1" w:themeFillShade="BF"/>
            <w:vAlign w:val="center"/>
          </w:tcPr>
          <w:p w:rsidR="00A74FE9" w:rsidRPr="00F1296D" w:rsidRDefault="00A74FE9" w:rsidP="00A74FE9">
            <w:pPr>
              <w:spacing w:after="0"/>
              <w:jc w:val="center"/>
              <w:rPr>
                <w:rFonts w:ascii="Times New Roman" w:hAnsi="Times New Roman" w:cs="Times New Roman"/>
                <w:b/>
                <w:bCs/>
                <w:color w:val="000000" w:themeColor="text1"/>
              </w:rPr>
            </w:pPr>
            <w:r w:rsidRPr="00F1296D">
              <w:rPr>
                <w:rFonts w:ascii="Times New Roman" w:hAnsi="Times New Roman" w:cs="Times New Roman"/>
                <w:b/>
                <w:bCs/>
                <w:color w:val="000000" w:themeColor="text1"/>
              </w:rPr>
              <w:t>2025</w:t>
            </w:r>
          </w:p>
        </w:tc>
        <w:tc>
          <w:tcPr>
            <w:tcW w:w="1394" w:type="dxa"/>
            <w:tcBorders>
              <w:top w:val="nil"/>
              <w:left w:val="nil"/>
              <w:bottom w:val="single" w:sz="8" w:space="0" w:color="auto"/>
              <w:right w:val="single" w:sz="8" w:space="0" w:color="auto"/>
            </w:tcBorders>
            <w:shd w:val="clear" w:color="auto" w:fill="BFBFBF" w:themeFill="background1" w:themeFillShade="BF"/>
            <w:vAlign w:val="center"/>
          </w:tcPr>
          <w:p w:rsidR="00A74FE9" w:rsidRPr="00F1296D" w:rsidRDefault="00A74FE9" w:rsidP="00A74FE9">
            <w:pPr>
              <w:spacing w:after="0"/>
              <w:jc w:val="center"/>
              <w:rPr>
                <w:rFonts w:ascii="Times New Roman" w:hAnsi="Times New Roman" w:cs="Times New Roman"/>
                <w:b/>
                <w:bCs/>
                <w:color w:val="000000" w:themeColor="text1"/>
              </w:rPr>
            </w:pPr>
            <w:r w:rsidRPr="00F1296D">
              <w:rPr>
                <w:rFonts w:ascii="Times New Roman" w:hAnsi="Times New Roman" w:cs="Times New Roman"/>
                <w:b/>
                <w:bCs/>
                <w:color w:val="000000" w:themeColor="text1"/>
              </w:rPr>
              <w:t>2026</w:t>
            </w:r>
          </w:p>
        </w:tc>
      </w:tr>
      <w:tr w:rsidR="00A74FE9" w:rsidTr="00A74FE9">
        <w:trPr>
          <w:trHeight w:val="70"/>
          <w:jc w:val="center"/>
        </w:trPr>
        <w:tc>
          <w:tcPr>
            <w:tcW w:w="3911" w:type="dxa"/>
            <w:tcBorders>
              <w:top w:val="nil"/>
              <w:left w:val="single" w:sz="8" w:space="0" w:color="auto"/>
              <w:bottom w:val="single" w:sz="8" w:space="0" w:color="auto"/>
              <w:right w:val="single" w:sz="8" w:space="0" w:color="auto"/>
            </w:tcBorders>
            <w:shd w:val="clear" w:color="auto" w:fill="C0C0C0"/>
            <w:vAlign w:val="center"/>
          </w:tcPr>
          <w:p w:rsidR="00A74FE9" w:rsidRDefault="00A74FE9" w:rsidP="00A74FE9">
            <w:pPr>
              <w:spacing w:after="0"/>
              <w:rPr>
                <w:rFonts w:ascii="Times New Roman" w:hAnsi="Times New Roman" w:cs="Times New Roman"/>
                <w:b/>
                <w:bCs/>
                <w:color w:val="000000" w:themeColor="text1"/>
              </w:rPr>
            </w:pPr>
            <w:r w:rsidRPr="61BD6446">
              <w:rPr>
                <w:rFonts w:ascii="Times New Roman" w:hAnsi="Times New Roman" w:cs="Times New Roman"/>
                <w:b/>
                <w:bCs/>
                <w:color w:val="000000" w:themeColor="text1"/>
              </w:rPr>
              <w:t>Príjmy verejnej správy celkom</w:t>
            </w:r>
          </w:p>
        </w:tc>
        <w:tc>
          <w:tcPr>
            <w:tcW w:w="961" w:type="dxa"/>
            <w:tcBorders>
              <w:top w:val="single" w:sz="8" w:space="0" w:color="auto"/>
              <w:left w:val="single" w:sz="8" w:space="0" w:color="auto"/>
              <w:bottom w:val="single" w:sz="8" w:space="0" w:color="auto"/>
              <w:right w:val="single" w:sz="8" w:space="0" w:color="auto"/>
            </w:tcBorders>
            <w:shd w:val="clear" w:color="auto" w:fill="C0C0C0"/>
            <w:vAlign w:val="center"/>
          </w:tcPr>
          <w:p w:rsidR="00A74FE9" w:rsidRDefault="00A74FE9" w:rsidP="00A74FE9">
            <w:pPr>
              <w:spacing w:after="0"/>
              <w:jc w:val="right"/>
              <w:rPr>
                <w:rFonts w:ascii="Times New Roman" w:hAnsi="Times New Roman" w:cs="Times New Roman"/>
                <w:b/>
                <w:bCs/>
              </w:rPr>
            </w:pPr>
          </w:p>
        </w:tc>
        <w:tc>
          <w:tcPr>
            <w:tcW w:w="1399" w:type="dxa"/>
            <w:tcBorders>
              <w:top w:val="single" w:sz="8" w:space="0" w:color="auto"/>
              <w:left w:val="nil"/>
              <w:bottom w:val="single" w:sz="8" w:space="0" w:color="auto"/>
              <w:right w:val="single" w:sz="8" w:space="0" w:color="auto"/>
            </w:tcBorders>
            <w:shd w:val="clear" w:color="auto" w:fill="C0C0C0"/>
            <w:vAlign w:val="center"/>
          </w:tcPr>
          <w:p w:rsidR="00A74FE9" w:rsidRPr="0052263E" w:rsidRDefault="00A74FE9" w:rsidP="00A74FE9">
            <w:pPr>
              <w:spacing w:after="0"/>
              <w:jc w:val="right"/>
              <w:rPr>
                <w:rFonts w:ascii="Times New Roman" w:hAnsi="Times New Roman" w:cs="Times New Roman"/>
                <w:b/>
                <w:bCs/>
                <w:sz w:val="20"/>
              </w:rPr>
            </w:pPr>
            <w:r>
              <w:rPr>
                <w:rFonts w:ascii="Times New Roman" w:hAnsi="Times New Roman" w:cs="Times New Roman"/>
                <w:b/>
                <w:bCs/>
                <w:color w:val="000000"/>
                <w:sz w:val="20"/>
              </w:rPr>
              <w:t>140</w:t>
            </w:r>
            <w:r w:rsidRPr="0052263E">
              <w:rPr>
                <w:rFonts w:ascii="Times New Roman" w:hAnsi="Times New Roman" w:cs="Times New Roman"/>
                <w:b/>
                <w:bCs/>
                <w:color w:val="000000"/>
                <w:sz w:val="20"/>
              </w:rPr>
              <w:t xml:space="preserve"> </w:t>
            </w:r>
            <w:r>
              <w:rPr>
                <w:rFonts w:ascii="Times New Roman" w:hAnsi="Times New Roman" w:cs="Times New Roman"/>
                <w:b/>
                <w:bCs/>
                <w:color w:val="000000"/>
                <w:sz w:val="20"/>
              </w:rPr>
              <w:t>763</w:t>
            </w:r>
            <w:r w:rsidRPr="0052263E">
              <w:rPr>
                <w:rFonts w:ascii="Times New Roman" w:hAnsi="Times New Roman" w:cs="Times New Roman"/>
                <w:b/>
                <w:bCs/>
                <w:color w:val="000000"/>
                <w:sz w:val="20"/>
              </w:rPr>
              <w:t xml:space="preserve"> 000</w:t>
            </w:r>
          </w:p>
        </w:tc>
        <w:tc>
          <w:tcPr>
            <w:tcW w:w="1397" w:type="dxa"/>
            <w:tcBorders>
              <w:top w:val="single" w:sz="8" w:space="0" w:color="auto"/>
              <w:left w:val="nil"/>
              <w:bottom w:val="single" w:sz="8" w:space="0" w:color="auto"/>
              <w:right w:val="single" w:sz="8" w:space="0" w:color="auto"/>
            </w:tcBorders>
            <w:shd w:val="clear" w:color="auto" w:fill="C0C0C0"/>
            <w:vAlign w:val="bottom"/>
          </w:tcPr>
          <w:p w:rsidR="00A74FE9" w:rsidRPr="00B13063" w:rsidRDefault="00A74FE9" w:rsidP="00A74FE9">
            <w:pPr>
              <w:spacing w:after="0"/>
              <w:jc w:val="right"/>
              <w:rPr>
                <w:rFonts w:ascii="Times New Roman" w:hAnsi="Times New Roman" w:cs="Times New Roman"/>
                <w:b/>
                <w:bCs/>
                <w:color w:val="000000"/>
                <w:sz w:val="20"/>
              </w:rPr>
            </w:pPr>
            <w:r w:rsidRPr="00B13063">
              <w:rPr>
                <w:rFonts w:ascii="Times New Roman" w:hAnsi="Times New Roman" w:cs="Times New Roman"/>
                <w:b/>
                <w:bCs/>
                <w:color w:val="000000"/>
                <w:sz w:val="20"/>
              </w:rPr>
              <w:t>129 100 000</w:t>
            </w:r>
          </w:p>
        </w:tc>
        <w:tc>
          <w:tcPr>
            <w:tcW w:w="1394" w:type="dxa"/>
            <w:tcBorders>
              <w:top w:val="single" w:sz="8" w:space="0" w:color="auto"/>
              <w:left w:val="nil"/>
              <w:bottom w:val="single" w:sz="8" w:space="0" w:color="auto"/>
              <w:right w:val="single" w:sz="8" w:space="0" w:color="auto"/>
            </w:tcBorders>
            <w:shd w:val="clear" w:color="auto" w:fill="C0C0C0"/>
            <w:vAlign w:val="bottom"/>
          </w:tcPr>
          <w:p w:rsidR="00A74FE9" w:rsidRPr="00B13063" w:rsidRDefault="00A74FE9" w:rsidP="00A74FE9">
            <w:pPr>
              <w:spacing w:after="0"/>
              <w:jc w:val="right"/>
              <w:rPr>
                <w:rFonts w:ascii="Times New Roman" w:hAnsi="Times New Roman" w:cs="Times New Roman"/>
                <w:b/>
                <w:bCs/>
                <w:color w:val="000000"/>
                <w:sz w:val="20"/>
              </w:rPr>
            </w:pPr>
            <w:r w:rsidRPr="00B13063">
              <w:rPr>
                <w:rFonts w:ascii="Times New Roman" w:hAnsi="Times New Roman" w:cs="Times New Roman"/>
                <w:b/>
                <w:bCs/>
                <w:color w:val="000000"/>
                <w:sz w:val="20"/>
              </w:rPr>
              <w:t>134 263 000</w:t>
            </w:r>
          </w:p>
        </w:tc>
      </w:tr>
      <w:tr w:rsidR="00A74FE9" w:rsidTr="00A74FE9">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vAlign w:val="bottom"/>
          </w:tcPr>
          <w:p w:rsidR="00A74FE9" w:rsidRPr="00F1296D" w:rsidRDefault="00A74FE9" w:rsidP="00A74FE9">
            <w:pPr>
              <w:spacing w:after="0"/>
              <w:rPr>
                <w:rFonts w:ascii="Times New Roman" w:hAnsi="Times New Roman" w:cs="Times New Roman"/>
                <w:b/>
                <w:bCs/>
                <w:i/>
                <w:iCs/>
                <w:color w:val="000000" w:themeColor="text1"/>
                <w:sz w:val="20"/>
              </w:rPr>
            </w:pPr>
            <w:r w:rsidRPr="00F1296D">
              <w:rPr>
                <w:rFonts w:ascii="Times New Roman" w:hAnsi="Times New Roman" w:cs="Times New Roman"/>
                <w:sz w:val="20"/>
              </w:rPr>
              <w:t xml:space="preserve">Úprava zdanenia kapitálových príjmov fyzických osôb </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Default="00A74FE9" w:rsidP="00A74FE9">
            <w:pPr>
              <w:spacing w:after="0"/>
              <w:jc w:val="right"/>
              <w:rPr>
                <w:rFonts w:ascii="Times New Roman" w:hAnsi="Times New Roman" w:cs="Times New Roman"/>
                <w:b/>
                <w:bCs/>
              </w:rPr>
            </w:pPr>
          </w:p>
        </w:tc>
        <w:tc>
          <w:tcPr>
            <w:tcW w:w="1399"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b/>
                <w:bCs/>
                <w:sz w:val="20"/>
              </w:rPr>
            </w:pPr>
            <w:r>
              <w:rPr>
                <w:rFonts w:ascii="Times New Roman" w:hAnsi="Times New Roman" w:cs="Times New Roman"/>
                <w:color w:val="000000"/>
                <w:sz w:val="20"/>
              </w:rPr>
              <w:t>33</w:t>
            </w:r>
            <w:r w:rsidRPr="00F1296D">
              <w:rPr>
                <w:rFonts w:ascii="Times New Roman" w:hAnsi="Times New Roman" w:cs="Times New Roman"/>
                <w:color w:val="000000"/>
                <w:sz w:val="20"/>
              </w:rPr>
              <w:t xml:space="preserve"> 000 000</w:t>
            </w:r>
          </w:p>
        </w:tc>
        <w:tc>
          <w:tcPr>
            <w:tcW w:w="1397"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b/>
                <w:bCs/>
                <w:sz w:val="20"/>
              </w:rPr>
            </w:pPr>
            <w:r w:rsidRPr="00F1296D">
              <w:rPr>
                <w:rFonts w:ascii="Times New Roman" w:hAnsi="Times New Roman" w:cs="Times New Roman"/>
                <w:color w:val="000000"/>
                <w:sz w:val="20"/>
              </w:rPr>
              <w:t>33 000 000</w:t>
            </w:r>
          </w:p>
        </w:tc>
        <w:tc>
          <w:tcPr>
            <w:tcW w:w="1394"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b/>
                <w:bCs/>
                <w:sz w:val="20"/>
              </w:rPr>
            </w:pPr>
            <w:r w:rsidRPr="00F1296D">
              <w:rPr>
                <w:rFonts w:ascii="Times New Roman" w:hAnsi="Times New Roman" w:cs="Times New Roman"/>
                <w:color w:val="000000"/>
                <w:sz w:val="20"/>
              </w:rPr>
              <w:t>33 000 000</w:t>
            </w:r>
          </w:p>
        </w:tc>
      </w:tr>
      <w:tr w:rsidR="00A74FE9" w:rsidTr="00A74FE9">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vAlign w:val="bottom"/>
          </w:tcPr>
          <w:p w:rsidR="00A74FE9" w:rsidRPr="00F1296D" w:rsidRDefault="00A74FE9" w:rsidP="00A74FE9">
            <w:pPr>
              <w:spacing w:after="0"/>
              <w:rPr>
                <w:rFonts w:ascii="Times New Roman" w:hAnsi="Times New Roman" w:cs="Times New Roman"/>
                <w:i/>
                <w:iCs/>
                <w:color w:val="000000" w:themeColor="text1"/>
                <w:sz w:val="20"/>
              </w:rPr>
            </w:pPr>
            <w:r w:rsidRPr="00F1296D">
              <w:rPr>
                <w:rFonts w:ascii="Times New Roman" w:hAnsi="Times New Roman" w:cs="Times New Roman"/>
                <w:sz w:val="20"/>
              </w:rPr>
              <w:t>Zvýšenie sadzby zrážkovej dane z dividend na 10 %</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Default="00A74FE9" w:rsidP="00A74FE9">
            <w:pPr>
              <w:spacing w:after="0"/>
              <w:jc w:val="right"/>
              <w:rPr>
                <w:rFonts w:ascii="Times New Roman" w:hAnsi="Times New Roman" w:cs="Times New Roman"/>
              </w:rPr>
            </w:pPr>
          </w:p>
        </w:tc>
        <w:tc>
          <w:tcPr>
            <w:tcW w:w="1399"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sz w:val="20"/>
              </w:rPr>
            </w:pPr>
            <w:r w:rsidRPr="00F1296D">
              <w:rPr>
                <w:rFonts w:ascii="Times New Roman" w:hAnsi="Times New Roman" w:cs="Times New Roman"/>
                <w:color w:val="000000"/>
                <w:sz w:val="20"/>
              </w:rPr>
              <w:t>5 363 000</w:t>
            </w:r>
          </w:p>
        </w:tc>
        <w:tc>
          <w:tcPr>
            <w:tcW w:w="1397"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sz w:val="20"/>
              </w:rPr>
            </w:pPr>
            <w:r w:rsidRPr="00F1296D">
              <w:rPr>
                <w:rFonts w:ascii="Times New Roman" w:hAnsi="Times New Roman" w:cs="Times New Roman"/>
                <w:color w:val="000000"/>
                <w:sz w:val="20"/>
              </w:rPr>
              <w:t>9 900 000</w:t>
            </w:r>
          </w:p>
        </w:tc>
        <w:tc>
          <w:tcPr>
            <w:tcW w:w="1394"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sz w:val="20"/>
              </w:rPr>
            </w:pPr>
            <w:r w:rsidRPr="00F1296D">
              <w:rPr>
                <w:rFonts w:ascii="Times New Roman" w:hAnsi="Times New Roman" w:cs="Times New Roman"/>
                <w:color w:val="000000"/>
                <w:sz w:val="20"/>
              </w:rPr>
              <w:t>15 263 000</w:t>
            </w:r>
          </w:p>
        </w:tc>
      </w:tr>
      <w:tr w:rsidR="00A74FE9" w:rsidTr="00A74FE9">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vAlign w:val="bottom"/>
          </w:tcPr>
          <w:p w:rsidR="00A74FE9" w:rsidRPr="00F1296D" w:rsidRDefault="00A74FE9" w:rsidP="00A74FE9">
            <w:pPr>
              <w:spacing w:after="0"/>
              <w:rPr>
                <w:rFonts w:ascii="Times New Roman" w:hAnsi="Times New Roman" w:cs="Times New Roman"/>
                <w:i/>
                <w:iCs/>
                <w:color w:val="000000" w:themeColor="text1"/>
                <w:sz w:val="20"/>
              </w:rPr>
            </w:pPr>
            <w:r w:rsidRPr="00F1296D">
              <w:rPr>
                <w:rFonts w:ascii="Times New Roman" w:hAnsi="Times New Roman" w:cs="Times New Roman"/>
                <w:sz w:val="20"/>
              </w:rPr>
              <w:t>Zavedenie minimálnej dane z príjmov právnických osôb</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Default="00A74FE9" w:rsidP="00A74FE9">
            <w:pPr>
              <w:spacing w:after="0"/>
              <w:jc w:val="right"/>
              <w:rPr>
                <w:rFonts w:ascii="Times New Roman" w:hAnsi="Times New Roman" w:cs="Times New Roman"/>
              </w:rPr>
            </w:pPr>
          </w:p>
        </w:tc>
        <w:tc>
          <w:tcPr>
            <w:tcW w:w="1399" w:type="dxa"/>
            <w:tcBorders>
              <w:top w:val="single" w:sz="8" w:space="0" w:color="auto"/>
              <w:left w:val="nil"/>
              <w:bottom w:val="single" w:sz="8" w:space="0" w:color="auto"/>
              <w:right w:val="single" w:sz="8" w:space="0" w:color="auto"/>
            </w:tcBorders>
            <w:shd w:val="clear" w:color="auto" w:fill="auto"/>
            <w:vAlign w:val="bottom"/>
          </w:tcPr>
          <w:p w:rsidR="00A74FE9" w:rsidRPr="00B13063" w:rsidRDefault="00A74FE9" w:rsidP="00A74FE9">
            <w:pPr>
              <w:spacing w:after="0"/>
              <w:jc w:val="right"/>
              <w:rPr>
                <w:rFonts w:ascii="Times New Roman" w:hAnsi="Times New Roman" w:cs="Times New Roman"/>
                <w:color w:val="000000"/>
                <w:sz w:val="20"/>
              </w:rPr>
            </w:pPr>
            <w:r w:rsidRPr="00F1296D">
              <w:rPr>
                <w:rFonts w:ascii="Times New Roman" w:hAnsi="Times New Roman" w:cs="Times New Roman"/>
                <w:color w:val="000000"/>
                <w:sz w:val="20"/>
              </w:rPr>
              <w:t xml:space="preserve">107 </w:t>
            </w:r>
            <w:r>
              <w:rPr>
                <w:rFonts w:ascii="Times New Roman" w:hAnsi="Times New Roman" w:cs="Times New Roman"/>
                <w:color w:val="000000"/>
                <w:sz w:val="20"/>
              </w:rPr>
              <w:t>492</w:t>
            </w:r>
            <w:r w:rsidRPr="00F1296D">
              <w:rPr>
                <w:rFonts w:ascii="Times New Roman" w:hAnsi="Times New Roman" w:cs="Times New Roman"/>
                <w:color w:val="000000"/>
                <w:sz w:val="20"/>
              </w:rPr>
              <w:t xml:space="preserve"> 000</w:t>
            </w:r>
          </w:p>
        </w:tc>
        <w:tc>
          <w:tcPr>
            <w:tcW w:w="1397" w:type="dxa"/>
            <w:tcBorders>
              <w:top w:val="single" w:sz="8" w:space="0" w:color="auto"/>
              <w:left w:val="nil"/>
              <w:bottom w:val="single" w:sz="8" w:space="0" w:color="auto"/>
              <w:right w:val="single" w:sz="8" w:space="0" w:color="auto"/>
            </w:tcBorders>
            <w:shd w:val="clear" w:color="auto" w:fill="auto"/>
            <w:vAlign w:val="bottom"/>
          </w:tcPr>
          <w:p w:rsidR="00A74FE9" w:rsidRPr="00B13063" w:rsidRDefault="00A74FE9" w:rsidP="00A74FE9">
            <w:pPr>
              <w:spacing w:after="0"/>
              <w:jc w:val="right"/>
              <w:rPr>
                <w:rFonts w:ascii="Times New Roman" w:hAnsi="Times New Roman" w:cs="Times New Roman"/>
                <w:color w:val="000000"/>
                <w:sz w:val="20"/>
              </w:rPr>
            </w:pPr>
            <w:r w:rsidRPr="00B13063">
              <w:rPr>
                <w:rFonts w:ascii="Times New Roman" w:hAnsi="Times New Roman" w:cs="Times New Roman"/>
                <w:color w:val="000000"/>
                <w:sz w:val="20"/>
              </w:rPr>
              <w:t>91 532 000</w:t>
            </w:r>
          </w:p>
        </w:tc>
        <w:tc>
          <w:tcPr>
            <w:tcW w:w="1394" w:type="dxa"/>
            <w:tcBorders>
              <w:top w:val="single" w:sz="8" w:space="0" w:color="auto"/>
              <w:left w:val="nil"/>
              <w:bottom w:val="single" w:sz="8" w:space="0" w:color="auto"/>
              <w:right w:val="single" w:sz="8" w:space="0" w:color="auto"/>
            </w:tcBorders>
            <w:shd w:val="clear" w:color="auto" w:fill="auto"/>
            <w:vAlign w:val="bottom"/>
          </w:tcPr>
          <w:p w:rsidR="00A74FE9" w:rsidRPr="00B13063" w:rsidRDefault="00A74FE9" w:rsidP="00A74FE9">
            <w:pPr>
              <w:spacing w:after="0"/>
              <w:jc w:val="right"/>
              <w:rPr>
                <w:rFonts w:ascii="Times New Roman" w:hAnsi="Times New Roman" w:cs="Times New Roman"/>
                <w:color w:val="000000"/>
                <w:sz w:val="20"/>
              </w:rPr>
            </w:pPr>
            <w:r w:rsidRPr="00B13063">
              <w:rPr>
                <w:rFonts w:ascii="Times New Roman" w:hAnsi="Times New Roman" w:cs="Times New Roman"/>
                <w:color w:val="000000"/>
                <w:sz w:val="20"/>
              </w:rPr>
              <w:t>91 575 000</w:t>
            </w:r>
          </w:p>
        </w:tc>
      </w:tr>
      <w:tr w:rsidR="00A74FE9" w:rsidTr="00A74FE9">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vAlign w:val="bottom"/>
          </w:tcPr>
          <w:p w:rsidR="00A74FE9" w:rsidRPr="00F1296D" w:rsidRDefault="00A74FE9" w:rsidP="00A74FE9">
            <w:pPr>
              <w:spacing w:after="0"/>
              <w:rPr>
                <w:rFonts w:ascii="Times New Roman" w:hAnsi="Times New Roman" w:cs="Times New Roman"/>
                <w:i/>
                <w:iCs/>
                <w:color w:val="000000" w:themeColor="text1"/>
                <w:sz w:val="20"/>
              </w:rPr>
            </w:pPr>
            <w:r w:rsidRPr="00F1296D">
              <w:rPr>
                <w:rFonts w:ascii="Times New Roman" w:hAnsi="Times New Roman" w:cs="Times New Roman"/>
                <w:sz w:val="20"/>
              </w:rPr>
              <w:t>Zmena hranice príjmu mikrodaňovníkov na 60 tis.</w:t>
            </w:r>
          </w:p>
        </w:tc>
        <w:tc>
          <w:tcPr>
            <w:tcW w:w="961" w:type="dxa"/>
            <w:tcBorders>
              <w:top w:val="single" w:sz="8" w:space="0" w:color="auto"/>
              <w:left w:val="nil"/>
              <w:bottom w:val="single" w:sz="8" w:space="0" w:color="auto"/>
              <w:right w:val="single" w:sz="8" w:space="0" w:color="auto"/>
            </w:tcBorders>
            <w:shd w:val="clear" w:color="auto" w:fill="auto"/>
            <w:vAlign w:val="center"/>
          </w:tcPr>
          <w:p w:rsidR="00A74FE9" w:rsidRDefault="00A74FE9" w:rsidP="00A74FE9">
            <w:pPr>
              <w:spacing w:after="0"/>
              <w:jc w:val="right"/>
              <w:rPr>
                <w:rFonts w:ascii="Times New Roman" w:hAnsi="Times New Roman" w:cs="Times New Roman"/>
              </w:rPr>
            </w:pPr>
          </w:p>
        </w:tc>
        <w:tc>
          <w:tcPr>
            <w:tcW w:w="1399"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sz w:val="20"/>
              </w:rPr>
            </w:pPr>
            <w:r w:rsidRPr="00F1296D">
              <w:rPr>
                <w:rFonts w:ascii="Times New Roman" w:hAnsi="Times New Roman" w:cs="Times New Roman"/>
                <w:color w:val="000000"/>
                <w:sz w:val="20"/>
              </w:rPr>
              <w:t>-5 092 000</w:t>
            </w:r>
          </w:p>
        </w:tc>
        <w:tc>
          <w:tcPr>
            <w:tcW w:w="1397"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sz w:val="20"/>
              </w:rPr>
            </w:pPr>
            <w:r w:rsidRPr="00F1296D">
              <w:rPr>
                <w:rFonts w:ascii="Times New Roman" w:hAnsi="Times New Roman" w:cs="Times New Roman"/>
                <w:color w:val="000000"/>
                <w:sz w:val="20"/>
              </w:rPr>
              <w:t>-5 332 000</w:t>
            </w:r>
          </w:p>
        </w:tc>
        <w:tc>
          <w:tcPr>
            <w:tcW w:w="1394" w:type="dxa"/>
            <w:tcBorders>
              <w:top w:val="single" w:sz="8" w:space="0" w:color="auto"/>
              <w:left w:val="nil"/>
              <w:bottom w:val="single" w:sz="8" w:space="0" w:color="auto"/>
              <w:right w:val="single" w:sz="8" w:space="0" w:color="auto"/>
            </w:tcBorders>
            <w:shd w:val="clear" w:color="auto" w:fill="auto"/>
            <w:vAlign w:val="bottom"/>
          </w:tcPr>
          <w:p w:rsidR="00A74FE9" w:rsidRPr="00F1296D" w:rsidRDefault="00A74FE9" w:rsidP="00A74FE9">
            <w:pPr>
              <w:spacing w:after="0"/>
              <w:jc w:val="right"/>
              <w:rPr>
                <w:rFonts w:ascii="Times New Roman" w:hAnsi="Times New Roman" w:cs="Times New Roman"/>
                <w:sz w:val="20"/>
              </w:rPr>
            </w:pPr>
            <w:r w:rsidRPr="00F1296D">
              <w:rPr>
                <w:rFonts w:ascii="Times New Roman" w:hAnsi="Times New Roman" w:cs="Times New Roman"/>
                <w:color w:val="000000"/>
                <w:sz w:val="20"/>
              </w:rPr>
              <w:t>-5 575 000</w:t>
            </w:r>
          </w:p>
        </w:tc>
      </w:tr>
    </w:tbl>
    <w:p w:rsidR="00A74FE9" w:rsidRDefault="00A74FE9" w:rsidP="00A74FE9">
      <w:pPr>
        <w:spacing w:after="0" w:line="240" w:lineRule="auto"/>
        <w:jc w:val="both"/>
        <w:rPr>
          <w:rFonts w:ascii="Times New Roman" w:eastAsia="Times New Roman" w:hAnsi="Times New Roman" w:cs="Times New Roman"/>
          <w:b/>
          <w:bCs/>
          <w:sz w:val="24"/>
          <w:szCs w:val="24"/>
          <w:highlight w:val="yellow"/>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K novele zákona č. 595/2003 Z. z. o dani z príjmov</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51BD4" w:rsidRDefault="00A74FE9" w:rsidP="00A74FE9">
      <w:pPr>
        <w:spacing w:after="0" w:line="240" w:lineRule="auto"/>
        <w:jc w:val="both"/>
        <w:rPr>
          <w:rFonts w:ascii="Times New Roman" w:eastAsia="Times New Roman" w:hAnsi="Times New Roman" w:cs="Times New Roman"/>
          <w:b/>
          <w:sz w:val="24"/>
          <w:szCs w:val="24"/>
          <w:lang w:eastAsia="sk-SK"/>
        </w:rPr>
      </w:pPr>
      <w:r w:rsidRPr="7666C9B9">
        <w:rPr>
          <w:rFonts w:ascii="Times New Roman" w:eastAsia="Times New Roman" w:hAnsi="Times New Roman" w:cs="Times New Roman"/>
          <w:b/>
          <w:bCs/>
          <w:sz w:val="24"/>
          <w:szCs w:val="24"/>
          <w:lang w:eastAsia="sk-SK"/>
        </w:rPr>
        <w:t>Zvýšenie sadzby zrážkovej dane z dividend na 10 %</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61BD6446">
        <w:rPr>
          <w:rFonts w:ascii="Times New Roman" w:eastAsia="Times New Roman" w:hAnsi="Times New Roman" w:cs="Times New Roman"/>
          <w:sz w:val="24"/>
          <w:szCs w:val="24"/>
          <w:lang w:eastAsia="sk-SK"/>
        </w:rPr>
        <w:t xml:space="preserve">S účinnosťou od 1.1.2024 sa zvyšuje sadzba zrážkovej dane z dividend zo 7 % na 10 %. Zvýšenie sadzby sa týka dividend vyplatených zo ziskov za roky 2023 a neskôr. Dividendy zo ziskov spred roka 2023 budú naďalej zdaňované 7 % sadzbou. </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Úprava zdanenia kapitálových príjmov fyzických osôb</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61BD6446">
        <w:rPr>
          <w:rFonts w:ascii="Times New Roman" w:eastAsia="Times New Roman" w:hAnsi="Times New Roman" w:cs="Times New Roman"/>
          <w:sz w:val="24"/>
          <w:szCs w:val="24"/>
          <w:lang w:eastAsia="sk-SK"/>
        </w:rPr>
        <w:t>S účinnosťou od 1.1.2024 sa ruší oslobodenie a daňové zvýhodnenie v prípade neregulovaných cenných papierov (CP), podielových listov a výnosov z predaja kryptomeny, ktoré malo začať platiť od 1.1.2024.</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r>
        <w:br/>
      </w:r>
      <w:r w:rsidRPr="61BD6446">
        <w:rPr>
          <w:rFonts w:ascii="Times New Roman" w:eastAsia="Times New Roman" w:hAnsi="Times New Roman" w:cs="Times New Roman"/>
          <w:b/>
          <w:bCs/>
          <w:sz w:val="24"/>
          <w:szCs w:val="24"/>
          <w:lang w:eastAsia="sk-SK"/>
        </w:rPr>
        <w:t>Zavedenie minimálnej dane z príjmov právnických osôb</w:t>
      </w:r>
    </w:p>
    <w:p w:rsidR="00A74FE9" w:rsidRDefault="00A74FE9" w:rsidP="00A74FE9">
      <w:pPr>
        <w:spacing w:after="0"/>
        <w:jc w:val="both"/>
        <w:rPr>
          <w:rFonts w:ascii="Times New Roman" w:eastAsia="Times New Roman" w:hAnsi="Times New Roman" w:cs="Times New Roman"/>
          <w:sz w:val="24"/>
          <w:szCs w:val="24"/>
        </w:rPr>
      </w:pPr>
      <w:r w:rsidRPr="00674D02">
        <w:rPr>
          <w:rFonts w:ascii="Times New Roman" w:eastAsia="Times New Roman" w:hAnsi="Times New Roman" w:cs="Times New Roman"/>
          <w:sz w:val="24"/>
          <w:szCs w:val="24"/>
          <w:lang w:eastAsia="sk-SK"/>
        </w:rPr>
        <w:t xml:space="preserve">S účinnosťou od 1.1.2024 </w:t>
      </w:r>
      <w:r w:rsidRPr="61BD6446">
        <w:rPr>
          <w:rFonts w:ascii="Times New Roman" w:eastAsia="Times New Roman" w:hAnsi="Times New Roman" w:cs="Times New Roman"/>
          <w:sz w:val="24"/>
          <w:szCs w:val="24"/>
        </w:rPr>
        <w:t>sa zavádza minimálna výška dane z príjmov právnických osôb, ktorú musí daňovník odviesť bez ohľadu na výšku daňového základu resp. straty. Výška minimálnej dane je v závislosti od ročného obratu určená podľa Tabuľky 1.</w:t>
      </w:r>
    </w:p>
    <w:p w:rsidR="00A74FE9" w:rsidRDefault="00A74FE9" w:rsidP="00A74FE9">
      <w:pPr>
        <w:spacing w:after="0"/>
        <w:jc w:val="both"/>
        <w:rPr>
          <w:rFonts w:ascii="Times New Roman" w:eastAsia="Times New Roman" w:hAnsi="Times New Roman" w:cs="Times New Roman"/>
          <w:sz w:val="24"/>
          <w:szCs w:val="24"/>
        </w:rPr>
      </w:pPr>
    </w:p>
    <w:p w:rsidR="00A74FE9" w:rsidRDefault="00A74FE9" w:rsidP="00A74FE9">
      <w:pPr>
        <w:jc w:val="center"/>
      </w:pPr>
      <w:r w:rsidRPr="61BD6446">
        <w:rPr>
          <w:rFonts w:ascii="Arial Narrow" w:eastAsia="Arial Narrow" w:hAnsi="Arial Narrow" w:cs="Arial Narrow"/>
          <w:b/>
          <w:bCs/>
          <w:color w:val="5B9BD5"/>
        </w:rPr>
        <w:t>Tabuľka 1: Minimálna daň firmy v závislosti od jej ročného obratu</w:t>
      </w:r>
    </w:p>
    <w:tbl>
      <w:tblPr>
        <w:tblStyle w:val="Mriekatabuky"/>
        <w:tblW w:w="0" w:type="auto"/>
        <w:jc w:val="center"/>
        <w:tblLayout w:type="fixed"/>
        <w:tblLook w:val="04A0" w:firstRow="1" w:lastRow="0" w:firstColumn="1" w:lastColumn="0" w:noHBand="0" w:noVBand="1"/>
      </w:tblPr>
      <w:tblGrid>
        <w:gridCol w:w="2400"/>
        <w:gridCol w:w="1980"/>
      </w:tblGrid>
      <w:tr w:rsidR="00A74FE9" w:rsidTr="00A74FE9">
        <w:trPr>
          <w:trHeight w:val="345"/>
          <w:jc w:val="center"/>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r w:rsidRPr="61BD6446">
              <w:rPr>
                <w:rFonts w:ascii="Arial Narrow" w:eastAsia="Arial Narrow" w:hAnsi="Arial Narrow" w:cs="Arial Narrow"/>
                <w:b/>
                <w:bCs/>
                <w:sz w:val="20"/>
                <w:szCs w:val="20"/>
              </w:rPr>
              <w:t>Výška obratu</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pPr>
              <w:jc w:val="center"/>
            </w:pPr>
            <w:r w:rsidRPr="61BD6446">
              <w:rPr>
                <w:rFonts w:ascii="Arial Narrow" w:eastAsia="Arial Narrow" w:hAnsi="Arial Narrow" w:cs="Arial Narrow"/>
                <w:b/>
                <w:bCs/>
                <w:sz w:val="20"/>
                <w:szCs w:val="20"/>
              </w:rPr>
              <w:t>Minimálna daň (v eur)</w:t>
            </w:r>
          </w:p>
        </w:tc>
      </w:tr>
      <w:tr w:rsidR="00A74FE9" w:rsidTr="00A74FE9">
        <w:trPr>
          <w:trHeight w:val="345"/>
          <w:jc w:val="center"/>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r>
              <w:rPr>
                <w:rFonts w:ascii="Arial Narrow" w:eastAsia="Arial Narrow" w:hAnsi="Arial Narrow" w:cs="Arial Narrow"/>
                <w:sz w:val="20"/>
                <w:szCs w:val="20"/>
              </w:rPr>
              <w:t>Do 5</w:t>
            </w:r>
            <w:r w:rsidRPr="61BD6446">
              <w:rPr>
                <w:rFonts w:ascii="Arial Narrow" w:eastAsia="Arial Narrow" w:hAnsi="Arial Narrow" w:cs="Arial Narrow"/>
                <w:sz w:val="20"/>
                <w:szCs w:val="20"/>
              </w:rPr>
              <w:t>0 000 eur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pPr>
              <w:jc w:val="center"/>
            </w:pPr>
            <w:r w:rsidRPr="61BD6446">
              <w:rPr>
                <w:rFonts w:ascii="Arial Narrow" w:eastAsia="Arial Narrow" w:hAnsi="Arial Narrow" w:cs="Arial Narrow"/>
                <w:sz w:val="20"/>
                <w:szCs w:val="20"/>
              </w:rPr>
              <w:t>340</w:t>
            </w:r>
          </w:p>
        </w:tc>
      </w:tr>
      <w:tr w:rsidR="00A74FE9" w:rsidTr="00A74FE9">
        <w:trPr>
          <w:trHeight w:val="345"/>
          <w:jc w:val="center"/>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r>
              <w:rPr>
                <w:rFonts w:ascii="Arial Narrow" w:eastAsia="Arial Narrow" w:hAnsi="Arial Narrow" w:cs="Arial Narrow"/>
                <w:sz w:val="20"/>
                <w:szCs w:val="20"/>
              </w:rPr>
              <w:t>5</w:t>
            </w:r>
            <w:r w:rsidRPr="61BD6446">
              <w:rPr>
                <w:rFonts w:ascii="Arial Narrow" w:eastAsia="Arial Narrow" w:hAnsi="Arial Narrow" w:cs="Arial Narrow"/>
                <w:sz w:val="20"/>
                <w:szCs w:val="20"/>
              </w:rPr>
              <w:t xml:space="preserve">0 000 – 250 000 eur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pPr>
              <w:jc w:val="center"/>
            </w:pPr>
            <w:r w:rsidRPr="61BD6446">
              <w:rPr>
                <w:rFonts w:ascii="Arial Narrow" w:eastAsia="Arial Narrow" w:hAnsi="Arial Narrow" w:cs="Arial Narrow"/>
                <w:sz w:val="20"/>
                <w:szCs w:val="20"/>
              </w:rPr>
              <w:t>960</w:t>
            </w:r>
          </w:p>
        </w:tc>
      </w:tr>
      <w:tr w:rsidR="00A74FE9" w:rsidTr="00A74FE9">
        <w:trPr>
          <w:trHeight w:val="345"/>
          <w:jc w:val="center"/>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r w:rsidRPr="61BD6446">
              <w:rPr>
                <w:rFonts w:ascii="Arial Narrow" w:eastAsia="Arial Narrow" w:hAnsi="Arial Narrow" w:cs="Arial Narrow"/>
                <w:sz w:val="20"/>
                <w:szCs w:val="20"/>
              </w:rPr>
              <w:t>250 000 – 500 000 eur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pPr>
              <w:jc w:val="center"/>
            </w:pPr>
            <w:r w:rsidRPr="61BD6446">
              <w:rPr>
                <w:rFonts w:ascii="Arial Narrow" w:eastAsia="Arial Narrow" w:hAnsi="Arial Narrow" w:cs="Arial Narrow"/>
                <w:sz w:val="20"/>
                <w:szCs w:val="20"/>
              </w:rPr>
              <w:t>1 920</w:t>
            </w:r>
          </w:p>
        </w:tc>
      </w:tr>
      <w:tr w:rsidR="00A74FE9" w:rsidTr="00A74FE9">
        <w:trPr>
          <w:trHeight w:val="345"/>
          <w:jc w:val="center"/>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r w:rsidRPr="61BD6446">
              <w:rPr>
                <w:rFonts w:ascii="Arial Narrow" w:eastAsia="Arial Narrow" w:hAnsi="Arial Narrow" w:cs="Arial Narrow"/>
                <w:sz w:val="20"/>
                <w:szCs w:val="20"/>
              </w:rPr>
              <w:t>Nad 500 000 eur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4FE9" w:rsidRDefault="00A74FE9" w:rsidP="00A74FE9">
            <w:pPr>
              <w:jc w:val="center"/>
            </w:pPr>
            <w:r w:rsidRPr="61BD6446">
              <w:rPr>
                <w:rFonts w:ascii="Arial Narrow" w:eastAsia="Arial Narrow" w:hAnsi="Arial Narrow" w:cs="Arial Narrow"/>
                <w:sz w:val="20"/>
                <w:szCs w:val="20"/>
              </w:rPr>
              <w:t>3 840</w:t>
            </w:r>
          </w:p>
        </w:tc>
      </w:tr>
    </w:tbl>
    <w:p w:rsidR="00A74FE9" w:rsidRDefault="00A74FE9" w:rsidP="00A74FE9">
      <w:pPr>
        <w:spacing w:after="0"/>
        <w:jc w:val="both"/>
        <w:rPr>
          <w:rFonts w:ascii="Times New Roman" w:eastAsia="Times New Roman" w:hAnsi="Times New Roman" w:cs="Times New Roman"/>
          <w:sz w:val="24"/>
          <w:szCs w:val="24"/>
        </w:rPr>
      </w:pP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b/>
          <w:bCs/>
        </w:rPr>
      </w:pPr>
      <w:r w:rsidRPr="76C75082">
        <w:rPr>
          <w:rFonts w:ascii="Times New Roman" w:eastAsia="Times New Roman" w:hAnsi="Times New Roman" w:cs="Times New Roman"/>
          <w:b/>
          <w:bCs/>
        </w:rPr>
        <w:lastRenderedPageBreak/>
        <w:t>Zvýšenie hranice zdaniteľných príjmov pre klasifikáciu mikrodaňovníkov z</w:t>
      </w:r>
      <w:r>
        <w:rPr>
          <w:rFonts w:ascii="Times New Roman" w:eastAsia="Times New Roman" w:hAnsi="Times New Roman" w:cs="Times New Roman"/>
          <w:b/>
          <w:bCs/>
        </w:rPr>
        <w:t>o</w:t>
      </w:r>
      <w:r w:rsidRPr="76C75082">
        <w:rPr>
          <w:rFonts w:ascii="Times New Roman" w:eastAsia="Times New Roman" w:hAnsi="Times New Roman" w:cs="Times New Roman"/>
          <w:b/>
          <w:bCs/>
        </w:rPr>
        <w:t xml:space="preserve"> 49,7 na 60 tis. eur.</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61BD6446">
        <w:rPr>
          <w:rFonts w:ascii="Times New Roman" w:eastAsia="Times New Roman" w:hAnsi="Times New Roman" w:cs="Times New Roman"/>
          <w:sz w:val="24"/>
          <w:szCs w:val="24"/>
          <w:lang w:eastAsia="sk-SK"/>
        </w:rPr>
        <w:t xml:space="preserve">Súčasne platná legislatíva klasifikuje mikrodaňovníkov, ktorých daňová sadzba je znížená na 15 %, ako </w:t>
      </w:r>
      <w:r>
        <w:rPr>
          <w:rFonts w:ascii="Times New Roman" w:eastAsia="Times New Roman" w:hAnsi="Times New Roman" w:cs="Times New Roman"/>
          <w:sz w:val="24"/>
          <w:szCs w:val="24"/>
          <w:lang w:eastAsia="sk-SK"/>
        </w:rPr>
        <w:t>fyzické</w:t>
      </w:r>
      <w:r w:rsidRPr="61BD6446">
        <w:rPr>
          <w:rFonts w:ascii="Times New Roman" w:eastAsia="Times New Roman" w:hAnsi="Times New Roman" w:cs="Times New Roman"/>
          <w:sz w:val="24"/>
          <w:szCs w:val="24"/>
          <w:lang w:eastAsia="sk-SK"/>
        </w:rPr>
        <w:t xml:space="preserve"> alebo právnické osoby, ktorých </w:t>
      </w:r>
      <w:r>
        <w:rPr>
          <w:rFonts w:ascii="Times New Roman" w:eastAsia="Times New Roman" w:hAnsi="Times New Roman" w:cs="Times New Roman"/>
          <w:sz w:val="24"/>
          <w:szCs w:val="24"/>
          <w:lang w:eastAsia="sk-SK"/>
        </w:rPr>
        <w:t xml:space="preserve">ročný </w:t>
      </w:r>
      <w:r w:rsidRPr="61BD6446">
        <w:rPr>
          <w:rFonts w:ascii="Times New Roman" w:eastAsia="Times New Roman" w:hAnsi="Times New Roman" w:cs="Times New Roman"/>
          <w:sz w:val="24"/>
          <w:szCs w:val="24"/>
          <w:lang w:eastAsia="sk-SK"/>
        </w:rPr>
        <w:t xml:space="preserve">zdaniteľný príjem nepresiahol hodnotu 49,7 tis. eur. S účinnosťou od 1.1.2024 bude táto hranica navýšená na 60 tis. eur. Opatrenie zasiahne približne 15 000 subjektov a náklady spojené s opatrením sa predpokladajú vo výške 4,6 mil. eur. </w:t>
      </w:r>
      <w:r w:rsidRPr="070AFC97">
        <w:rPr>
          <w:rFonts w:ascii="Times New Roman" w:eastAsia="Times New Roman" w:hAnsi="Times New Roman" w:cs="Times New Roman"/>
          <w:sz w:val="24"/>
          <w:szCs w:val="24"/>
          <w:lang w:eastAsia="sk-SK"/>
        </w:rPr>
        <w:t>v</w:t>
      </w:r>
      <w:r w:rsidRPr="61BD6446">
        <w:rPr>
          <w:rFonts w:ascii="Times New Roman" w:eastAsia="Times New Roman" w:hAnsi="Times New Roman" w:cs="Times New Roman"/>
          <w:sz w:val="24"/>
          <w:szCs w:val="24"/>
          <w:lang w:eastAsia="sk-SK"/>
        </w:rPr>
        <w:t xml:space="preserve"> roku 2024.</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9714D4"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2.2.4. Výpočty vplyvov na verejné financie</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K novele zákona č. 595/2003 Z.z. o dani z príjmov</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51BD4" w:rsidRDefault="00A74FE9" w:rsidP="00A74FE9">
      <w:pPr>
        <w:spacing w:after="0" w:line="240" w:lineRule="auto"/>
        <w:jc w:val="both"/>
        <w:rPr>
          <w:rFonts w:ascii="Times New Roman" w:eastAsia="Times New Roman" w:hAnsi="Times New Roman" w:cs="Times New Roman"/>
          <w:b/>
          <w:sz w:val="24"/>
          <w:szCs w:val="24"/>
          <w:lang w:eastAsia="sk-SK"/>
        </w:rPr>
      </w:pPr>
      <w:r w:rsidRPr="7666C9B9">
        <w:rPr>
          <w:rFonts w:ascii="Times New Roman" w:eastAsia="Times New Roman" w:hAnsi="Times New Roman" w:cs="Times New Roman"/>
          <w:b/>
          <w:bCs/>
          <w:sz w:val="24"/>
          <w:szCs w:val="24"/>
          <w:lang w:eastAsia="sk-SK"/>
        </w:rPr>
        <w:t>Zvýšenie sadzby zrážkovej dane z dividend na 10 %</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61BD6446">
        <w:rPr>
          <w:rFonts w:ascii="Times New Roman" w:eastAsia="Times New Roman" w:hAnsi="Times New Roman" w:cs="Times New Roman"/>
          <w:sz w:val="24"/>
          <w:szCs w:val="24"/>
          <w:lang w:eastAsia="sk-SK"/>
        </w:rPr>
        <w:t xml:space="preserve">Zvýšené zdanenie sa bude týkať len zdanenia domácich investorov. Predpokladáme, že v rámci optimalizácie budú firmy prvé roky vo väčšej miere vyplácať dividendy zo starých nerozdelených ziskov.  </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Úprava zdanenia kapitálových príjmov fyzických osôb</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61BD6446">
        <w:rPr>
          <w:rFonts w:ascii="Times New Roman" w:eastAsia="Times New Roman" w:hAnsi="Times New Roman" w:cs="Times New Roman"/>
          <w:sz w:val="24"/>
          <w:szCs w:val="24"/>
          <w:lang w:eastAsia="sk-SK"/>
        </w:rPr>
        <w:t>Kvantifikácia je založená na údajoch o zdanení podielových fondov a o príjmoch z predaja virtuálnych mien v roku 2022. Opatrenie bude mať vplyv na daň z príjmu fyzických osôb z podnikania, daň z príjmu vyberanú zrážkou a na zdravotné odvody.</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Zavedenie minimálnej dane z príjmov právnických osôb</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3589C511">
        <w:rPr>
          <w:rFonts w:ascii="Times New Roman" w:eastAsia="Times New Roman" w:hAnsi="Times New Roman" w:cs="Times New Roman"/>
          <w:sz w:val="24"/>
          <w:szCs w:val="24"/>
          <w:lang w:eastAsia="sk-SK"/>
        </w:rPr>
        <w:t xml:space="preserve">Opatrenie zasiahne celkovo 200 tis. subjektov a prinesie do štátneho rozpočtu približne 120 mil. eur v roku 2024.  Výpočet bol zhotovený pomocou daňových priznaní z predošlých rokov. </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 xml:space="preserve"> </w:t>
      </w:r>
    </w:p>
    <w:p w:rsidR="00A74FE9" w:rsidRPr="003E63FD" w:rsidRDefault="00A74FE9" w:rsidP="00A74FE9">
      <w:pPr>
        <w:spacing w:after="0" w:line="240" w:lineRule="auto"/>
        <w:jc w:val="both"/>
        <w:rPr>
          <w:rFonts w:ascii="Times New Roman" w:eastAsia="Times New Roman" w:hAnsi="Times New Roman" w:cs="Times New Roman"/>
          <w:b/>
          <w:bCs/>
          <w:sz w:val="24"/>
          <w:szCs w:val="24"/>
        </w:rPr>
      </w:pPr>
      <w:r w:rsidRPr="003E63FD">
        <w:rPr>
          <w:rFonts w:ascii="Times New Roman" w:eastAsia="Times New Roman" w:hAnsi="Times New Roman" w:cs="Times New Roman"/>
          <w:b/>
          <w:bCs/>
          <w:sz w:val="24"/>
          <w:szCs w:val="24"/>
        </w:rPr>
        <w:t>Zvýšenie hranice zdaniteľných príjmov pre klasifikáciu mikrodaňovníkov z</w:t>
      </w:r>
      <w:r>
        <w:rPr>
          <w:rFonts w:ascii="Times New Roman" w:eastAsia="Times New Roman" w:hAnsi="Times New Roman" w:cs="Times New Roman"/>
          <w:b/>
          <w:bCs/>
          <w:sz w:val="24"/>
          <w:szCs w:val="24"/>
        </w:rPr>
        <w:t>o</w:t>
      </w:r>
      <w:r w:rsidRPr="003E63FD">
        <w:rPr>
          <w:rFonts w:ascii="Times New Roman" w:eastAsia="Times New Roman" w:hAnsi="Times New Roman" w:cs="Times New Roman"/>
          <w:b/>
          <w:bCs/>
          <w:sz w:val="24"/>
          <w:szCs w:val="24"/>
        </w:rPr>
        <w:t xml:space="preserve"> 49,7 </w:t>
      </w:r>
      <w:r>
        <w:rPr>
          <w:rFonts w:ascii="Times New Roman" w:eastAsia="Times New Roman" w:hAnsi="Times New Roman" w:cs="Times New Roman"/>
          <w:b/>
          <w:bCs/>
          <w:sz w:val="24"/>
          <w:szCs w:val="24"/>
        </w:rPr>
        <w:t xml:space="preserve">tis. eur </w:t>
      </w:r>
      <w:r w:rsidRPr="003E63FD">
        <w:rPr>
          <w:rFonts w:ascii="Times New Roman" w:eastAsia="Times New Roman" w:hAnsi="Times New Roman" w:cs="Times New Roman"/>
          <w:b/>
          <w:bCs/>
          <w:sz w:val="24"/>
          <w:szCs w:val="24"/>
        </w:rPr>
        <w:t>na 60 tis. eur.</w:t>
      </w:r>
    </w:p>
    <w:p w:rsidR="00A74FE9" w:rsidRPr="003E63FD" w:rsidRDefault="00A74FE9" w:rsidP="00A74FE9">
      <w:pPr>
        <w:spacing w:after="0" w:line="240" w:lineRule="auto"/>
        <w:jc w:val="both"/>
        <w:rPr>
          <w:sz w:val="24"/>
          <w:szCs w:val="24"/>
        </w:rPr>
      </w:pPr>
      <w:r w:rsidRPr="003E63FD">
        <w:rPr>
          <w:rFonts w:ascii="Times New Roman" w:eastAsia="Times New Roman" w:hAnsi="Times New Roman" w:cs="Times New Roman"/>
          <w:sz w:val="24"/>
          <w:szCs w:val="24"/>
        </w:rPr>
        <w:t xml:space="preserve">Zvýšenie limitu </w:t>
      </w:r>
      <w:r>
        <w:rPr>
          <w:rFonts w:ascii="Times New Roman" w:eastAsia="Times New Roman" w:hAnsi="Times New Roman" w:cs="Times New Roman"/>
          <w:sz w:val="24"/>
          <w:szCs w:val="24"/>
        </w:rPr>
        <w:t xml:space="preserve">príjmu </w:t>
      </w:r>
      <w:r w:rsidRPr="003E63FD">
        <w:rPr>
          <w:rFonts w:ascii="Times New Roman" w:eastAsia="Times New Roman" w:hAnsi="Times New Roman" w:cs="Times New Roman"/>
          <w:sz w:val="24"/>
          <w:szCs w:val="24"/>
        </w:rPr>
        <w:t>mikrodaňovníka na 60 tisíc eur sa dotkne približne 15 000 subjektov. Výpadok na dani z príjmu odhadujeme medzi 4,6 až 5 mil. eur v nasledujúcich troch rokoch. Výpočet bol spravený na daňových priznaniach za posledných 5 rokov.</w:t>
      </w:r>
    </w:p>
    <w:p w:rsidR="00A74FE9" w:rsidRPr="003E63FD"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D5748" w:rsidSect="001733E1">
          <w:pgSz w:w="11906" w:h="16838"/>
          <w:pgMar w:top="1417" w:right="1417" w:bottom="1276" w:left="1417" w:header="708" w:footer="708" w:gutter="0"/>
          <w:cols w:space="708"/>
          <w:docGrid w:linePitch="360"/>
        </w:sect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E425AF"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xml:space="preserve">Príjmy </w:t>
            </w:r>
            <w:r>
              <w:rPr>
                <w:rFonts w:ascii="Times New Roman" w:eastAsia="Times New Roman" w:hAnsi="Times New Roman" w:cs="Times New Roman"/>
                <w:b/>
                <w:bCs/>
                <w:lang w:eastAsia="sk-SK"/>
              </w:rPr>
              <w:t xml:space="preserve">štátneho rozpočtu </w:t>
            </w:r>
            <w:r w:rsidRPr="00E425AF">
              <w:rPr>
                <w:rFonts w:ascii="Times New Roman" w:eastAsia="Times New Roman" w:hAnsi="Times New Roman" w:cs="Times New Roman"/>
                <w:b/>
                <w:bCs/>
                <w:lang w:eastAsia="sk-SK"/>
              </w:rPr>
              <w:t>(v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xml:space="preserve">Vplyv na </w:t>
            </w:r>
            <w:r>
              <w:rPr>
                <w:rFonts w:ascii="Times New Roman" w:eastAsia="Times New Roman" w:hAnsi="Times New Roman" w:cs="Times New Roman"/>
                <w:b/>
                <w:bCs/>
                <w:lang w:eastAsia="sk-SK"/>
              </w:rPr>
              <w:t xml:space="preserve">štátny </w:t>
            </w:r>
            <w:r w:rsidRPr="00E425AF">
              <w:rPr>
                <w:rFonts w:ascii="Times New Roman" w:eastAsia="Times New Roman" w:hAnsi="Times New Roman" w:cs="Times New Roman"/>
                <w:b/>
                <w:bCs/>
                <w:lang w:eastAsia="sk-SK"/>
              </w:rPr>
              <w:t xml:space="preserve">rozpočet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Daňové príjmy (100)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r>
              <w:rPr>
                <w:rFonts w:ascii="Times New Roman" w:eastAsia="Times New Roman" w:hAnsi="Times New Roman" w:cs="Times New Roman"/>
                <w:b/>
                <w:bCs/>
                <w:color w:val="000000"/>
                <w:sz w:val="24"/>
                <w:szCs w:val="24"/>
                <w:lang w:eastAsia="sk-SK"/>
              </w:rPr>
              <w:t>136 763</w:t>
            </w:r>
            <w:r w:rsidRPr="0052263E">
              <w:rPr>
                <w:rFonts w:ascii="Times New Roman" w:eastAsia="Times New Roman" w:hAnsi="Times New Roman" w:cs="Times New Roman"/>
                <w:b/>
                <w:bCs/>
                <w:color w:val="000000"/>
                <w:sz w:val="24"/>
                <w:szCs w:val="24"/>
                <w:lang w:eastAsia="sk-SK"/>
              </w:rPr>
              <w:t xml:space="preserve"> 000</w:t>
            </w:r>
          </w:p>
        </w:tc>
        <w:tc>
          <w:tcPr>
            <w:tcW w:w="1500" w:type="dxa"/>
            <w:tcBorders>
              <w:top w:val="nil"/>
              <w:left w:val="nil"/>
              <w:bottom w:val="single" w:sz="8" w:space="0" w:color="auto"/>
              <w:right w:val="single" w:sz="8" w:space="0" w:color="auto"/>
            </w:tcBorders>
            <w:shd w:val="clear" w:color="auto" w:fill="auto"/>
            <w:vAlign w:val="center"/>
          </w:tcPr>
          <w:p w:rsidR="00A74FE9" w:rsidRPr="00136D2C" w:rsidRDefault="00A74FE9" w:rsidP="00A74FE9">
            <w:pPr>
              <w:spacing w:after="0"/>
              <w:jc w:val="right"/>
              <w:rPr>
                <w:rFonts w:ascii="Times New Roman" w:eastAsia="Times New Roman" w:hAnsi="Times New Roman" w:cs="Times New Roman"/>
                <w:b/>
                <w:bCs/>
                <w:color w:val="000000"/>
                <w:sz w:val="24"/>
                <w:szCs w:val="24"/>
                <w:lang w:eastAsia="sk-SK"/>
              </w:rPr>
            </w:pPr>
            <w:r w:rsidRPr="00136D2C">
              <w:rPr>
                <w:rFonts w:ascii="Times New Roman" w:eastAsia="Times New Roman" w:hAnsi="Times New Roman" w:cs="Times New Roman"/>
                <w:b/>
                <w:bCs/>
                <w:color w:val="000000"/>
                <w:sz w:val="24"/>
                <w:szCs w:val="24"/>
                <w:lang w:eastAsia="sk-SK"/>
              </w:rPr>
              <w:t>113 592 000</w:t>
            </w:r>
          </w:p>
        </w:tc>
        <w:tc>
          <w:tcPr>
            <w:tcW w:w="1500" w:type="dxa"/>
            <w:tcBorders>
              <w:top w:val="nil"/>
              <w:left w:val="nil"/>
              <w:bottom w:val="single" w:sz="8" w:space="0" w:color="auto"/>
              <w:right w:val="single" w:sz="8" w:space="0" w:color="auto"/>
            </w:tcBorders>
            <w:shd w:val="clear" w:color="auto" w:fill="auto"/>
            <w:vAlign w:val="center"/>
          </w:tcPr>
          <w:p w:rsidR="00A74FE9" w:rsidRPr="00136D2C" w:rsidRDefault="00A74FE9" w:rsidP="00A74FE9">
            <w:pPr>
              <w:spacing w:after="0"/>
              <w:jc w:val="right"/>
              <w:rPr>
                <w:rFonts w:ascii="Times New Roman" w:eastAsia="Times New Roman" w:hAnsi="Times New Roman" w:cs="Times New Roman"/>
                <w:b/>
                <w:bCs/>
                <w:color w:val="000000"/>
                <w:sz w:val="24"/>
                <w:szCs w:val="24"/>
                <w:lang w:eastAsia="sk-SK"/>
              </w:rPr>
            </w:pPr>
            <w:r w:rsidRPr="00136D2C">
              <w:rPr>
                <w:rFonts w:ascii="Times New Roman" w:eastAsia="Times New Roman" w:hAnsi="Times New Roman" w:cs="Times New Roman"/>
                <w:b/>
                <w:bCs/>
                <w:color w:val="000000"/>
                <w:sz w:val="24"/>
                <w:szCs w:val="24"/>
                <w:lang w:eastAsia="sk-SK"/>
              </w:rPr>
              <w:t>118 795 000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3E63FD" w:rsidRDefault="00A74FE9" w:rsidP="00A74FE9">
            <w:pPr>
              <w:spacing w:after="0"/>
              <w:rPr>
                <w:rFonts w:ascii="Times New Roman" w:hAnsi="Times New Roman" w:cs="Times New Roman"/>
                <w:i/>
                <w:iCs/>
                <w:color w:val="000000"/>
              </w:rPr>
            </w:pPr>
            <w:r w:rsidRPr="0052263E">
              <w:rPr>
                <w:rFonts w:ascii="Times New Roman" w:eastAsia="Times New Roman" w:hAnsi="Times New Roman" w:cs="Times New Roman"/>
                <w:i/>
                <w:iCs/>
                <w:color w:val="000000"/>
                <w:sz w:val="24"/>
                <w:szCs w:val="24"/>
                <w:lang w:eastAsia="sk-SK"/>
              </w:rPr>
              <w:t>Rozpočtové prostriedky</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52263E">
              <w:rPr>
                <w:rFonts w:ascii="Times New Roman" w:eastAsia="Times New Roman" w:hAnsi="Times New Roman" w:cs="Times New Roman"/>
                <w:b/>
                <w:bCs/>
                <w:color w:val="000000"/>
                <w:sz w:val="24"/>
                <w:szCs w:val="24"/>
                <w:lang w:eastAsia="sk-SK"/>
              </w:rPr>
              <w:t>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color w:val="000000"/>
              </w:rPr>
            </w:pPr>
            <w:r>
              <w:rPr>
                <w:rFonts w:ascii="Times New Roman" w:eastAsia="Times New Roman" w:hAnsi="Times New Roman" w:cs="Times New Roman"/>
                <w:b/>
                <w:bCs/>
                <w:color w:val="000000"/>
                <w:sz w:val="24"/>
                <w:szCs w:val="24"/>
                <w:lang w:eastAsia="sk-SK"/>
              </w:rPr>
              <w:t>136 763</w:t>
            </w:r>
            <w:r w:rsidRPr="0052263E">
              <w:rPr>
                <w:rFonts w:ascii="Times New Roman" w:eastAsia="Times New Roman" w:hAnsi="Times New Roman" w:cs="Times New Roman"/>
                <w:b/>
                <w:bCs/>
                <w:color w:val="000000"/>
                <w:sz w:val="24"/>
                <w:szCs w:val="24"/>
                <w:lang w:eastAsia="sk-SK"/>
              </w:rPr>
              <w:t xml:space="preserve"> 000</w:t>
            </w:r>
          </w:p>
        </w:tc>
        <w:tc>
          <w:tcPr>
            <w:tcW w:w="1500" w:type="dxa"/>
            <w:tcBorders>
              <w:top w:val="nil"/>
              <w:left w:val="nil"/>
              <w:bottom w:val="single" w:sz="8" w:space="0" w:color="auto"/>
              <w:right w:val="single" w:sz="8" w:space="0" w:color="auto"/>
            </w:tcBorders>
            <w:shd w:val="clear" w:color="auto" w:fill="auto"/>
            <w:vAlign w:val="center"/>
          </w:tcPr>
          <w:p w:rsidR="00A74FE9" w:rsidRPr="00136D2C" w:rsidRDefault="00A74FE9" w:rsidP="00A74FE9">
            <w:pPr>
              <w:spacing w:after="0"/>
              <w:jc w:val="right"/>
              <w:rPr>
                <w:rFonts w:ascii="Times New Roman" w:eastAsia="Times New Roman" w:hAnsi="Times New Roman" w:cs="Times New Roman"/>
                <w:b/>
                <w:bCs/>
                <w:color w:val="000000"/>
                <w:sz w:val="24"/>
                <w:szCs w:val="24"/>
                <w:lang w:eastAsia="sk-SK"/>
              </w:rPr>
            </w:pPr>
            <w:r w:rsidRPr="00136D2C">
              <w:rPr>
                <w:rFonts w:ascii="Times New Roman" w:eastAsia="Times New Roman" w:hAnsi="Times New Roman" w:cs="Times New Roman"/>
                <w:b/>
                <w:bCs/>
                <w:color w:val="000000"/>
                <w:sz w:val="24"/>
                <w:szCs w:val="24"/>
                <w:lang w:eastAsia="sk-SK"/>
              </w:rPr>
              <w:t>113 592 000</w:t>
            </w:r>
          </w:p>
        </w:tc>
        <w:tc>
          <w:tcPr>
            <w:tcW w:w="1500" w:type="dxa"/>
            <w:tcBorders>
              <w:top w:val="nil"/>
              <w:left w:val="nil"/>
              <w:bottom w:val="single" w:sz="8" w:space="0" w:color="auto"/>
              <w:right w:val="single" w:sz="8" w:space="0" w:color="auto"/>
            </w:tcBorders>
            <w:shd w:val="clear" w:color="auto" w:fill="auto"/>
            <w:vAlign w:val="center"/>
          </w:tcPr>
          <w:p w:rsidR="00A74FE9" w:rsidRPr="00136D2C" w:rsidRDefault="00A74FE9" w:rsidP="00A74FE9">
            <w:pPr>
              <w:spacing w:after="0"/>
              <w:jc w:val="right"/>
              <w:rPr>
                <w:rFonts w:ascii="Times New Roman" w:eastAsia="Times New Roman" w:hAnsi="Times New Roman" w:cs="Times New Roman"/>
                <w:b/>
                <w:bCs/>
                <w:color w:val="000000"/>
                <w:sz w:val="24"/>
                <w:szCs w:val="24"/>
                <w:lang w:eastAsia="sk-SK"/>
              </w:rPr>
            </w:pPr>
            <w:r w:rsidRPr="00136D2C">
              <w:rPr>
                <w:rFonts w:ascii="Times New Roman" w:eastAsia="Times New Roman" w:hAnsi="Times New Roman" w:cs="Times New Roman"/>
                <w:b/>
                <w:bCs/>
                <w:color w:val="000000"/>
                <w:sz w:val="24"/>
                <w:szCs w:val="24"/>
                <w:lang w:eastAsia="sk-SK"/>
              </w:rPr>
              <w:t>118 795 000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3E63FD" w:rsidRDefault="00A74FE9" w:rsidP="00A74FE9">
            <w:pPr>
              <w:spacing w:after="0"/>
              <w:rPr>
                <w:rFonts w:ascii="Times New Roman" w:hAnsi="Times New Roman" w:cs="Times New Roman"/>
                <w:b/>
                <w:bCs/>
                <w:color w:val="000000"/>
              </w:rPr>
            </w:pPr>
            <w:r w:rsidRPr="0052263E">
              <w:rPr>
                <w:rFonts w:ascii="Times New Roman" w:eastAsia="Times New Roman" w:hAnsi="Times New Roman" w:cs="Times New Roman"/>
                <w:i/>
                <w:iCs/>
                <w:color w:val="000000"/>
                <w:sz w:val="24"/>
                <w:szCs w:val="24"/>
                <w:lang w:eastAsia="sk-SK"/>
              </w:rPr>
              <w:t xml:space="preserve">v tom: (111) daň z príjmov fyzických osôb </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11 508 000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-40 000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-43 000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3E63FD" w:rsidRDefault="00A74FE9" w:rsidP="00A74FE9">
            <w:pPr>
              <w:spacing w:after="0"/>
              <w:rPr>
                <w:rFonts w:ascii="Times New Roman" w:hAnsi="Times New Roman" w:cs="Times New Roman"/>
                <w:b/>
                <w:bCs/>
                <w:color w:val="000000"/>
              </w:rPr>
            </w:pPr>
            <w:r w:rsidRPr="0052263E">
              <w:rPr>
                <w:rFonts w:ascii="Times New Roman" w:eastAsia="Times New Roman" w:hAnsi="Times New Roman" w:cs="Times New Roman"/>
                <w:i/>
                <w:iCs/>
                <w:color w:val="000000"/>
                <w:sz w:val="24"/>
                <w:szCs w:val="24"/>
                <w:lang w:eastAsia="sk-SK"/>
              </w:rPr>
              <w:t>v tom: (112) daň z príjmov právnických osôb</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0</w:t>
            </w:r>
          </w:p>
        </w:tc>
        <w:tc>
          <w:tcPr>
            <w:tcW w:w="1500" w:type="dxa"/>
            <w:tcBorders>
              <w:top w:val="nil"/>
              <w:left w:val="nil"/>
              <w:bottom w:val="single" w:sz="8" w:space="0" w:color="auto"/>
              <w:right w:val="single" w:sz="8" w:space="0" w:color="auto"/>
            </w:tcBorders>
            <w:shd w:val="clear" w:color="auto" w:fill="auto"/>
            <w:vAlign w:val="center"/>
          </w:tcPr>
          <w:p w:rsidR="00A74FE9" w:rsidRPr="00136D2C" w:rsidRDefault="00A74FE9" w:rsidP="00A74FE9">
            <w:pPr>
              <w:spacing w:after="0"/>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102 892</w:t>
            </w:r>
            <w:r w:rsidRPr="0052263E">
              <w:rPr>
                <w:rFonts w:ascii="Times New Roman" w:eastAsia="Times New Roman" w:hAnsi="Times New Roman" w:cs="Times New Roman"/>
                <w:color w:val="000000"/>
                <w:sz w:val="24"/>
                <w:szCs w:val="24"/>
                <w:lang w:eastAsia="sk-SK"/>
              </w:rPr>
              <w:t xml:space="preserve"> 000</w:t>
            </w:r>
          </w:p>
        </w:tc>
        <w:tc>
          <w:tcPr>
            <w:tcW w:w="1500" w:type="dxa"/>
            <w:tcBorders>
              <w:top w:val="nil"/>
              <w:left w:val="nil"/>
              <w:bottom w:val="single" w:sz="8" w:space="0" w:color="auto"/>
              <w:right w:val="single" w:sz="8" w:space="0" w:color="auto"/>
            </w:tcBorders>
            <w:shd w:val="clear" w:color="auto" w:fill="auto"/>
            <w:vAlign w:val="center"/>
          </w:tcPr>
          <w:p w:rsidR="00A74FE9" w:rsidRPr="00136D2C" w:rsidRDefault="00A74FE9" w:rsidP="00A74FE9">
            <w:pPr>
              <w:spacing w:after="0"/>
              <w:jc w:val="right"/>
              <w:rPr>
                <w:rFonts w:ascii="Times New Roman" w:eastAsia="Times New Roman" w:hAnsi="Times New Roman" w:cs="Times New Roman"/>
                <w:color w:val="000000"/>
                <w:sz w:val="24"/>
                <w:szCs w:val="24"/>
                <w:lang w:eastAsia="sk-SK"/>
              </w:rPr>
            </w:pPr>
            <w:r w:rsidRPr="00136D2C">
              <w:rPr>
                <w:rFonts w:ascii="Times New Roman" w:eastAsia="Times New Roman" w:hAnsi="Times New Roman" w:cs="Times New Roman"/>
                <w:color w:val="000000"/>
                <w:sz w:val="24"/>
                <w:szCs w:val="24"/>
                <w:lang w:eastAsia="sk-SK"/>
              </w:rPr>
              <w:t>86 732 000</w:t>
            </w:r>
          </w:p>
        </w:tc>
        <w:tc>
          <w:tcPr>
            <w:tcW w:w="1500" w:type="dxa"/>
            <w:tcBorders>
              <w:top w:val="nil"/>
              <w:left w:val="nil"/>
              <w:bottom w:val="single" w:sz="8" w:space="0" w:color="auto"/>
              <w:right w:val="single" w:sz="8" w:space="0" w:color="auto"/>
            </w:tcBorders>
            <w:shd w:val="clear" w:color="auto" w:fill="auto"/>
            <w:vAlign w:val="center"/>
          </w:tcPr>
          <w:p w:rsidR="00A74FE9" w:rsidRPr="00136D2C" w:rsidRDefault="00A74FE9" w:rsidP="00A74FE9">
            <w:pPr>
              <w:spacing w:after="0"/>
              <w:jc w:val="right"/>
              <w:rPr>
                <w:rFonts w:ascii="Times New Roman" w:eastAsia="Times New Roman" w:hAnsi="Times New Roman" w:cs="Times New Roman"/>
                <w:color w:val="000000"/>
                <w:sz w:val="24"/>
                <w:szCs w:val="24"/>
                <w:lang w:eastAsia="sk-SK"/>
              </w:rPr>
            </w:pPr>
            <w:r w:rsidRPr="00136D2C">
              <w:rPr>
                <w:rFonts w:ascii="Times New Roman" w:eastAsia="Times New Roman" w:hAnsi="Times New Roman" w:cs="Times New Roman"/>
                <w:color w:val="000000"/>
                <w:sz w:val="24"/>
                <w:szCs w:val="24"/>
                <w:lang w:eastAsia="sk-SK"/>
              </w:rPr>
              <w:t>86 575 000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3E63FD" w:rsidRDefault="00A74FE9" w:rsidP="00A74FE9">
            <w:pPr>
              <w:spacing w:after="0"/>
              <w:rPr>
                <w:rFonts w:ascii="Times New Roman" w:hAnsi="Times New Roman" w:cs="Times New Roman"/>
                <w:b/>
                <w:bCs/>
                <w:color w:val="000000"/>
              </w:rPr>
            </w:pPr>
            <w:r w:rsidRPr="0052263E">
              <w:rPr>
                <w:rFonts w:ascii="Times New Roman" w:eastAsia="Times New Roman" w:hAnsi="Times New Roman" w:cs="Times New Roman"/>
                <w:i/>
                <w:iCs/>
                <w:color w:val="000000"/>
                <w:sz w:val="24"/>
                <w:szCs w:val="24"/>
                <w:lang w:eastAsia="sk-SK"/>
              </w:rPr>
              <w:t>v tom: (113) daň z príjmov vyberaná zrážkou</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22 363 000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26 900 000</w:t>
            </w: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r w:rsidRPr="0052263E">
              <w:rPr>
                <w:rFonts w:ascii="Times New Roman" w:eastAsia="Times New Roman" w:hAnsi="Times New Roman" w:cs="Times New Roman"/>
                <w:color w:val="000000"/>
                <w:sz w:val="24"/>
                <w:szCs w:val="24"/>
                <w:lang w:eastAsia="sk-SK"/>
              </w:rPr>
              <w:t>32 263 000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Nedaňové príjmy (200)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E63FD" w:rsidRDefault="00A74FE9" w:rsidP="00A74FE9">
            <w:pPr>
              <w:spacing w:after="0"/>
              <w:jc w:val="right"/>
              <w:rPr>
                <w:rFonts w:ascii="Times New Roman" w:hAnsi="Times New Roman" w:cs="Times New Roman"/>
                <w:b/>
                <w:bCs/>
                <w:color w:val="000000"/>
              </w:rPr>
            </w:pP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3E63FD" w:rsidRDefault="00A74FE9" w:rsidP="00A74FE9">
            <w:pPr>
              <w:spacing w:after="0"/>
              <w:jc w:val="center"/>
              <w:rPr>
                <w:rFonts w:ascii="Times New Roman" w:hAnsi="Times New Roman" w:cs="Times New Roman"/>
                <w:b/>
                <w:bCs/>
                <w:color w:val="000000"/>
              </w:rPr>
            </w:pPr>
            <w:r w:rsidRPr="003E63FD">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3E63FD" w:rsidRDefault="00A74FE9" w:rsidP="00A74FE9">
            <w:pPr>
              <w:spacing w:after="0"/>
              <w:jc w:val="center"/>
              <w:rPr>
                <w:rFonts w:ascii="Times New Roman" w:hAnsi="Times New Roman" w:cs="Times New Roman"/>
                <w:b/>
                <w:bCs/>
                <w:color w:val="000000"/>
              </w:rPr>
            </w:pPr>
            <w:r w:rsidRPr="003E63FD">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3E63FD" w:rsidRDefault="00A74FE9" w:rsidP="00A74FE9">
            <w:pPr>
              <w:spacing w:after="0"/>
              <w:jc w:val="center"/>
              <w:rPr>
                <w:rFonts w:ascii="Times New Roman" w:hAnsi="Times New Roman" w:cs="Times New Roman"/>
                <w:b/>
                <w:bCs/>
                <w:color w:val="000000"/>
              </w:rPr>
            </w:pPr>
            <w:r w:rsidRPr="003E63FD">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3E63FD" w:rsidRDefault="00A74FE9" w:rsidP="00A74FE9">
            <w:pPr>
              <w:spacing w:after="0"/>
              <w:jc w:val="center"/>
              <w:rPr>
                <w:rFonts w:ascii="Times New Roman" w:hAnsi="Times New Roman" w:cs="Times New Roman"/>
                <w:b/>
                <w:bCs/>
                <w:color w:val="000000"/>
              </w:rPr>
            </w:pPr>
            <w:r w:rsidRPr="003E63FD">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3E63FD" w:rsidRDefault="00A74FE9" w:rsidP="00A74FE9">
            <w:pPr>
              <w:spacing w:after="0"/>
              <w:jc w:val="center"/>
              <w:rPr>
                <w:rFonts w:ascii="Times New Roman" w:hAnsi="Times New Roman" w:cs="Times New Roman"/>
                <w:b/>
                <w:bCs/>
                <w:color w:val="000000"/>
              </w:rPr>
            </w:pPr>
            <w:r w:rsidRPr="003E63FD">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3E63FD" w:rsidRDefault="00A74FE9" w:rsidP="00A74FE9">
            <w:pPr>
              <w:spacing w:after="0"/>
              <w:jc w:val="center"/>
              <w:rPr>
                <w:rFonts w:ascii="Times New Roman" w:hAnsi="Times New Roman" w:cs="Times New Roman"/>
                <w:b/>
                <w:bCs/>
                <w:color w:val="000000"/>
              </w:rPr>
            </w:pPr>
            <w:r w:rsidRPr="003E63FD">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Dopad na príjmy </w:t>
            </w:r>
            <w:r>
              <w:rPr>
                <w:rFonts w:ascii="Times New Roman" w:hAnsi="Times New Roman" w:cs="Times New Roman"/>
                <w:b/>
                <w:bCs/>
                <w:color w:val="000000"/>
              </w:rPr>
              <w:t>štátneho rozpočtu</w:t>
            </w:r>
            <w:r w:rsidRPr="00E425AF">
              <w:rPr>
                <w:rFonts w:ascii="Times New Roman" w:hAnsi="Times New Roman" w:cs="Times New Roman"/>
                <w:b/>
                <w:bCs/>
                <w:color w:val="000000"/>
              </w:rPr>
              <w:t xml:space="preserve"> celkom</w:t>
            </w:r>
          </w:p>
        </w:tc>
        <w:tc>
          <w:tcPr>
            <w:tcW w:w="150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0</w:t>
            </w:r>
          </w:p>
        </w:tc>
        <w:tc>
          <w:tcPr>
            <w:tcW w:w="1500" w:type="dxa"/>
            <w:tcBorders>
              <w:top w:val="nil"/>
              <w:left w:val="nil"/>
              <w:bottom w:val="single" w:sz="8" w:space="0" w:color="auto"/>
              <w:right w:val="single" w:sz="8" w:space="0" w:color="auto"/>
            </w:tcBorders>
            <w:shd w:val="clear" w:color="000000" w:fill="BFBFBF"/>
            <w:vAlign w:val="center"/>
          </w:tcPr>
          <w:p w:rsidR="00A74FE9" w:rsidRPr="003E63FD" w:rsidRDefault="00A74FE9" w:rsidP="00A74FE9">
            <w:pPr>
              <w:spacing w:after="0"/>
              <w:ind w:hanging="143"/>
              <w:jc w:val="center"/>
              <w:rPr>
                <w:rFonts w:ascii="Times New Roman" w:hAnsi="Times New Roman" w:cs="Times New Roman"/>
                <w:b/>
                <w:bCs/>
                <w:color w:val="000000"/>
              </w:rPr>
            </w:pPr>
            <w:r>
              <w:rPr>
                <w:rFonts w:ascii="Times New Roman" w:eastAsia="Times New Roman" w:hAnsi="Times New Roman" w:cs="Times New Roman"/>
                <w:b/>
                <w:bCs/>
                <w:color w:val="000000"/>
                <w:sz w:val="24"/>
                <w:szCs w:val="24"/>
                <w:lang w:eastAsia="sk-SK"/>
              </w:rPr>
              <w:t>136 763</w:t>
            </w:r>
            <w:r w:rsidRPr="0052263E">
              <w:rPr>
                <w:rFonts w:ascii="Times New Roman" w:eastAsia="Times New Roman" w:hAnsi="Times New Roman" w:cs="Times New Roman"/>
                <w:b/>
                <w:bCs/>
                <w:color w:val="000000"/>
                <w:sz w:val="24"/>
                <w:szCs w:val="24"/>
                <w:lang w:eastAsia="sk-SK"/>
              </w:rPr>
              <w:t xml:space="preserve"> 000</w:t>
            </w:r>
          </w:p>
        </w:tc>
        <w:tc>
          <w:tcPr>
            <w:tcW w:w="1500" w:type="dxa"/>
            <w:tcBorders>
              <w:top w:val="nil"/>
              <w:left w:val="nil"/>
              <w:bottom w:val="single" w:sz="8" w:space="0" w:color="auto"/>
              <w:right w:val="single" w:sz="8" w:space="0" w:color="auto"/>
            </w:tcBorders>
            <w:shd w:val="clear" w:color="000000" w:fill="BFBFBF"/>
            <w:vAlign w:val="center"/>
          </w:tcPr>
          <w:p w:rsidR="00A74FE9" w:rsidRPr="003E63FD" w:rsidRDefault="00A74FE9" w:rsidP="00A74FE9">
            <w:pPr>
              <w:spacing w:after="0"/>
              <w:ind w:hanging="143"/>
              <w:jc w:val="center"/>
              <w:rPr>
                <w:rFonts w:ascii="Times New Roman" w:hAnsi="Times New Roman" w:cs="Times New Roman"/>
                <w:b/>
                <w:bCs/>
                <w:color w:val="000000"/>
              </w:rPr>
            </w:pPr>
            <w:r w:rsidRPr="00136D2C">
              <w:rPr>
                <w:rFonts w:ascii="Times New Roman" w:eastAsia="Times New Roman" w:hAnsi="Times New Roman" w:cs="Times New Roman"/>
                <w:b/>
                <w:bCs/>
                <w:color w:val="000000"/>
                <w:sz w:val="24"/>
                <w:szCs w:val="24"/>
                <w:lang w:eastAsia="sk-SK"/>
              </w:rPr>
              <w:t>113 592 000</w:t>
            </w:r>
          </w:p>
        </w:tc>
        <w:tc>
          <w:tcPr>
            <w:tcW w:w="1500" w:type="dxa"/>
            <w:tcBorders>
              <w:top w:val="nil"/>
              <w:left w:val="nil"/>
              <w:bottom w:val="single" w:sz="8" w:space="0" w:color="auto"/>
              <w:right w:val="single" w:sz="8" w:space="0" w:color="auto"/>
            </w:tcBorders>
            <w:shd w:val="clear" w:color="000000" w:fill="BFBFBF"/>
            <w:vAlign w:val="center"/>
          </w:tcPr>
          <w:p w:rsidR="00A74FE9" w:rsidRPr="003E63FD" w:rsidRDefault="00A74FE9" w:rsidP="00A74FE9">
            <w:pPr>
              <w:spacing w:after="0"/>
              <w:ind w:hanging="143"/>
              <w:jc w:val="center"/>
              <w:rPr>
                <w:rFonts w:ascii="Times New Roman" w:hAnsi="Times New Roman" w:cs="Times New Roman"/>
                <w:b/>
                <w:bCs/>
                <w:color w:val="000000"/>
              </w:rPr>
            </w:pPr>
            <w:r w:rsidRPr="00136D2C">
              <w:rPr>
                <w:rFonts w:ascii="Times New Roman" w:eastAsia="Times New Roman" w:hAnsi="Times New Roman" w:cs="Times New Roman"/>
                <w:b/>
                <w:bCs/>
                <w:color w:val="000000"/>
                <w:sz w:val="24"/>
                <w:szCs w:val="24"/>
                <w:lang w:eastAsia="sk-SK"/>
              </w:rPr>
              <w:t>118 795 000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A74FE9" w:rsidRDefault="00A74FE9" w:rsidP="00A74FE9">
      <w:pP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br w:type="page"/>
      </w:r>
    </w:p>
    <w:p w:rsidR="00A74FE9"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74FE9" w:rsidRPr="00295129"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obcí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Vplyv na rozpočet obcí</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poznámka</w:t>
            </w:r>
          </w:p>
        </w:tc>
      </w:tr>
      <w:tr w:rsidR="00A74FE9" w:rsidRPr="00295129"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2026</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Daňové príjmy (100)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8 055 600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8 027 600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295129">
              <w:rPr>
                <w:rFonts w:ascii="Times New Roman" w:eastAsia="Times New Roman" w:hAnsi="Times New Roman" w:cs="Times New Roman"/>
                <w:i/>
                <w:iCs/>
                <w:color w:val="000000"/>
                <w:sz w:val="24"/>
                <w:szCs w:val="24"/>
                <w:lang w:eastAsia="sk-SK"/>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8 055 600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8 027 600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Nedaňové príjmy (200)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Dopad na príjmy obcí</w:t>
            </w:r>
          </w:p>
        </w:tc>
        <w:tc>
          <w:tcPr>
            <w:tcW w:w="1540" w:type="dxa"/>
            <w:tcBorders>
              <w:top w:val="nil"/>
              <w:left w:val="nil"/>
              <w:bottom w:val="single" w:sz="8" w:space="0" w:color="auto"/>
              <w:right w:val="single" w:sz="8" w:space="0" w:color="auto"/>
            </w:tcBorders>
            <w:shd w:val="clear" w:color="000000" w:fill="BFBFBF"/>
            <w:vAlign w:val="center"/>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000000" w:fill="BFBFBF"/>
            <w:vAlign w:val="center"/>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8 055 600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8 027 600   </w:t>
            </w:r>
          </w:p>
        </w:tc>
        <w:tc>
          <w:tcPr>
            <w:tcW w:w="1720" w:type="dxa"/>
            <w:tcBorders>
              <w:top w:val="nil"/>
              <w:left w:val="nil"/>
              <w:bottom w:val="single" w:sz="8" w:space="0" w:color="auto"/>
              <w:right w:val="single" w:sz="8" w:space="0" w:color="auto"/>
            </w:tcBorders>
            <w:shd w:val="clear" w:color="000000" w:fill="BFBFBF"/>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bl>
    <w:p w:rsidR="00A74FE9"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p>
    <w:p w:rsidR="00A74FE9" w:rsidRDefault="00A74FE9" w:rsidP="00A74FE9">
      <w:pP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br w:type="page"/>
      </w: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74FE9" w:rsidRPr="00295129"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lastRenderedPageBreak/>
              <w:t>Príjmy vyšších územných celkov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Vplyv na rozpočet vyšších územných celkov</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poznámka</w:t>
            </w:r>
          </w:p>
        </w:tc>
      </w:tr>
      <w:tr w:rsidR="00A74FE9" w:rsidRPr="00295129"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2026</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Daňové príjmy (100)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3 452 400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3 440 400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295129">
              <w:rPr>
                <w:rFonts w:ascii="Times New Roman" w:eastAsia="Times New Roman" w:hAnsi="Times New Roman" w:cs="Times New Roman"/>
                <w:i/>
                <w:iCs/>
                <w:color w:val="000000"/>
                <w:sz w:val="24"/>
                <w:szCs w:val="24"/>
                <w:lang w:eastAsia="sk-SK"/>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3 452 400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3 440 400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Nedaňové príjmy (200)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Dopad na príjmy vyšších územných celkov</w:t>
            </w: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3 452 400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3 440 400   </w:t>
            </w:r>
          </w:p>
        </w:tc>
        <w:tc>
          <w:tcPr>
            <w:tcW w:w="1720" w:type="dxa"/>
            <w:tcBorders>
              <w:top w:val="nil"/>
              <w:left w:val="nil"/>
              <w:bottom w:val="single" w:sz="8" w:space="0" w:color="auto"/>
              <w:right w:val="single" w:sz="8" w:space="0" w:color="auto"/>
            </w:tcBorders>
            <w:shd w:val="clear" w:color="000000" w:fill="BFBFBF"/>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bl>
    <w:p w:rsidR="00A74FE9"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p>
    <w:p w:rsidR="00A74FE9" w:rsidRDefault="00A74FE9" w:rsidP="00A74FE9">
      <w:pP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br w:type="page"/>
      </w: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74FE9" w:rsidRPr="00295129"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lastRenderedPageBreak/>
              <w:t>Príjmy zdravotných poisťovní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Vplyv na rozpočet zdravotných poisťovní</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poznámka</w:t>
            </w:r>
          </w:p>
        </w:tc>
      </w:tr>
      <w:tr w:rsidR="00A74FE9" w:rsidRPr="00295129"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2026</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Daňové príjmy (100)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4 000 000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4 000 000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4 000 000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295129">
              <w:rPr>
                <w:rFonts w:ascii="Times New Roman" w:eastAsia="Times New Roman" w:hAnsi="Times New Roman" w:cs="Times New Roman"/>
                <w:i/>
                <w:iCs/>
                <w:color w:val="000000"/>
                <w:sz w:val="24"/>
                <w:szCs w:val="24"/>
                <w:lang w:eastAsia="sk-SK"/>
              </w:rPr>
              <w:t>v tom: (154) poistné na zdravotné odvody</w:t>
            </w:r>
          </w:p>
        </w:tc>
        <w:tc>
          <w:tcPr>
            <w:tcW w:w="15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4 000 000</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4 000 000</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4 000 000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Nedaňové príjmy (200)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Dopad na príjmy zdravotných poisťovní</w:t>
            </w: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
                <w:bCs/>
                <w:color w:val="000000"/>
                <w:sz w:val="24"/>
                <w:szCs w:val="24"/>
                <w:lang w:eastAsia="sk-SK"/>
              </w:rPr>
              <w:t>0</w:t>
            </w:r>
            <w:r w:rsidRPr="00295129">
              <w:rPr>
                <w:rFonts w:ascii="Times New Roman" w:eastAsia="Times New Roman" w:hAnsi="Times New Roman" w:cs="Times New Roman"/>
                <w:b/>
                <w:bCs/>
                <w:color w:val="000000"/>
                <w:sz w:val="24"/>
                <w:szCs w:val="24"/>
                <w:lang w:eastAsia="sk-SK"/>
              </w:rPr>
              <w:t xml:space="preserve">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4 000 000</w:t>
            </w:r>
            <w:r w:rsidRPr="00295129">
              <w:rPr>
                <w:rFonts w:ascii="Times New Roman" w:eastAsia="Times New Roman" w:hAnsi="Times New Roman" w:cs="Times New Roman"/>
                <w:b/>
                <w:bCs/>
                <w:color w:val="000000"/>
                <w:sz w:val="24"/>
                <w:szCs w:val="24"/>
                <w:lang w:eastAsia="sk-SK"/>
              </w:rPr>
              <w:t xml:space="preserve">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4 000 000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4 000 000   </w:t>
            </w:r>
          </w:p>
        </w:tc>
        <w:tc>
          <w:tcPr>
            <w:tcW w:w="1720" w:type="dxa"/>
            <w:tcBorders>
              <w:top w:val="nil"/>
              <w:left w:val="nil"/>
              <w:bottom w:val="single" w:sz="8" w:space="0" w:color="auto"/>
              <w:right w:val="single" w:sz="8" w:space="0" w:color="auto"/>
            </w:tcBorders>
            <w:shd w:val="clear" w:color="000000" w:fill="BFBFBF"/>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bl>
    <w:p w:rsidR="00A74FE9"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A74FE9"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Default="00A74FE9" w:rsidP="00A74FE9">
      <w:pP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br w:type="page"/>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4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74FE9" w:rsidRPr="00E425AF" w:rsidTr="00A74FE9">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2023</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2024</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2025</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2026</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52263E" w:rsidRDefault="00A74FE9" w:rsidP="00A74FE9">
            <w:pPr>
              <w:spacing w:after="0"/>
              <w:jc w:val="right"/>
              <w:rPr>
                <w:rFonts w:ascii="Times New Roman" w:hAnsi="Times New Roman" w:cs="Times New Roman"/>
                <w:b/>
                <w:bCs/>
                <w:color w:val="000000"/>
              </w:rPr>
            </w:pPr>
            <w:r w:rsidRPr="0052263E">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52263E" w:rsidRDefault="00A74FE9" w:rsidP="00A74FE9">
            <w:pPr>
              <w:spacing w:after="0"/>
              <w:jc w:val="right"/>
              <w:rPr>
                <w:rFonts w:ascii="Times New Roman" w:hAnsi="Times New Roman" w:cs="Times New Roman"/>
                <w:b/>
                <w:bCs/>
                <w:color w:val="000000"/>
              </w:rPr>
            </w:pPr>
            <w:r w:rsidRPr="0052263E">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52263E" w:rsidRDefault="00A74FE9" w:rsidP="00A74FE9">
            <w:pPr>
              <w:spacing w:after="0"/>
              <w:jc w:val="right"/>
              <w:rPr>
                <w:rFonts w:ascii="Times New Roman" w:hAnsi="Times New Roman" w:cs="Times New Roman"/>
                <w:b/>
                <w:bCs/>
                <w:color w:val="000000"/>
              </w:rPr>
            </w:pPr>
            <w:r w:rsidRPr="0052263E">
              <w:rPr>
                <w:rFonts w:ascii="Times New Roman" w:hAnsi="Times New Roman" w:cs="Times New Roman"/>
                <w:b/>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Tovary a služby (630)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Bežné transfery (640)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Obstarávanie kapitálových aktív (710)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Kapitálové transfery (720)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52263E">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52263E">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52263E">
              <w:rPr>
                <w:rFonts w:ascii="Times New Roman" w:hAnsi="Times New Roman" w:cs="Times New Roman"/>
                <w:b/>
                <w:color w:val="00000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74FE9" w:rsidRPr="00E425AF"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2023</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2024</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2025</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nil"/>
              <w:bottom w:val="nil"/>
              <w:right w:val="nil"/>
            </w:tcBorders>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Poznámky:</w:t>
            </w: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3814" w:type="dxa"/>
            <w:gridSpan w:val="6"/>
            <w:tcBorders>
              <w:top w:val="nil"/>
              <w:left w:val="nil"/>
              <w:bottom w:val="nil"/>
              <w:right w:val="nil"/>
            </w:tcBorders>
            <w:noWrap/>
          </w:tcPr>
          <w:p w:rsidR="00A74FE9" w:rsidRPr="00E425AF" w:rsidRDefault="00A74FE9" w:rsidP="00A74FE9">
            <w:pPr>
              <w:tabs>
                <w:tab w:val="num" w:pos="1080"/>
              </w:tabs>
              <w:spacing w:after="0" w:line="240" w:lineRule="auto"/>
              <w:jc w:val="both"/>
              <w:rPr>
                <w:rFonts w:ascii="Times New Roman" w:eastAsia="Times New Roman" w:hAnsi="Times New Roman" w:cs="Times New Roman"/>
                <w:bCs/>
                <w:lang w:eastAsia="sk-SK"/>
              </w:rPr>
            </w:pPr>
            <w:r w:rsidRPr="00E425AF">
              <w:rPr>
                <w:rFonts w:ascii="Times New Roman" w:eastAsia="Times New Roman" w:hAnsi="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0394" w:type="dxa"/>
            <w:gridSpan w:val="4"/>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2608"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990"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bl>
    <w:p w:rsidR="00A74FE9" w:rsidRDefault="00A74FE9" w:rsidP="00A74FE9">
      <w:pPr>
        <w:spacing w:after="0" w:line="240" w:lineRule="auto"/>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sectPr w:rsidR="00A74FE9" w:rsidSect="001733E1">
          <w:headerReference w:type="even" r:id="rId22"/>
          <w:headerReference w:type="default" r:id="rId23"/>
          <w:footerReference w:type="even" r:id="rId24"/>
          <w:footerReference w:type="default" r:id="rId25"/>
          <w:headerReference w:type="first" r:id="rId26"/>
          <w:footerReference w:type="first" r:id="rId27"/>
          <w:pgSz w:w="16838" w:h="11906" w:orient="landscape"/>
          <w:pgMar w:top="1418" w:right="1418" w:bottom="1418" w:left="1276" w:header="709" w:footer="709" w:gutter="0"/>
          <w:cols w:space="708"/>
          <w:docGrid w:linePitch="360"/>
        </w:sectPr>
      </w:pPr>
    </w:p>
    <w:p w:rsidR="00A74FE9" w:rsidRDefault="00A74FE9" w:rsidP="00A74FE9">
      <w:pPr>
        <w:spacing w:after="0"/>
        <w:rPr>
          <w:rFonts w:ascii="Times New Roman" w:eastAsia="Times New Roman" w:hAnsi="Times New Roman" w:cs="Times New Roman"/>
          <w:bCs/>
          <w:sz w:val="18"/>
          <w:szCs w:val="20"/>
          <w:lang w:eastAsia="sk-SK"/>
        </w:rPr>
      </w:pP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(Zákon o spotrebnej dani z tabakových výrobkov)</w:t>
      </w: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212894" w:rsidRDefault="00A74FE9" w:rsidP="00A74FE9">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A74FE9" w:rsidRDefault="00A74FE9" w:rsidP="00A74FE9">
      <w:pPr>
        <w:spacing w:after="0" w:line="240" w:lineRule="auto"/>
        <w:jc w:val="right"/>
        <w:rPr>
          <w:rFonts w:ascii="Times New Roman" w:eastAsia="Times New Roman" w:hAnsi="Times New Roman" w:cs="Times New Roman"/>
          <w:sz w:val="20"/>
          <w:szCs w:val="20"/>
          <w:lang w:eastAsia="sk-SK"/>
        </w:rPr>
      </w:pPr>
    </w:p>
    <w:p w:rsidR="00A74FE9" w:rsidRPr="007D5748" w:rsidRDefault="00A74FE9" w:rsidP="00A74FE9">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74FE9" w:rsidRPr="00074C97" w:rsidTr="00A74FE9">
        <w:trPr>
          <w:cantSplit/>
          <w:trHeight w:val="194"/>
          <w:jc w:val="center"/>
        </w:trPr>
        <w:tc>
          <w:tcPr>
            <w:tcW w:w="4498" w:type="dxa"/>
            <w:vMerge w:val="restart"/>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Vplyvy na rozpočet verejnej správy</w:t>
            </w:r>
          </w:p>
        </w:tc>
        <w:tc>
          <w:tcPr>
            <w:tcW w:w="5523" w:type="dxa"/>
            <w:gridSpan w:val="4"/>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 na rozpočet verejnej správy (v eurách)</w:t>
            </w:r>
          </w:p>
        </w:tc>
      </w:tr>
      <w:tr w:rsidR="00A74FE9" w:rsidRPr="00074C97" w:rsidTr="00A74FE9">
        <w:trPr>
          <w:cantSplit/>
          <w:trHeight w:val="70"/>
          <w:jc w:val="center"/>
        </w:trPr>
        <w:tc>
          <w:tcPr>
            <w:tcW w:w="4498" w:type="dxa"/>
            <w:vMerge/>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2023</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2024</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2025</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2026</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59" w:type="dxa"/>
            <w:tcBorders>
              <w:top w:val="single" w:sz="8" w:space="0" w:color="auto"/>
              <w:left w:val="nil"/>
              <w:bottom w:val="single" w:sz="8" w:space="0" w:color="auto"/>
              <w:right w:val="single" w:sz="8" w:space="0" w:color="auto"/>
            </w:tcBorders>
            <w:shd w:val="clear" w:color="auto" w:fill="C0C0C0"/>
          </w:tcPr>
          <w:p w:rsidR="00A74FE9" w:rsidRPr="005C7728" w:rsidRDefault="00A74FE9" w:rsidP="00A74FE9">
            <w:pPr>
              <w:spacing w:after="0"/>
              <w:jc w:val="right"/>
              <w:rPr>
                <w:rFonts w:ascii="Times New Roman" w:hAnsi="Times New Roman" w:cs="Times New Roman"/>
                <w:b/>
                <w:bCs/>
              </w:rPr>
            </w:pPr>
            <w:r w:rsidRPr="001B6E9D">
              <w:rPr>
                <w:rFonts w:ascii="Times New Roman" w:hAnsi="Times New Roman" w:cs="Times New Roman"/>
                <w:b/>
              </w:rPr>
              <w:t>106 254 000</w:t>
            </w:r>
          </w:p>
        </w:tc>
        <w:tc>
          <w:tcPr>
            <w:tcW w:w="1417" w:type="dxa"/>
            <w:tcBorders>
              <w:top w:val="single" w:sz="8" w:space="0" w:color="auto"/>
              <w:left w:val="nil"/>
              <w:bottom w:val="single" w:sz="8" w:space="0" w:color="auto"/>
              <w:right w:val="single" w:sz="8" w:space="0" w:color="auto"/>
            </w:tcBorders>
            <w:shd w:val="clear" w:color="auto" w:fill="C0C0C0"/>
          </w:tcPr>
          <w:p w:rsidR="00A74FE9" w:rsidRPr="005C7728" w:rsidRDefault="00A74FE9" w:rsidP="00A74FE9">
            <w:pPr>
              <w:spacing w:after="0"/>
              <w:jc w:val="right"/>
              <w:rPr>
                <w:rFonts w:ascii="Times New Roman" w:hAnsi="Times New Roman" w:cs="Times New Roman"/>
                <w:b/>
                <w:bCs/>
              </w:rPr>
            </w:pPr>
            <w:r w:rsidRPr="001B6E9D">
              <w:rPr>
                <w:rFonts w:ascii="Times New Roman" w:hAnsi="Times New Roman" w:cs="Times New Roman"/>
                <w:b/>
              </w:rPr>
              <w:t>151 431 000</w:t>
            </w:r>
          </w:p>
        </w:tc>
        <w:tc>
          <w:tcPr>
            <w:tcW w:w="1521" w:type="dxa"/>
            <w:tcBorders>
              <w:top w:val="single" w:sz="8" w:space="0" w:color="auto"/>
              <w:left w:val="nil"/>
              <w:bottom w:val="single" w:sz="8" w:space="0" w:color="auto"/>
              <w:right w:val="single" w:sz="8" w:space="0" w:color="auto"/>
            </w:tcBorders>
            <w:shd w:val="clear" w:color="auto" w:fill="C0C0C0"/>
          </w:tcPr>
          <w:p w:rsidR="00A74FE9" w:rsidRPr="005C7728" w:rsidRDefault="00A74FE9" w:rsidP="00A74FE9">
            <w:pPr>
              <w:spacing w:after="0"/>
              <w:jc w:val="right"/>
              <w:rPr>
                <w:rFonts w:ascii="Times New Roman" w:hAnsi="Times New Roman" w:cs="Times New Roman"/>
                <w:b/>
                <w:bCs/>
              </w:rPr>
            </w:pPr>
            <w:r w:rsidRPr="001B6E9D">
              <w:rPr>
                <w:rFonts w:ascii="Times New Roman" w:hAnsi="Times New Roman" w:cs="Times New Roman"/>
                <w:b/>
              </w:rPr>
              <w:t>261 222 000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tcPr>
          <w:p w:rsidR="00A74FE9" w:rsidRPr="005C7728" w:rsidRDefault="00A74FE9" w:rsidP="00A74FE9">
            <w:pPr>
              <w:spacing w:after="0"/>
              <w:jc w:val="right"/>
              <w:rPr>
                <w:rFonts w:ascii="Times New Roman" w:hAnsi="Times New Roman" w:cs="Times New Roman"/>
                <w:b/>
                <w:bCs/>
              </w:rPr>
            </w:pPr>
            <w:r w:rsidRPr="001B6E9D">
              <w:rPr>
                <w:rFonts w:ascii="Times New Roman" w:hAnsi="Times New Roman" w:cs="Times New Roman"/>
                <w:b/>
              </w:rPr>
              <w:t>106 254 000</w:t>
            </w:r>
          </w:p>
        </w:tc>
        <w:tc>
          <w:tcPr>
            <w:tcW w:w="1417" w:type="dxa"/>
            <w:tcBorders>
              <w:top w:val="nil"/>
              <w:left w:val="nil"/>
              <w:bottom w:val="single" w:sz="8" w:space="0" w:color="auto"/>
              <w:right w:val="single" w:sz="8" w:space="0" w:color="auto"/>
            </w:tcBorders>
            <w:shd w:val="clear" w:color="auto" w:fill="auto"/>
            <w:noWrap/>
          </w:tcPr>
          <w:p w:rsidR="00A74FE9" w:rsidRPr="005C7728" w:rsidRDefault="00A74FE9" w:rsidP="00A74FE9">
            <w:pPr>
              <w:spacing w:after="0"/>
              <w:jc w:val="right"/>
              <w:rPr>
                <w:rFonts w:ascii="Times New Roman" w:hAnsi="Times New Roman" w:cs="Times New Roman"/>
                <w:b/>
                <w:bCs/>
              </w:rPr>
            </w:pPr>
            <w:r w:rsidRPr="001B6E9D">
              <w:rPr>
                <w:rFonts w:ascii="Times New Roman" w:hAnsi="Times New Roman" w:cs="Times New Roman"/>
                <w:b/>
              </w:rPr>
              <w:t>151 431 000</w:t>
            </w:r>
          </w:p>
        </w:tc>
        <w:tc>
          <w:tcPr>
            <w:tcW w:w="1521" w:type="dxa"/>
            <w:tcBorders>
              <w:top w:val="nil"/>
              <w:left w:val="nil"/>
              <w:bottom w:val="single" w:sz="8" w:space="0" w:color="auto"/>
              <w:right w:val="single" w:sz="8" w:space="0" w:color="auto"/>
            </w:tcBorders>
            <w:shd w:val="clear" w:color="auto" w:fill="auto"/>
            <w:noWrap/>
          </w:tcPr>
          <w:p w:rsidR="00A74FE9" w:rsidRPr="005C7728" w:rsidRDefault="00A74FE9" w:rsidP="00A74FE9">
            <w:pPr>
              <w:spacing w:after="0"/>
              <w:jc w:val="right"/>
              <w:rPr>
                <w:rFonts w:ascii="Times New Roman" w:hAnsi="Times New Roman" w:cs="Times New Roman"/>
                <w:b/>
                <w:bCs/>
              </w:rPr>
            </w:pPr>
            <w:r w:rsidRPr="001B6E9D">
              <w:rPr>
                <w:rFonts w:ascii="Times New Roman" w:hAnsi="Times New Roman" w:cs="Times New Roman"/>
                <w:b/>
              </w:rPr>
              <w:t>261 222 000</w:t>
            </w:r>
          </w:p>
        </w:tc>
      </w:tr>
      <w:tr w:rsidR="00A74FE9" w:rsidRPr="00074C97" w:rsidTr="00A74FE9">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tcPr>
          <w:p w:rsidR="00A74FE9" w:rsidRPr="00872C49" w:rsidRDefault="00A74FE9" w:rsidP="00A74FE9">
            <w:pPr>
              <w:spacing w:after="0"/>
              <w:jc w:val="right"/>
              <w:rPr>
                <w:rFonts w:ascii="Times New Roman" w:hAnsi="Times New Roman" w:cs="Times New Roman"/>
                <w:b/>
              </w:rPr>
            </w:pPr>
            <w:r w:rsidRPr="001B6E9D">
              <w:rPr>
                <w:rFonts w:ascii="Times New Roman" w:hAnsi="Times New Roman" w:cs="Times New Roman"/>
                <w:b/>
              </w:rPr>
              <w:t>106 254 000</w:t>
            </w:r>
          </w:p>
        </w:tc>
        <w:tc>
          <w:tcPr>
            <w:tcW w:w="1417" w:type="dxa"/>
            <w:tcBorders>
              <w:top w:val="nil"/>
              <w:left w:val="nil"/>
              <w:bottom w:val="single" w:sz="8" w:space="0" w:color="auto"/>
              <w:right w:val="single" w:sz="8" w:space="0" w:color="auto"/>
            </w:tcBorders>
            <w:shd w:val="clear" w:color="auto" w:fill="auto"/>
            <w:noWrap/>
          </w:tcPr>
          <w:p w:rsidR="00A74FE9" w:rsidRPr="00872C49" w:rsidRDefault="00A74FE9" w:rsidP="00A74FE9">
            <w:pPr>
              <w:spacing w:after="0"/>
              <w:jc w:val="right"/>
              <w:rPr>
                <w:rFonts w:ascii="Times New Roman" w:hAnsi="Times New Roman" w:cs="Times New Roman"/>
                <w:b/>
              </w:rPr>
            </w:pPr>
            <w:r w:rsidRPr="001B6E9D">
              <w:rPr>
                <w:rFonts w:ascii="Times New Roman" w:hAnsi="Times New Roman" w:cs="Times New Roman"/>
                <w:b/>
              </w:rPr>
              <w:t>151 431 000</w:t>
            </w:r>
          </w:p>
        </w:tc>
        <w:tc>
          <w:tcPr>
            <w:tcW w:w="1521" w:type="dxa"/>
            <w:tcBorders>
              <w:top w:val="nil"/>
              <w:left w:val="nil"/>
              <w:bottom w:val="single" w:sz="8" w:space="0" w:color="auto"/>
              <w:right w:val="single" w:sz="8" w:space="0" w:color="auto"/>
            </w:tcBorders>
            <w:shd w:val="clear" w:color="auto" w:fill="auto"/>
            <w:noWrap/>
          </w:tcPr>
          <w:p w:rsidR="00A74FE9" w:rsidRPr="00872C49" w:rsidRDefault="00A74FE9" w:rsidP="00A74FE9">
            <w:pPr>
              <w:spacing w:after="0"/>
              <w:jc w:val="right"/>
              <w:rPr>
                <w:rFonts w:ascii="Times New Roman" w:hAnsi="Times New Roman" w:cs="Times New Roman"/>
                <w:b/>
              </w:rPr>
            </w:pPr>
            <w:r w:rsidRPr="001B6E9D">
              <w:rPr>
                <w:rFonts w:ascii="Times New Roman" w:hAnsi="Times New Roman" w:cs="Times New Roman"/>
                <w:b/>
              </w:rPr>
              <w:t>261 222 000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(131) daň z pridanej hodnoty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tcPr>
          <w:p w:rsidR="00A74FE9" w:rsidRPr="001B6E9D" w:rsidRDefault="00A74FE9" w:rsidP="00A74FE9">
            <w:pPr>
              <w:spacing w:after="0"/>
              <w:jc w:val="right"/>
              <w:rPr>
                <w:rFonts w:ascii="Times New Roman" w:hAnsi="Times New Roman" w:cs="Times New Roman"/>
              </w:rPr>
            </w:pPr>
            <w:r w:rsidRPr="001B6E9D">
              <w:rPr>
                <w:rFonts w:ascii="Times New Roman" w:hAnsi="Times New Roman" w:cs="Times New Roman"/>
              </w:rPr>
              <w:t>17 709 000</w:t>
            </w:r>
          </w:p>
        </w:tc>
        <w:tc>
          <w:tcPr>
            <w:tcW w:w="1417" w:type="dxa"/>
            <w:tcBorders>
              <w:top w:val="nil"/>
              <w:left w:val="nil"/>
              <w:bottom w:val="single" w:sz="8" w:space="0" w:color="auto"/>
              <w:right w:val="single" w:sz="8" w:space="0" w:color="auto"/>
            </w:tcBorders>
            <w:shd w:val="clear" w:color="auto" w:fill="auto"/>
            <w:noWrap/>
          </w:tcPr>
          <w:p w:rsidR="00A74FE9" w:rsidRPr="001B6E9D" w:rsidRDefault="00A74FE9" w:rsidP="00A74FE9">
            <w:pPr>
              <w:spacing w:after="0"/>
              <w:jc w:val="right"/>
              <w:rPr>
                <w:rFonts w:ascii="Times New Roman" w:hAnsi="Times New Roman" w:cs="Times New Roman"/>
              </w:rPr>
            </w:pPr>
            <w:r w:rsidRPr="001B6E9D">
              <w:rPr>
                <w:rFonts w:ascii="Times New Roman" w:hAnsi="Times New Roman" w:cs="Times New Roman"/>
              </w:rPr>
              <w:t>25 239 000</w:t>
            </w:r>
          </w:p>
        </w:tc>
        <w:tc>
          <w:tcPr>
            <w:tcW w:w="1521" w:type="dxa"/>
            <w:tcBorders>
              <w:top w:val="nil"/>
              <w:left w:val="nil"/>
              <w:bottom w:val="single" w:sz="8" w:space="0" w:color="auto"/>
              <w:right w:val="single" w:sz="8" w:space="0" w:color="auto"/>
            </w:tcBorders>
            <w:shd w:val="clear" w:color="auto" w:fill="auto"/>
            <w:noWrap/>
          </w:tcPr>
          <w:p w:rsidR="00A74FE9" w:rsidRPr="001B6E9D" w:rsidRDefault="00A74FE9" w:rsidP="00A74FE9">
            <w:pPr>
              <w:spacing w:after="0"/>
              <w:jc w:val="right"/>
              <w:rPr>
                <w:rFonts w:ascii="Times New Roman" w:hAnsi="Times New Roman" w:cs="Times New Roman"/>
              </w:rPr>
            </w:pPr>
            <w:r w:rsidRPr="001B6E9D">
              <w:rPr>
                <w:rFonts w:ascii="Times New Roman" w:hAnsi="Times New Roman" w:cs="Times New Roman"/>
              </w:rPr>
              <w:t>43 538 000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(132 009) spotrebná daň  z tabakových výrobkov</w:t>
            </w:r>
          </w:p>
        </w:tc>
        <w:tc>
          <w:tcPr>
            <w:tcW w:w="1026"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tcPr>
          <w:p w:rsidR="00A74FE9" w:rsidRPr="001B6E9D" w:rsidRDefault="00A74FE9" w:rsidP="00A74FE9">
            <w:pPr>
              <w:spacing w:after="0"/>
              <w:jc w:val="right"/>
              <w:rPr>
                <w:rFonts w:ascii="Times New Roman" w:hAnsi="Times New Roman" w:cs="Times New Roman"/>
              </w:rPr>
            </w:pPr>
            <w:r w:rsidRPr="001B6E9D">
              <w:rPr>
                <w:rFonts w:ascii="Times New Roman" w:hAnsi="Times New Roman" w:cs="Times New Roman"/>
              </w:rPr>
              <w:t>88 545 000</w:t>
            </w:r>
          </w:p>
        </w:tc>
        <w:tc>
          <w:tcPr>
            <w:tcW w:w="1417" w:type="dxa"/>
            <w:tcBorders>
              <w:top w:val="nil"/>
              <w:left w:val="nil"/>
              <w:bottom w:val="single" w:sz="8" w:space="0" w:color="auto"/>
              <w:right w:val="single" w:sz="8" w:space="0" w:color="auto"/>
            </w:tcBorders>
            <w:shd w:val="clear" w:color="auto" w:fill="auto"/>
            <w:noWrap/>
          </w:tcPr>
          <w:p w:rsidR="00A74FE9" w:rsidRPr="001B6E9D" w:rsidRDefault="00A74FE9" w:rsidP="00A74FE9">
            <w:pPr>
              <w:spacing w:after="0"/>
              <w:jc w:val="right"/>
              <w:rPr>
                <w:rFonts w:ascii="Times New Roman" w:hAnsi="Times New Roman" w:cs="Times New Roman"/>
              </w:rPr>
            </w:pPr>
            <w:r w:rsidRPr="001B6E9D">
              <w:rPr>
                <w:rFonts w:ascii="Times New Roman" w:hAnsi="Times New Roman" w:cs="Times New Roman"/>
              </w:rPr>
              <w:t>126 192 000</w:t>
            </w:r>
          </w:p>
        </w:tc>
        <w:tc>
          <w:tcPr>
            <w:tcW w:w="1521" w:type="dxa"/>
            <w:tcBorders>
              <w:top w:val="nil"/>
              <w:left w:val="nil"/>
              <w:bottom w:val="single" w:sz="8" w:space="0" w:color="auto"/>
              <w:right w:val="single" w:sz="8" w:space="0" w:color="auto"/>
            </w:tcBorders>
            <w:shd w:val="clear" w:color="auto" w:fill="auto"/>
            <w:noWrap/>
          </w:tcPr>
          <w:p w:rsidR="00A74FE9" w:rsidRPr="001B6E9D" w:rsidRDefault="00A74FE9" w:rsidP="00A74FE9">
            <w:pPr>
              <w:spacing w:after="0"/>
              <w:jc w:val="right"/>
              <w:rPr>
                <w:rFonts w:ascii="Times New Roman" w:hAnsi="Times New Roman" w:cs="Times New Roman"/>
              </w:rPr>
            </w:pPr>
            <w:r w:rsidRPr="001B6E9D">
              <w:rPr>
                <w:rFonts w:ascii="Times New Roman" w:hAnsi="Times New Roman" w:cs="Times New Roman"/>
              </w:rPr>
              <w:t>217 684 000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Pr>
                <w:rFonts w:ascii="Times New Roman" w:hAnsi="Times New Roman" w:cs="Times New Roman"/>
                <w:b/>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Pr>
                <w:rFonts w:ascii="Times New Roman" w:hAnsi="Times New Roman" w:cs="Times New Roman"/>
                <w:b/>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94363B" w:rsidRDefault="00A74FE9" w:rsidP="00A74FE9">
            <w:pPr>
              <w:spacing w:after="0"/>
              <w:jc w:val="right"/>
              <w:rPr>
                <w:rFonts w:ascii="Times New Roman" w:hAnsi="Times New Roman" w:cs="Times New Roman"/>
                <w:bCs/>
                <w:color w:val="000000"/>
              </w:rPr>
            </w:pPr>
            <w:r w:rsidRPr="0094363B">
              <w:rPr>
                <w:rFonts w:ascii="Times New Roman" w:hAnsi="Times New Roman" w:cs="Times New Roman"/>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 xml:space="preserve">v tom: </w:t>
            </w:r>
            <w:r>
              <w:rPr>
                <w:rFonts w:ascii="Times New Roman" w:hAnsi="Times New Roman" w:cs="Times New Roman"/>
                <w:i/>
                <w:iCs/>
                <w:color w:val="000000"/>
              </w:rPr>
              <w:t>daňový bonus na hypotéky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spolufinancovanie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p>
        </w:tc>
        <w:tc>
          <w:tcPr>
            <w:tcW w:w="1559"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color w:val="000000"/>
              </w:rPr>
            </w:pPr>
            <w:r w:rsidRPr="00074C97">
              <w:rPr>
                <w:rFonts w:ascii="Times New Roman" w:hAnsi="Times New Roman" w:cs="Times New Roman"/>
                <w:color w:val="000000"/>
              </w:rPr>
              <w:t>v tom: za každý subjekt verejnej správy / program zvlášť</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1B6E9D" w:rsidRDefault="00A74FE9" w:rsidP="00A74FE9">
            <w:pPr>
              <w:spacing w:after="0"/>
              <w:jc w:val="right"/>
              <w:rPr>
                <w:rFonts w:ascii="Times New Roman" w:hAnsi="Times New Roman" w:cs="Times New Roman"/>
                <w:color w:val="000000"/>
              </w:rPr>
            </w:pPr>
            <w:r w:rsidRPr="001B6E9D">
              <w:rPr>
                <w:rFonts w:ascii="Times New Roman" w:hAnsi="Times New Roman" w:cs="Times New Roman"/>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1B6E9D" w:rsidRDefault="00A74FE9" w:rsidP="00A74FE9">
            <w:pPr>
              <w:spacing w:after="0"/>
              <w:jc w:val="right"/>
              <w:rPr>
                <w:rFonts w:ascii="Times New Roman" w:hAnsi="Times New Roman" w:cs="Times New Roman"/>
                <w:color w:val="000000"/>
              </w:rPr>
            </w:pPr>
            <w:r w:rsidRPr="001B6E9D">
              <w:rPr>
                <w:rFonts w:ascii="Times New Roman" w:hAnsi="Times New Roman" w:cs="Times New Roman"/>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1B6E9D" w:rsidRDefault="00A74FE9" w:rsidP="00A74FE9">
            <w:pPr>
              <w:spacing w:after="0"/>
              <w:jc w:val="right"/>
              <w:rPr>
                <w:rFonts w:ascii="Times New Roman" w:hAnsi="Times New Roman" w:cs="Times New Roman"/>
                <w:color w:val="000000"/>
              </w:rPr>
            </w:pPr>
            <w:r w:rsidRPr="001B6E9D">
              <w:rPr>
                <w:rFonts w:ascii="Times New Roman" w:hAnsi="Times New Roman" w:cs="Times New Roman"/>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jc w:val="right"/>
              <w:rPr>
                <w:rFonts w:ascii="Times New Roman" w:hAnsi="Times New Roman" w:cs="Times New Roman"/>
                <w:b/>
                <w:bCs/>
                <w:color w:val="000000"/>
              </w:rPr>
            </w:pPr>
          </w:p>
        </w:tc>
        <w:tc>
          <w:tcPr>
            <w:tcW w:w="1559"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bl>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74FE9" w:rsidRPr="007D5748"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jc w:val="both"/>
      </w:pPr>
      <w:r w:rsidRPr="76C75082">
        <w:rPr>
          <w:rFonts w:ascii="Times New Roman" w:eastAsia="Times New Roman" w:hAnsi="Times New Roman" w:cs="Times New Roman"/>
          <w:b/>
          <w:bCs/>
          <w:sz w:val="24"/>
          <w:szCs w:val="24"/>
          <w:lang w:eastAsia="sk-SK"/>
        </w:rPr>
        <w:t>K novele zákona o spotrebnej dani z tabakových výrobkov</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61BD6446">
        <w:rPr>
          <w:rFonts w:ascii="Times New Roman" w:eastAsia="Times New Roman" w:hAnsi="Times New Roman" w:cs="Times New Roman"/>
          <w:sz w:val="24"/>
          <w:szCs w:val="24"/>
          <w:lang w:eastAsia="sk-SK"/>
        </w:rPr>
        <w:t>S účinnosťou od 1.2.2024 a od 1.2.2026 sa zvyšujú sadzby spotrebných daní z tabakových výrobkov. Sadzby z cigariet sa zvyšujú tak, aby konečné ceny spotrebiteľského balenia cigariet vzrástli o 40 centov v obidvoch rokoch. Zvyšujú sa aj sadzby z bezdymových tabakových výrobkov a z tabaku. Sadzba z cigár a cigariek sa zvyšuje až v roku 2026.</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2.2.4. Výpočty vplyvov na verejné financie</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51BD4" w:rsidRDefault="00A74FE9" w:rsidP="00A74FE9">
      <w:pPr>
        <w:spacing w:after="0" w:line="240" w:lineRule="auto"/>
        <w:jc w:val="both"/>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K novele zákona o spotrebnej dani z tabakových výrobkov</w:t>
      </w:r>
    </w:p>
    <w:p w:rsidR="00A74FE9" w:rsidRDefault="00A74FE9" w:rsidP="00A74FE9">
      <w:pPr>
        <w:spacing w:after="0" w:line="240" w:lineRule="auto"/>
        <w:jc w:val="both"/>
        <w:rPr>
          <w:rFonts w:ascii="Times New Roman" w:eastAsia="Times New Roman" w:hAnsi="Times New Roman" w:cs="Times New Roman"/>
          <w:sz w:val="24"/>
          <w:szCs w:val="24"/>
        </w:rPr>
      </w:pPr>
      <w:r w:rsidRPr="61BD6446">
        <w:rPr>
          <w:rFonts w:ascii="Times New Roman" w:eastAsia="Times New Roman" w:hAnsi="Times New Roman" w:cs="Times New Roman"/>
          <w:sz w:val="24"/>
          <w:szCs w:val="24"/>
          <w:lang w:eastAsia="sk-SK"/>
        </w:rPr>
        <w:t xml:space="preserve">Výpočet vplyvu zvýšenia sadzby spotrebnej dane z tabakových výrobkov od 1.2.2024 a od 1.2.2026 vychádza z údajov agregovaných daňových priznaní o množstve jednotlivých tabakových výrobkov za rok 2022. Na ďalšie roky bola použitá prognóza z Výboru pre daňové prognózy z novembra 2023. </w:t>
      </w:r>
      <w:r w:rsidRPr="61BD6446">
        <w:rPr>
          <w:rFonts w:ascii="Times New Roman" w:eastAsia="Times New Roman" w:hAnsi="Times New Roman" w:cs="Times New Roman"/>
          <w:sz w:val="24"/>
          <w:szCs w:val="24"/>
        </w:rPr>
        <w:t>Kvantifikácia vplyvov na daňové príjmy je nastavená na nasledovné doby dopredaja tabakových výrobkov: cigarety 2 mesiace, bezdymové tabakové výrobky 3 mesiace, tabak 6 mesiacov, cigary a cigarky 22 mesiacov.</w:t>
      </w:r>
    </w:p>
    <w:p w:rsidR="00A74FE9" w:rsidRDefault="00A74FE9" w:rsidP="00A74FE9">
      <w:pPr>
        <w:spacing w:before="240" w:line="23" w:lineRule="atLeast"/>
        <w:jc w:val="both"/>
        <w:rPr>
          <w:rFonts w:ascii="Arial Narrow" w:hAnsi="Arial Narrow" w:cs="Tahoma"/>
          <w:color w:val="000000"/>
        </w:rPr>
      </w:pPr>
    </w:p>
    <w:p w:rsidR="00A74FE9" w:rsidRDefault="00A74FE9" w:rsidP="00A74FE9">
      <w:pPr>
        <w:spacing w:before="240" w:line="23" w:lineRule="atLeast"/>
        <w:jc w:val="both"/>
        <w:rPr>
          <w:rFonts w:ascii="Arial Narrow" w:hAnsi="Arial Narrow" w:cs="Tahoma"/>
          <w:color w:val="000000" w:themeColor="text1"/>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D5748" w:rsidSect="001733E1">
          <w:pgSz w:w="11906" w:h="16838"/>
          <w:pgMar w:top="1417" w:right="1417" w:bottom="1276" w:left="1417" w:header="708" w:footer="708" w:gutter="0"/>
          <w:cols w:space="708"/>
          <w:docGrid w:linePitch="360"/>
        </w:sect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E425AF"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Daňové príjmy (100)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tcPr>
          <w:p w:rsidR="00A74FE9" w:rsidRPr="005C7728" w:rsidRDefault="00A74FE9" w:rsidP="00A74FE9">
            <w:pPr>
              <w:spacing w:after="0"/>
              <w:jc w:val="right"/>
              <w:rPr>
                <w:rFonts w:ascii="Times New Roman" w:hAnsi="Times New Roman" w:cs="Times New Roman"/>
                <w:b/>
                <w:bCs/>
                <w:color w:val="000000"/>
              </w:rPr>
            </w:pPr>
            <w:r w:rsidRPr="001B6E9D">
              <w:rPr>
                <w:rFonts w:ascii="Times New Roman" w:hAnsi="Times New Roman" w:cs="Times New Roman"/>
                <w:b/>
              </w:rPr>
              <w:t>106 254 000</w:t>
            </w:r>
          </w:p>
        </w:tc>
        <w:tc>
          <w:tcPr>
            <w:tcW w:w="1500" w:type="dxa"/>
            <w:tcBorders>
              <w:top w:val="nil"/>
              <w:left w:val="nil"/>
              <w:bottom w:val="single" w:sz="8" w:space="0" w:color="auto"/>
              <w:right w:val="single" w:sz="8" w:space="0" w:color="auto"/>
            </w:tcBorders>
            <w:shd w:val="clear" w:color="auto" w:fill="auto"/>
          </w:tcPr>
          <w:p w:rsidR="00A74FE9" w:rsidRPr="005C7728" w:rsidRDefault="00A74FE9" w:rsidP="00A74FE9">
            <w:pPr>
              <w:spacing w:after="0"/>
              <w:jc w:val="right"/>
              <w:rPr>
                <w:rFonts w:ascii="Times New Roman" w:hAnsi="Times New Roman" w:cs="Times New Roman"/>
                <w:b/>
                <w:bCs/>
                <w:color w:val="000000"/>
              </w:rPr>
            </w:pPr>
            <w:r w:rsidRPr="001B6E9D">
              <w:rPr>
                <w:rFonts w:ascii="Times New Roman" w:hAnsi="Times New Roman" w:cs="Times New Roman"/>
                <w:b/>
              </w:rPr>
              <w:t>151 431 000</w:t>
            </w:r>
          </w:p>
        </w:tc>
        <w:tc>
          <w:tcPr>
            <w:tcW w:w="1500" w:type="dxa"/>
            <w:tcBorders>
              <w:top w:val="nil"/>
              <w:left w:val="nil"/>
              <w:bottom w:val="single" w:sz="8" w:space="0" w:color="auto"/>
              <w:right w:val="single" w:sz="8" w:space="0" w:color="auto"/>
            </w:tcBorders>
            <w:shd w:val="clear" w:color="auto" w:fill="auto"/>
          </w:tcPr>
          <w:p w:rsidR="00A74FE9" w:rsidRPr="005C7728" w:rsidRDefault="00A74FE9" w:rsidP="00A74FE9">
            <w:pPr>
              <w:spacing w:after="0"/>
              <w:jc w:val="right"/>
              <w:rPr>
                <w:rFonts w:ascii="Times New Roman" w:hAnsi="Times New Roman" w:cs="Times New Roman"/>
                <w:b/>
                <w:bCs/>
                <w:color w:val="000000"/>
              </w:rPr>
            </w:pPr>
            <w:r w:rsidRPr="001B6E9D">
              <w:rPr>
                <w:rFonts w:ascii="Times New Roman" w:hAnsi="Times New Roman" w:cs="Times New Roman"/>
                <w:b/>
              </w:rPr>
              <w:t>261 222 000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(131) daň z pridanej hodnoty</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color w:val="000000"/>
              </w:rPr>
            </w:pPr>
            <w:r w:rsidRPr="001B6E9D">
              <w:rPr>
                <w:rFonts w:ascii="Times New Roman" w:hAnsi="Times New Roman" w:cs="Times New Roman"/>
              </w:rPr>
              <w:t>17 709 000</w:t>
            </w: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color w:val="000000"/>
              </w:rPr>
            </w:pPr>
            <w:r w:rsidRPr="001B6E9D">
              <w:rPr>
                <w:rFonts w:ascii="Times New Roman" w:hAnsi="Times New Roman" w:cs="Times New Roman"/>
              </w:rPr>
              <w:t>25 239 000</w:t>
            </w: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color w:val="000000"/>
              </w:rPr>
            </w:pPr>
            <w:r w:rsidRPr="001B6E9D">
              <w:rPr>
                <w:rFonts w:ascii="Times New Roman" w:hAnsi="Times New Roman" w:cs="Times New Roman"/>
              </w:rPr>
              <w:t>43 538 000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Pr>
                <w:rFonts w:ascii="Times New Roman" w:hAnsi="Times New Roman" w:cs="Times New Roman"/>
                <w:i/>
                <w:iCs/>
                <w:color w:val="000000"/>
              </w:rPr>
              <w:t xml:space="preserve">    </w:t>
            </w:r>
            <w:r w:rsidRPr="00E425AF">
              <w:rPr>
                <w:rFonts w:ascii="Times New Roman" w:hAnsi="Times New Roman" w:cs="Times New Roman"/>
                <w:i/>
                <w:iCs/>
                <w:color w:val="000000"/>
              </w:rPr>
              <w:t>v tom: (132 009) spotrebná daň  z tabakových výrobkov</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b/>
                <w:bCs/>
                <w:color w:val="000000"/>
              </w:rPr>
            </w:pPr>
            <w:r w:rsidRPr="001B6E9D">
              <w:rPr>
                <w:rFonts w:ascii="Times New Roman" w:hAnsi="Times New Roman" w:cs="Times New Roman"/>
              </w:rPr>
              <w:t>88 545 000</w:t>
            </w: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b/>
                <w:bCs/>
                <w:color w:val="000000"/>
              </w:rPr>
            </w:pPr>
            <w:r w:rsidRPr="001B6E9D">
              <w:rPr>
                <w:rFonts w:ascii="Times New Roman" w:hAnsi="Times New Roman" w:cs="Times New Roman"/>
              </w:rPr>
              <w:t>126 192 000</w:t>
            </w: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b/>
                <w:bCs/>
                <w:color w:val="000000"/>
              </w:rPr>
            </w:pPr>
            <w:r w:rsidRPr="001B6E9D">
              <w:rPr>
                <w:rFonts w:ascii="Times New Roman" w:hAnsi="Times New Roman" w:cs="Times New Roman"/>
              </w:rPr>
              <w:t>217 684 000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Nedaňové príjmy (200)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center"/>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000000" w:fill="BFBFBF"/>
          </w:tcPr>
          <w:p w:rsidR="00A74FE9" w:rsidRPr="005C7728" w:rsidRDefault="00A74FE9" w:rsidP="00A74FE9">
            <w:pPr>
              <w:spacing w:after="0"/>
              <w:ind w:hanging="143"/>
              <w:jc w:val="center"/>
              <w:rPr>
                <w:rFonts w:ascii="Times New Roman" w:hAnsi="Times New Roman" w:cs="Times New Roman"/>
                <w:b/>
                <w:bCs/>
                <w:color w:val="000000"/>
              </w:rPr>
            </w:pPr>
            <w:r w:rsidRPr="001B6E9D">
              <w:rPr>
                <w:rFonts w:ascii="Times New Roman" w:hAnsi="Times New Roman" w:cs="Times New Roman"/>
                <w:b/>
              </w:rPr>
              <w:t>106 254 000</w:t>
            </w:r>
          </w:p>
        </w:tc>
        <w:tc>
          <w:tcPr>
            <w:tcW w:w="1500" w:type="dxa"/>
            <w:tcBorders>
              <w:top w:val="nil"/>
              <w:left w:val="nil"/>
              <w:bottom w:val="single" w:sz="8" w:space="0" w:color="auto"/>
              <w:right w:val="single" w:sz="8" w:space="0" w:color="auto"/>
            </w:tcBorders>
            <w:shd w:val="clear" w:color="000000" w:fill="BFBFBF"/>
          </w:tcPr>
          <w:p w:rsidR="00A74FE9" w:rsidRPr="005C7728" w:rsidRDefault="00A74FE9" w:rsidP="00A74FE9">
            <w:pPr>
              <w:spacing w:after="0"/>
              <w:ind w:hanging="143"/>
              <w:jc w:val="center"/>
              <w:rPr>
                <w:rFonts w:ascii="Times New Roman" w:hAnsi="Times New Roman" w:cs="Times New Roman"/>
                <w:b/>
                <w:bCs/>
                <w:color w:val="000000"/>
              </w:rPr>
            </w:pPr>
            <w:r w:rsidRPr="001B6E9D">
              <w:rPr>
                <w:rFonts w:ascii="Times New Roman" w:hAnsi="Times New Roman" w:cs="Times New Roman"/>
                <w:b/>
              </w:rPr>
              <w:t>151 431 000</w:t>
            </w:r>
          </w:p>
        </w:tc>
        <w:tc>
          <w:tcPr>
            <w:tcW w:w="1500" w:type="dxa"/>
            <w:tcBorders>
              <w:top w:val="nil"/>
              <w:left w:val="nil"/>
              <w:bottom w:val="single" w:sz="8" w:space="0" w:color="auto"/>
              <w:right w:val="single" w:sz="8" w:space="0" w:color="auto"/>
            </w:tcBorders>
            <w:shd w:val="clear" w:color="000000" w:fill="BFBFBF"/>
          </w:tcPr>
          <w:p w:rsidR="00A74FE9" w:rsidRPr="005C7728" w:rsidRDefault="00A74FE9" w:rsidP="00A74FE9">
            <w:pPr>
              <w:spacing w:after="0"/>
              <w:ind w:hanging="143"/>
              <w:jc w:val="center"/>
              <w:rPr>
                <w:rFonts w:ascii="Times New Roman" w:hAnsi="Times New Roman" w:cs="Times New Roman"/>
                <w:b/>
                <w:bCs/>
                <w:color w:val="000000"/>
              </w:rPr>
            </w:pPr>
            <w:r w:rsidRPr="001B6E9D">
              <w:rPr>
                <w:rFonts w:ascii="Times New Roman" w:hAnsi="Times New Roman" w:cs="Times New Roman"/>
                <w:b/>
              </w:rPr>
              <w:t>261 222 000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74FE9" w:rsidRPr="00E425AF" w:rsidTr="00A74FE9">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2023</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2024</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2025</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2026</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Tovary a služby (630)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Bežné transfery (640)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i/>
                <w:iCs/>
                <w:color w:val="000000"/>
              </w:rPr>
              <w:t>v tom: daňový bonus na hypotéky</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Splácanie úrokov a ostatné platby súvisiace s  úverom, pôžičkou, návratnou finančnou výpomocou a finančným prenájmom (650)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Obstarávanie kapitálových aktív (710)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Kapitálové transfery (720)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74FE9" w:rsidRPr="00E425AF"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2023</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2024</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2025</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nil"/>
              <w:bottom w:val="nil"/>
              <w:right w:val="nil"/>
            </w:tcBorders>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Poznámky:</w:t>
            </w: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3814" w:type="dxa"/>
            <w:gridSpan w:val="6"/>
            <w:tcBorders>
              <w:top w:val="nil"/>
              <w:left w:val="nil"/>
              <w:bottom w:val="nil"/>
              <w:right w:val="nil"/>
            </w:tcBorders>
            <w:noWrap/>
          </w:tcPr>
          <w:p w:rsidR="00A74FE9" w:rsidRPr="00E425AF" w:rsidRDefault="00A74FE9" w:rsidP="00A74FE9">
            <w:pPr>
              <w:tabs>
                <w:tab w:val="num" w:pos="1080"/>
              </w:tabs>
              <w:spacing w:after="0" w:line="240" w:lineRule="auto"/>
              <w:jc w:val="both"/>
              <w:rPr>
                <w:rFonts w:ascii="Times New Roman" w:eastAsia="Times New Roman" w:hAnsi="Times New Roman" w:cs="Times New Roman"/>
                <w:bCs/>
                <w:lang w:eastAsia="sk-SK"/>
              </w:rPr>
            </w:pPr>
            <w:r w:rsidRPr="00E425AF">
              <w:rPr>
                <w:rFonts w:ascii="Times New Roman" w:eastAsia="Times New Roman" w:hAnsi="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0394" w:type="dxa"/>
            <w:gridSpan w:val="4"/>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2608"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990"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bl>
    <w:p w:rsidR="00A74FE9" w:rsidRDefault="00A74FE9" w:rsidP="00A74FE9">
      <w:pPr>
        <w:spacing w:after="0" w:line="240" w:lineRule="auto"/>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sectPr w:rsidR="00A74FE9" w:rsidSect="001733E1">
          <w:headerReference w:type="even" r:id="rId28"/>
          <w:headerReference w:type="default" r:id="rId29"/>
          <w:footerReference w:type="even" r:id="rId30"/>
          <w:footerReference w:type="default" r:id="rId31"/>
          <w:headerReference w:type="first" r:id="rId32"/>
          <w:footerReference w:type="first" r:id="rId33"/>
          <w:pgSz w:w="16838" w:h="11906" w:orient="landscape"/>
          <w:pgMar w:top="1418" w:right="1418" w:bottom="1418" w:left="1276" w:header="709" w:footer="709" w:gutter="0"/>
          <w:cols w:space="708"/>
          <w:docGrid w:linePitch="360"/>
        </w:sect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Pr="00FC76FE" w:rsidRDefault="00A74FE9" w:rsidP="00A74FE9">
      <w:pPr>
        <w:spacing w:after="0" w:line="240" w:lineRule="auto"/>
        <w:jc w:val="center"/>
        <w:rPr>
          <w:rFonts w:ascii="Times New Roman" w:eastAsia="Times New Roman" w:hAnsi="Times New Roman" w:cs="Times New Roman"/>
          <w:b/>
          <w:bCs/>
          <w:sz w:val="28"/>
          <w:szCs w:val="28"/>
          <w:lang w:eastAsia="sk-SK"/>
        </w:rPr>
      </w:pPr>
      <w:r w:rsidRPr="00FC76FE">
        <w:rPr>
          <w:rFonts w:ascii="Times New Roman" w:eastAsia="Times New Roman" w:hAnsi="Times New Roman" w:cs="Times New Roman"/>
          <w:b/>
          <w:bCs/>
          <w:sz w:val="28"/>
          <w:szCs w:val="28"/>
          <w:lang w:eastAsia="sk-SK"/>
        </w:rPr>
        <w:t>Analýza vplyvov na rozpočet verejnej správy,</w:t>
      </w:r>
    </w:p>
    <w:p w:rsidR="00A74FE9" w:rsidRPr="00FC76FE" w:rsidRDefault="00A74FE9" w:rsidP="00A74FE9">
      <w:pPr>
        <w:spacing w:after="0" w:line="240" w:lineRule="auto"/>
        <w:jc w:val="center"/>
        <w:rPr>
          <w:rFonts w:ascii="Times New Roman" w:eastAsia="Times New Roman" w:hAnsi="Times New Roman" w:cs="Times New Roman"/>
          <w:b/>
          <w:bCs/>
          <w:sz w:val="28"/>
          <w:szCs w:val="28"/>
          <w:lang w:eastAsia="sk-SK"/>
        </w:rPr>
      </w:pPr>
      <w:r w:rsidRPr="00FC76FE">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br/>
        <w:t xml:space="preserve"> (Zákon o DPH)</w:t>
      </w: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2.1 Zhrnutie vplyvov na rozpočet verejnej správy v návrhu</w:t>
      </w:r>
    </w:p>
    <w:p w:rsidR="00A74FE9" w:rsidRPr="00FC76FE" w:rsidRDefault="00A74FE9" w:rsidP="00A74FE9">
      <w:pPr>
        <w:spacing w:after="0" w:line="240" w:lineRule="auto"/>
        <w:jc w:val="right"/>
        <w:rPr>
          <w:rFonts w:ascii="Times New Roman" w:eastAsia="Times New Roman" w:hAnsi="Times New Roman" w:cs="Times New Roman"/>
          <w:sz w:val="20"/>
          <w:szCs w:val="20"/>
          <w:lang w:eastAsia="sk-SK"/>
        </w:rPr>
      </w:pPr>
    </w:p>
    <w:p w:rsidR="00A74FE9" w:rsidRPr="00FC76FE" w:rsidRDefault="00A74FE9" w:rsidP="00A74FE9">
      <w:pPr>
        <w:spacing w:after="0" w:line="240" w:lineRule="auto"/>
        <w:jc w:val="right"/>
        <w:rPr>
          <w:rFonts w:ascii="Times New Roman" w:eastAsia="Times New Roman" w:hAnsi="Times New Roman" w:cs="Times New Roman"/>
          <w:sz w:val="20"/>
          <w:szCs w:val="20"/>
          <w:lang w:eastAsia="sk-SK"/>
        </w:rPr>
      </w:pPr>
      <w:r w:rsidRPr="00FC76FE">
        <w:rPr>
          <w:rFonts w:ascii="Times New Roman" w:eastAsia="Times New Roman" w:hAnsi="Times New Roman" w:cs="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74FE9" w:rsidRPr="00FC76FE" w:rsidTr="00A74FE9">
        <w:trPr>
          <w:cantSplit/>
          <w:trHeight w:val="194"/>
          <w:jc w:val="center"/>
        </w:trPr>
        <w:tc>
          <w:tcPr>
            <w:tcW w:w="4498" w:type="dxa"/>
            <w:vMerge w:val="restart"/>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Vplyvy na rozpočet verejnej správy</w:t>
            </w:r>
          </w:p>
        </w:tc>
        <w:tc>
          <w:tcPr>
            <w:tcW w:w="5523" w:type="dxa"/>
            <w:gridSpan w:val="4"/>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Vplyv na rozpočet verejnej správy (v eurách)</w:t>
            </w:r>
          </w:p>
        </w:tc>
      </w:tr>
      <w:tr w:rsidR="00A74FE9" w:rsidRPr="00FC76FE" w:rsidTr="00A74FE9">
        <w:trPr>
          <w:cantSplit/>
          <w:trHeight w:val="70"/>
          <w:jc w:val="center"/>
        </w:trPr>
        <w:tc>
          <w:tcPr>
            <w:tcW w:w="4498" w:type="dxa"/>
            <w:vMerge/>
            <w:vAlign w:val="center"/>
          </w:tcPr>
          <w:p w:rsidR="00A74FE9" w:rsidRPr="00FC76FE"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2023</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2024</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2025</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2026</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rPr>
              <w:t>0</w:t>
            </w:r>
          </w:p>
        </w:tc>
        <w:tc>
          <w:tcPr>
            <w:tcW w:w="1559" w:type="dxa"/>
            <w:tcBorders>
              <w:top w:val="single" w:sz="8" w:space="0" w:color="auto"/>
              <w:left w:val="nil"/>
              <w:bottom w:val="single" w:sz="8" w:space="0" w:color="auto"/>
              <w:right w:val="single" w:sz="8" w:space="0" w:color="auto"/>
            </w:tcBorders>
            <w:shd w:val="clear" w:color="auto" w:fill="C0C0C0"/>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27 009 502</w:t>
            </w:r>
          </w:p>
        </w:tc>
        <w:tc>
          <w:tcPr>
            <w:tcW w:w="1417" w:type="dxa"/>
            <w:tcBorders>
              <w:top w:val="single" w:sz="8" w:space="0" w:color="auto"/>
              <w:left w:val="nil"/>
              <w:bottom w:val="single" w:sz="8" w:space="0" w:color="auto"/>
              <w:right w:val="single" w:sz="8" w:space="0" w:color="auto"/>
            </w:tcBorders>
            <w:shd w:val="clear" w:color="auto" w:fill="C0C0C0"/>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28 200 327</w:t>
            </w:r>
          </w:p>
        </w:tc>
        <w:tc>
          <w:tcPr>
            <w:tcW w:w="1521" w:type="dxa"/>
            <w:tcBorders>
              <w:top w:val="single" w:sz="8" w:space="0" w:color="auto"/>
              <w:left w:val="nil"/>
              <w:bottom w:val="single" w:sz="8" w:space="0" w:color="auto"/>
              <w:right w:val="single" w:sz="8" w:space="0" w:color="auto"/>
            </w:tcBorders>
            <w:shd w:val="clear" w:color="auto" w:fill="C0C0C0"/>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28 985 915</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p>
        </w:tc>
        <w:tc>
          <w:tcPr>
            <w:tcW w:w="1417"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p>
        </w:tc>
        <w:tc>
          <w:tcPr>
            <w:tcW w:w="1521"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27 009 502</w:t>
            </w:r>
          </w:p>
        </w:tc>
        <w:tc>
          <w:tcPr>
            <w:tcW w:w="1417"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28 200 327</w:t>
            </w:r>
          </w:p>
        </w:tc>
        <w:tc>
          <w:tcPr>
            <w:tcW w:w="1521"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28 985 915</w:t>
            </w:r>
          </w:p>
        </w:tc>
      </w:tr>
      <w:tr w:rsidR="00A74FE9" w:rsidRPr="00FC76FE" w:rsidTr="00A74FE9">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ind w:firstLineChars="100" w:firstLine="220"/>
              <w:rPr>
                <w:rFonts w:ascii="Times New Roman" w:hAnsi="Times New Roman" w:cs="Times New Roman"/>
                <w:i/>
                <w:iCs/>
                <w:color w:val="000000"/>
              </w:rPr>
            </w:pPr>
            <w:r w:rsidRPr="00FC76FE">
              <w:rPr>
                <w:rFonts w:ascii="Times New Roman" w:hAnsi="Times New Roman" w:cs="Times New Roman"/>
                <w:i/>
                <w:iCs/>
                <w:color w:val="000000"/>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27 009 502</w:t>
            </w:r>
          </w:p>
        </w:tc>
        <w:tc>
          <w:tcPr>
            <w:tcW w:w="1417"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28 200 327</w:t>
            </w:r>
          </w:p>
        </w:tc>
        <w:tc>
          <w:tcPr>
            <w:tcW w:w="1521"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color w:val="000000"/>
              </w:rPr>
              <w:t>28 985 915</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ind w:firstLineChars="100" w:firstLine="220"/>
              <w:rPr>
                <w:rFonts w:ascii="Times New Roman" w:hAnsi="Times New Roman" w:cs="Times New Roman"/>
                <w:i/>
                <w:iCs/>
                <w:color w:val="000000"/>
              </w:rPr>
            </w:pPr>
            <w:r w:rsidRPr="00FC76FE">
              <w:rPr>
                <w:rFonts w:ascii="Times New Roman" w:hAnsi="Times New Roman" w:cs="Times New Roman"/>
                <w:i/>
                <w:iCs/>
                <w:color w:val="000000"/>
              </w:rPr>
              <w:t>v tom: (131) daň z pridanej hodnoty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Cs/>
                <w:color w:val="000000"/>
              </w:rPr>
            </w:pPr>
            <w:r w:rsidRPr="00FC76FE">
              <w:rPr>
                <w:rFonts w:ascii="Times New Roman" w:hAnsi="Times New Roman" w:cs="Times New Roman"/>
                <w:bCs/>
                <w:color w:val="000000"/>
              </w:rPr>
              <w:t>27 009 502</w:t>
            </w:r>
          </w:p>
        </w:tc>
        <w:tc>
          <w:tcPr>
            <w:tcW w:w="1417"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Cs/>
                <w:color w:val="000000"/>
              </w:rPr>
            </w:pPr>
            <w:r w:rsidRPr="00FC76FE">
              <w:rPr>
                <w:rFonts w:ascii="Times New Roman" w:hAnsi="Times New Roman" w:cs="Times New Roman"/>
                <w:bCs/>
                <w:color w:val="000000"/>
              </w:rPr>
              <w:t>28 200 327</w:t>
            </w:r>
          </w:p>
        </w:tc>
        <w:tc>
          <w:tcPr>
            <w:tcW w:w="1521" w:type="dxa"/>
            <w:tcBorders>
              <w:top w:val="nil"/>
              <w:left w:val="nil"/>
              <w:bottom w:val="single" w:sz="8" w:space="0" w:color="auto"/>
              <w:right w:val="single" w:sz="8" w:space="0" w:color="auto"/>
            </w:tcBorders>
            <w:shd w:val="clear" w:color="auto" w:fill="auto"/>
            <w:noWrap/>
          </w:tcPr>
          <w:p w:rsidR="00A74FE9" w:rsidRPr="00FC76FE" w:rsidRDefault="00A74FE9" w:rsidP="00A74FE9">
            <w:pPr>
              <w:spacing w:after="0"/>
              <w:jc w:val="right"/>
              <w:rPr>
                <w:rFonts w:ascii="Times New Roman" w:hAnsi="Times New Roman" w:cs="Times New Roman"/>
                <w:bCs/>
                <w:color w:val="000000"/>
              </w:rPr>
            </w:pPr>
            <w:r w:rsidRPr="00FC76FE">
              <w:rPr>
                <w:rFonts w:ascii="Times New Roman" w:hAnsi="Times New Roman" w:cs="Times New Roman"/>
                <w:bCs/>
                <w:color w:val="000000"/>
              </w:rPr>
              <w:t>28 985 915</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ind w:firstLineChars="100" w:firstLine="220"/>
              <w:rPr>
                <w:rFonts w:ascii="Times New Roman" w:hAnsi="Times New Roman" w:cs="Times New Roman"/>
                <w:i/>
                <w:iCs/>
                <w:color w:val="000000"/>
              </w:rPr>
            </w:pPr>
            <w:r w:rsidRPr="00FC76FE">
              <w:rPr>
                <w:rFonts w:ascii="Times New Roman" w:hAnsi="Times New Roman" w:cs="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rPr>
              <w:t>0</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r w:rsidRPr="00FC76FE">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r w:rsidRPr="00FC76FE">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r w:rsidRPr="00FC76FE">
              <w:rPr>
                <w:rFonts w:ascii="Times New Roman" w:hAnsi="Times New Roman" w:cs="Times New Roman"/>
                <w:b/>
                <w:bCs/>
              </w:rPr>
              <w:t>0</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r w:rsidRPr="00FC76FE">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r w:rsidRPr="00FC76FE">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rPr>
            </w:pPr>
            <w:r w:rsidRPr="00FC76FE">
              <w:rPr>
                <w:rFonts w:ascii="Times New Roman" w:hAnsi="Times New Roman" w:cs="Times New Roman"/>
                <w:b/>
                <w:bCs/>
              </w:rPr>
              <w:t>0</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b/>
                <w:bCs/>
              </w:rPr>
              <w:t>0</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rPr>
            </w:pPr>
            <w:r w:rsidRPr="00FC76FE">
              <w:rPr>
                <w:rFonts w:ascii="Times New Roman" w:hAnsi="Times New Roman" w:cs="Times New Roman"/>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ind w:firstLineChars="100" w:firstLine="220"/>
              <w:rPr>
                <w:rFonts w:ascii="Times New Roman" w:hAnsi="Times New Roman" w:cs="Times New Roman"/>
                <w:i/>
                <w:iCs/>
                <w:color w:val="000000"/>
              </w:rPr>
            </w:pPr>
            <w:r w:rsidRPr="00FC76FE">
              <w:rPr>
                <w:rFonts w:ascii="Times New Roman" w:hAnsi="Times New Roman" w:cs="Times New Roman"/>
                <w:i/>
                <w:iCs/>
                <w:color w:val="000000"/>
              </w:rPr>
              <w:t>Rozpočtové prostriedky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ind w:firstLineChars="100" w:firstLine="220"/>
              <w:rPr>
                <w:rFonts w:ascii="Times New Roman" w:hAnsi="Times New Roman" w:cs="Times New Roman"/>
                <w:i/>
                <w:iCs/>
                <w:color w:val="000000"/>
              </w:rPr>
            </w:pPr>
            <w:r w:rsidRPr="00FC76FE">
              <w:rPr>
                <w:rFonts w:ascii="Times New Roman" w:hAnsi="Times New Roman" w:cs="Times New Roman"/>
                <w:i/>
                <w:iCs/>
                <w:color w:val="000000"/>
              </w:rPr>
              <w:t>v tom: daňový bonus na hypotéky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rPr>
            </w:pPr>
            <w:r w:rsidRPr="00FC76FE">
              <w:rPr>
                <w:rFonts w:ascii="Times New Roman" w:hAnsi="Times New Roman" w:cs="Times New Roman"/>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i/>
                <w:iCs/>
                <w:color w:val="000000"/>
              </w:rPr>
            </w:pPr>
            <w:r w:rsidRPr="00FC76FE">
              <w:rPr>
                <w:rFonts w:ascii="Times New Roman" w:hAnsi="Times New Roman" w:cs="Times New Roman"/>
                <w:i/>
                <w:iCs/>
                <w:color w:val="000000"/>
              </w:rPr>
              <w:t xml:space="preserve">    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i/>
                <w:iCs/>
                <w:color w:val="000000"/>
              </w:rPr>
            </w:pPr>
            <w:r w:rsidRPr="00FC76FE">
              <w:rPr>
                <w:rFonts w:ascii="Times New Roman" w:hAnsi="Times New Roman" w:cs="Times New Roman"/>
                <w:i/>
                <w:iCs/>
                <w:color w:val="000000"/>
              </w:rPr>
              <w:t xml:space="preserve">    spolufinancovanie</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b/>
                <w:bCs/>
                <w:i/>
                <w:iCs/>
                <w:color w:val="000000"/>
              </w:rPr>
            </w:pPr>
            <w:r w:rsidRPr="00FC76FE">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v tom: za každý subjekt verejnej správy / program zvlášť</w:t>
            </w:r>
          </w:p>
        </w:tc>
        <w:tc>
          <w:tcPr>
            <w:tcW w:w="1026"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r w:rsidR="00A74FE9" w:rsidRPr="00FC76FE"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6A6A6" w:themeFill="background1" w:themeFillShade="A6"/>
            <w:noWrap/>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6A6A6" w:themeFill="background1" w:themeFillShade="A6"/>
            <w:noWrap/>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6A6A6" w:themeFill="background1" w:themeFillShade="A6"/>
            <w:noWrap/>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r>
    </w:tbl>
    <w:p w:rsidR="00A74FE9" w:rsidRPr="00FC76FE" w:rsidRDefault="00A74FE9" w:rsidP="00A74FE9">
      <w:pPr>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br w:type="page"/>
      </w:r>
      <w:r w:rsidRPr="00FC76FE">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A74FE9" w:rsidRPr="00FC76FE"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2.2. Popis a charakteristika návrhu</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2.2.1. Popis návrhu:</w:t>
      </w:r>
    </w:p>
    <w:p w:rsidR="00A74FE9" w:rsidRPr="00FC76FE"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 xml:space="preserve">K novele zákona č. 222/2004 Z. z. o dani z pridanej hodnoty </w:t>
      </w: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S účinnosťou od 1.1.2024 sa zvyšuje sadzba DPH v sektore gastro na alkoholické nápoje z 10 % na 20 % (dochádza k zúženiu rozsahu zníženej sadzby DPH pre stravovacie a reštauračné služby o alkoholické nápoje).</w:t>
      </w:r>
    </w:p>
    <w:p w:rsidR="00A74FE9" w:rsidRPr="00FC76FE"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2.2.2. Charakteristika návrhu:</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sz w:val="24"/>
          <w:szCs w:val="24"/>
          <w:bdr w:val="single" w:sz="4" w:space="0" w:color="auto"/>
          <w:lang w:eastAsia="sk-SK"/>
        </w:rPr>
        <w:t xml:space="preserve">  x </w:t>
      </w:r>
      <w:r w:rsidRPr="00FC76FE">
        <w:rPr>
          <w:rFonts w:ascii="Times New Roman" w:eastAsia="Times New Roman" w:hAnsi="Times New Roman" w:cs="Times New Roman"/>
          <w:b/>
          <w:sz w:val="24"/>
          <w:szCs w:val="24"/>
          <w:lang w:eastAsia="sk-SK"/>
        </w:rPr>
        <w:t xml:space="preserve">  </w:t>
      </w:r>
      <w:r w:rsidRPr="00FC76FE">
        <w:rPr>
          <w:rFonts w:ascii="Times New Roman" w:eastAsia="Times New Roman" w:hAnsi="Times New Roman" w:cs="Times New Roman"/>
          <w:sz w:val="24"/>
          <w:szCs w:val="24"/>
          <w:lang w:eastAsia="sk-SK"/>
        </w:rPr>
        <w:t>zmena sadzby</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zmena v nároku</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nová služba alebo nariadenie (alebo ich zrušenie)</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kombinovaný návrh</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bdr w:val="single" w:sz="4" w:space="0" w:color="auto"/>
          <w:lang w:eastAsia="sk-SK"/>
        </w:rPr>
        <w:t xml:space="preserve">     </w:t>
      </w:r>
      <w:r w:rsidRPr="00FC76FE">
        <w:rPr>
          <w:rFonts w:ascii="Times New Roman" w:eastAsia="Times New Roman" w:hAnsi="Times New Roman" w:cs="Times New Roman"/>
          <w:sz w:val="24"/>
          <w:szCs w:val="24"/>
          <w:lang w:eastAsia="sk-SK"/>
        </w:rPr>
        <w:t xml:space="preserve">  iné </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2.2.3. Predpoklady vývoja objemu aktivít:</w:t>
      </w:r>
    </w:p>
    <w:p w:rsidR="00A74FE9" w:rsidRPr="00FC76FE" w:rsidRDefault="00A74FE9" w:rsidP="00A74FE9">
      <w:pPr>
        <w:spacing w:after="0" w:line="240" w:lineRule="auto"/>
        <w:rPr>
          <w:rFonts w:ascii="Times New Roman" w:eastAsia="Times New Roman" w:hAnsi="Times New Roman" w:cs="Times New Roman"/>
          <w:sz w:val="24"/>
          <w:szCs w:val="24"/>
          <w:lang w:eastAsia="sk-SK"/>
        </w:rPr>
      </w:pPr>
    </w:p>
    <w:p w:rsidR="00A74FE9" w:rsidRPr="00FC76FE"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rPr>
          <w:rFonts w:ascii="Times New Roman" w:eastAsia="Times New Roman" w:hAnsi="Times New Roman" w:cs="Times New Roman"/>
          <w:b/>
          <w:bCs/>
          <w:sz w:val="24"/>
          <w:szCs w:val="24"/>
          <w:lang w:eastAsia="sk-SK"/>
        </w:rPr>
      </w:pPr>
      <w:r w:rsidRPr="00FC76FE">
        <w:rPr>
          <w:rFonts w:ascii="Times New Roman" w:eastAsia="Times New Roman" w:hAnsi="Times New Roman" w:cs="Times New Roman"/>
          <w:b/>
          <w:bCs/>
          <w:sz w:val="24"/>
          <w:szCs w:val="24"/>
          <w:lang w:eastAsia="sk-SK"/>
        </w:rPr>
        <w:t>2.2.4. Výpočty vplyvov na verejné financie</w:t>
      </w:r>
    </w:p>
    <w:p w:rsidR="00A74FE9" w:rsidRPr="00FC76FE"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b/>
          <w:bCs/>
          <w:sz w:val="24"/>
          <w:szCs w:val="24"/>
          <w:lang w:eastAsia="sk-SK"/>
        </w:rPr>
        <w:t>K novele zákona č. 222/2004 Z. z. o dani z pridanej hodnoty</w:t>
      </w:r>
    </w:p>
    <w:p w:rsidR="00A74FE9" w:rsidRPr="00FC76FE" w:rsidRDefault="00A74FE9" w:rsidP="00A74FE9">
      <w:pPr>
        <w:spacing w:after="0" w:line="240" w:lineRule="auto"/>
        <w:jc w:val="both"/>
        <w:rPr>
          <w:rFonts w:ascii="Times New Roman" w:eastAsia="Times New Roman" w:hAnsi="Times New Roman" w:cs="Times New Roman"/>
          <w:sz w:val="24"/>
          <w:szCs w:val="24"/>
          <w:lang w:eastAsia="sk-SK"/>
        </w:rPr>
      </w:pPr>
      <w:r w:rsidRPr="00FC76FE">
        <w:rPr>
          <w:rFonts w:ascii="Times New Roman" w:eastAsia="Times New Roman" w:hAnsi="Times New Roman" w:cs="Times New Roman"/>
          <w:sz w:val="24"/>
          <w:szCs w:val="24"/>
          <w:lang w:eastAsia="sk-SK"/>
        </w:rPr>
        <w:t>Výpočet vplyvu zvýšenia sadzby DPH na 20 % na alkohol v reštauračných a stravovacích zariadeniach vychádza z údajov zo systému eKasa (kvantifikácia zahŕňa všetky pokladnice napojené na portál FS SR v roku 2022 u podnikateľských subjektov pôsobiacich v sektore  s NACE kódom 56). Indexované na ďalšie roky rastom nominálnej konečnej spotreby domácností v oblasti alkoholických nápojov, tabakových výrobkov a narkotík, vychádzajúca z Výboru pre daňové prognózy z novembra 2023.</w:t>
      </w:r>
    </w:p>
    <w:p w:rsidR="00A74FE9" w:rsidRPr="00FC76FE" w:rsidRDefault="00A74FE9" w:rsidP="00A74FE9">
      <w:pPr>
        <w:spacing w:before="240" w:line="23" w:lineRule="atLeast"/>
        <w:jc w:val="both"/>
        <w:rPr>
          <w:rFonts w:ascii="Arial Narrow" w:hAnsi="Arial Narrow" w:cs="Tahoma"/>
          <w:color w:val="000000"/>
        </w:rPr>
      </w:pPr>
    </w:p>
    <w:p w:rsidR="00A74FE9" w:rsidRPr="00FC76FE" w:rsidRDefault="00A74FE9" w:rsidP="00A74FE9">
      <w:pPr>
        <w:spacing w:before="240" w:line="23" w:lineRule="atLeast"/>
        <w:jc w:val="both"/>
        <w:rPr>
          <w:rFonts w:ascii="Arial Narrow" w:hAnsi="Arial Narrow" w:cs="Tahoma"/>
          <w:color w:val="000000" w:themeColor="text1"/>
        </w:rPr>
      </w:pP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FC76FE" w:rsidSect="001733E1">
          <w:pgSz w:w="11906" w:h="16838"/>
          <w:pgMar w:top="1417" w:right="1417" w:bottom="1276" w:left="1417" w:header="708" w:footer="708" w:gutter="0"/>
          <w:cols w:space="708"/>
          <w:docGrid w:linePitch="360"/>
        </w:sectPr>
      </w:pPr>
    </w:p>
    <w:p w:rsidR="00A74FE9" w:rsidRPr="00FC76FE"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lastRenderedPageBreak/>
        <w:t xml:space="preserve">Tabuľka č. 3 </w:t>
      </w: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FC76FE"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poznámka</w:t>
            </w:r>
          </w:p>
        </w:tc>
      </w:tr>
      <w:tr w:rsidR="00A74FE9" w:rsidRPr="00FC76FE"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FC76FE"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Daňové príjmy (100)</w:t>
            </w:r>
            <w:r w:rsidRPr="00FC76FE">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tcPr>
          <w:p w:rsidR="00A74FE9" w:rsidRPr="00FC76FE" w:rsidRDefault="00A74FE9" w:rsidP="00A74FE9">
            <w:pPr>
              <w:spacing w:after="0"/>
              <w:jc w:val="right"/>
              <w:rPr>
                <w:rFonts w:ascii="Times New Roman" w:hAnsi="Times New Roman" w:cs="Times New Roman"/>
                <w:bCs/>
                <w:color w:val="000000"/>
              </w:rPr>
            </w:pPr>
            <w:r w:rsidRPr="00FC76FE">
              <w:rPr>
                <w:rFonts w:ascii="Times New Roman" w:hAnsi="Times New Roman" w:cs="Times New Roman"/>
                <w:b/>
                <w:bCs/>
                <w:color w:val="000000"/>
              </w:rPr>
              <w:t>27 009 502</w:t>
            </w:r>
          </w:p>
        </w:tc>
        <w:tc>
          <w:tcPr>
            <w:tcW w:w="1500" w:type="dxa"/>
            <w:tcBorders>
              <w:top w:val="nil"/>
              <w:left w:val="nil"/>
              <w:bottom w:val="single" w:sz="8" w:space="0" w:color="auto"/>
              <w:right w:val="single" w:sz="8" w:space="0" w:color="auto"/>
            </w:tcBorders>
            <w:shd w:val="clear" w:color="auto" w:fill="auto"/>
          </w:tcPr>
          <w:p w:rsidR="00A74FE9" w:rsidRPr="00FC76FE" w:rsidRDefault="00A74FE9" w:rsidP="00A74FE9">
            <w:pPr>
              <w:spacing w:after="0"/>
              <w:jc w:val="right"/>
              <w:rPr>
                <w:rFonts w:ascii="Times New Roman" w:hAnsi="Times New Roman" w:cs="Times New Roman"/>
                <w:bCs/>
                <w:color w:val="000000"/>
              </w:rPr>
            </w:pPr>
            <w:r w:rsidRPr="00FC76FE">
              <w:rPr>
                <w:rFonts w:ascii="Times New Roman" w:hAnsi="Times New Roman" w:cs="Times New Roman"/>
                <w:b/>
                <w:bCs/>
                <w:color w:val="000000"/>
              </w:rPr>
              <w:t>28 200 327</w:t>
            </w:r>
          </w:p>
        </w:tc>
        <w:tc>
          <w:tcPr>
            <w:tcW w:w="1500" w:type="dxa"/>
            <w:tcBorders>
              <w:top w:val="nil"/>
              <w:left w:val="nil"/>
              <w:bottom w:val="single" w:sz="8" w:space="0" w:color="auto"/>
              <w:right w:val="single" w:sz="8" w:space="0" w:color="auto"/>
            </w:tcBorders>
            <w:shd w:val="clear" w:color="auto" w:fill="auto"/>
          </w:tcPr>
          <w:p w:rsidR="00A74FE9" w:rsidRPr="00FC76FE" w:rsidRDefault="00A74FE9" w:rsidP="00A74FE9">
            <w:pPr>
              <w:spacing w:after="0"/>
              <w:jc w:val="right"/>
              <w:rPr>
                <w:rFonts w:ascii="Times New Roman" w:hAnsi="Times New Roman" w:cs="Times New Roman"/>
                <w:bCs/>
                <w:color w:val="000000"/>
              </w:rPr>
            </w:pPr>
            <w:r w:rsidRPr="00FC76FE">
              <w:rPr>
                <w:rFonts w:ascii="Times New Roman" w:hAnsi="Times New Roman" w:cs="Times New Roman"/>
                <w:b/>
                <w:bCs/>
                <w:color w:val="000000"/>
              </w:rPr>
              <w:t>28 985 915</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ind w:firstLineChars="100" w:firstLine="220"/>
              <w:rPr>
                <w:rFonts w:ascii="Times New Roman" w:hAnsi="Times New Roman" w:cs="Times New Roman"/>
                <w:i/>
                <w:iCs/>
                <w:color w:val="000000"/>
              </w:rPr>
            </w:pPr>
            <w:r w:rsidRPr="00FC76FE">
              <w:rPr>
                <w:rFonts w:ascii="Times New Roman" w:hAnsi="Times New Roman" w:cs="Times New Roman"/>
                <w:i/>
                <w:iCs/>
                <w:color w:val="000000"/>
              </w:rPr>
              <w:t>v tom: (131) daň z pridanej hodnoty</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bCs/>
                <w:color w:val="000000"/>
              </w:rPr>
              <w:t>27 009 502</w:t>
            </w:r>
          </w:p>
        </w:tc>
        <w:tc>
          <w:tcPr>
            <w:tcW w:w="1500" w:type="dxa"/>
            <w:tcBorders>
              <w:top w:val="nil"/>
              <w:left w:val="nil"/>
              <w:bottom w:val="single" w:sz="8" w:space="0" w:color="auto"/>
              <w:right w:val="single" w:sz="8" w:space="0" w:color="auto"/>
            </w:tcBorders>
            <w:shd w:val="clear" w:color="auto" w:fill="auto"/>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bCs/>
                <w:color w:val="000000"/>
              </w:rPr>
              <w:t>28 200 327</w:t>
            </w:r>
          </w:p>
        </w:tc>
        <w:tc>
          <w:tcPr>
            <w:tcW w:w="1500" w:type="dxa"/>
            <w:tcBorders>
              <w:top w:val="nil"/>
              <w:left w:val="nil"/>
              <w:bottom w:val="single" w:sz="8" w:space="0" w:color="auto"/>
              <w:right w:val="single" w:sz="8" w:space="0" w:color="auto"/>
            </w:tcBorders>
            <w:shd w:val="clear" w:color="auto" w:fill="auto"/>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bCs/>
                <w:color w:val="000000"/>
              </w:rPr>
              <w:t>28 985 915</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Nedaňové príjmy (200)</w:t>
            </w:r>
            <w:r w:rsidRPr="00FC76FE">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center"/>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000000" w:fill="BFBFBF"/>
          </w:tcPr>
          <w:p w:rsidR="00A74FE9" w:rsidRPr="00FC76FE" w:rsidRDefault="00A74FE9" w:rsidP="00A74FE9">
            <w:pPr>
              <w:spacing w:after="0"/>
              <w:ind w:hanging="143"/>
              <w:jc w:val="center"/>
              <w:rPr>
                <w:rFonts w:ascii="Times New Roman" w:hAnsi="Times New Roman" w:cs="Times New Roman"/>
                <w:b/>
                <w:bCs/>
                <w:color w:val="000000"/>
              </w:rPr>
            </w:pPr>
            <w:r w:rsidRPr="00FC76FE">
              <w:rPr>
                <w:rFonts w:ascii="Times New Roman" w:hAnsi="Times New Roman" w:cs="Times New Roman"/>
                <w:b/>
                <w:bCs/>
                <w:color w:val="000000"/>
              </w:rPr>
              <w:t>27 009 502</w:t>
            </w:r>
          </w:p>
        </w:tc>
        <w:tc>
          <w:tcPr>
            <w:tcW w:w="1500" w:type="dxa"/>
            <w:tcBorders>
              <w:top w:val="nil"/>
              <w:left w:val="nil"/>
              <w:bottom w:val="single" w:sz="8" w:space="0" w:color="auto"/>
              <w:right w:val="single" w:sz="8" w:space="0" w:color="auto"/>
            </w:tcBorders>
            <w:shd w:val="clear" w:color="000000" w:fill="BFBFBF"/>
          </w:tcPr>
          <w:p w:rsidR="00A74FE9" w:rsidRPr="00FC76FE" w:rsidRDefault="00A74FE9" w:rsidP="00A74FE9">
            <w:pPr>
              <w:spacing w:after="0"/>
              <w:ind w:hanging="143"/>
              <w:jc w:val="center"/>
              <w:rPr>
                <w:rFonts w:ascii="Times New Roman" w:hAnsi="Times New Roman" w:cs="Times New Roman"/>
                <w:b/>
                <w:bCs/>
                <w:color w:val="000000"/>
              </w:rPr>
            </w:pPr>
            <w:r w:rsidRPr="00FC76FE">
              <w:rPr>
                <w:rFonts w:ascii="Times New Roman" w:hAnsi="Times New Roman" w:cs="Times New Roman"/>
                <w:b/>
                <w:bCs/>
                <w:color w:val="000000"/>
              </w:rPr>
              <w:t>28 200 327</w:t>
            </w:r>
          </w:p>
        </w:tc>
        <w:tc>
          <w:tcPr>
            <w:tcW w:w="1500" w:type="dxa"/>
            <w:tcBorders>
              <w:top w:val="nil"/>
              <w:left w:val="nil"/>
              <w:bottom w:val="single" w:sz="8" w:space="0" w:color="auto"/>
              <w:right w:val="single" w:sz="8" w:space="0" w:color="auto"/>
            </w:tcBorders>
            <w:shd w:val="clear" w:color="000000" w:fill="BFBFBF"/>
          </w:tcPr>
          <w:p w:rsidR="00A74FE9" w:rsidRPr="00FC76FE" w:rsidRDefault="00A74FE9" w:rsidP="00A74FE9">
            <w:pPr>
              <w:spacing w:after="0"/>
              <w:ind w:hanging="143"/>
              <w:jc w:val="center"/>
              <w:rPr>
                <w:rFonts w:ascii="Times New Roman" w:hAnsi="Times New Roman" w:cs="Times New Roman"/>
                <w:b/>
                <w:bCs/>
                <w:color w:val="000000"/>
              </w:rPr>
            </w:pPr>
            <w:r w:rsidRPr="00FC76FE">
              <w:rPr>
                <w:rFonts w:ascii="Times New Roman" w:hAnsi="Times New Roman" w:cs="Times New Roman"/>
                <w:b/>
                <w:bCs/>
                <w:color w:val="000000"/>
              </w:rPr>
              <w:t>28 985 915</w:t>
            </w:r>
          </w:p>
        </w:tc>
        <w:tc>
          <w:tcPr>
            <w:tcW w:w="300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bl>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1 –  príjmy rozpísať až do položiek platnej ekonomickej klasifikácie</w:t>
      </w: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FC76FE"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FC76FE">
        <w:rPr>
          <w:rFonts w:ascii="Times New Roman" w:eastAsia="Times New Roman" w:hAnsi="Times New Roman" w:cs="Times New Roman"/>
          <w:b/>
          <w:bCs/>
          <w:sz w:val="24"/>
          <w:szCs w:val="20"/>
          <w:lang w:eastAsia="sk-SK"/>
        </w:rPr>
        <w:t>Poznámka:</w:t>
      </w: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FC76FE">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 xml:space="preserve"> </w:t>
      </w: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FC76FE" w:rsidRDefault="00A74FE9" w:rsidP="00A74FE9">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 xml:space="preserve">Tabuľka č. 4 </w:t>
      </w: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74FE9" w:rsidRPr="00FC76FE" w:rsidTr="00A74FE9">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poznámka</w:t>
            </w:r>
          </w:p>
        </w:tc>
      </w:tr>
      <w:tr w:rsidR="00A74FE9" w:rsidRPr="00FC76FE" w:rsidTr="00A74FE9">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A74FE9" w:rsidRPr="00FC76FE" w:rsidRDefault="00A74FE9" w:rsidP="00A74FE9">
            <w:pPr>
              <w:spacing w:after="0" w:line="240" w:lineRule="auto"/>
              <w:rPr>
                <w:rFonts w:ascii="Times New Roman" w:eastAsia="Times New Roman" w:hAnsi="Times New Roman" w:cs="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FC76FE" w:rsidRDefault="00A74FE9" w:rsidP="00A74FE9">
            <w:pPr>
              <w:spacing w:after="100" w:afterAutospacing="1"/>
              <w:jc w:val="center"/>
              <w:rPr>
                <w:rFonts w:ascii="Times New Roman" w:hAnsi="Times New Roman" w:cs="Times New Roman"/>
                <w:b/>
                <w:bCs/>
                <w:color w:val="000000"/>
              </w:rPr>
            </w:pPr>
            <w:r w:rsidRPr="00FC76FE">
              <w:rPr>
                <w:rFonts w:ascii="Times New Roman" w:hAnsi="Times New Roman" w:cs="Times New Roman"/>
                <w:b/>
                <w:bCs/>
                <w:color w:val="000000"/>
              </w:rPr>
              <w:t>2023</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A74FE9" w:rsidRPr="00FC76FE" w:rsidRDefault="00A74FE9" w:rsidP="00A74FE9">
            <w:pPr>
              <w:spacing w:after="100" w:afterAutospacing="1"/>
              <w:jc w:val="center"/>
              <w:rPr>
                <w:rFonts w:ascii="Times New Roman" w:hAnsi="Times New Roman" w:cs="Times New Roman"/>
                <w:b/>
                <w:bCs/>
                <w:color w:val="000000"/>
              </w:rPr>
            </w:pPr>
            <w:r w:rsidRPr="00FC76FE">
              <w:rPr>
                <w:rFonts w:ascii="Times New Roman" w:hAnsi="Times New Roman" w:cs="Times New Roman"/>
                <w:b/>
                <w:bCs/>
                <w:color w:val="000000"/>
              </w:rPr>
              <w:t>2024</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A74FE9" w:rsidRPr="00FC76FE" w:rsidRDefault="00A74FE9" w:rsidP="00A74FE9">
            <w:pPr>
              <w:spacing w:after="100" w:afterAutospacing="1"/>
              <w:jc w:val="center"/>
              <w:rPr>
                <w:rFonts w:ascii="Times New Roman" w:hAnsi="Times New Roman" w:cs="Times New Roman"/>
                <w:b/>
                <w:bCs/>
                <w:color w:val="000000"/>
              </w:rPr>
            </w:pPr>
            <w:r w:rsidRPr="00FC76FE">
              <w:rPr>
                <w:rFonts w:ascii="Times New Roman" w:hAnsi="Times New Roman" w:cs="Times New Roman"/>
                <w:b/>
                <w:bCs/>
                <w:color w:val="000000"/>
              </w:rPr>
              <w:t>2025</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A74FE9" w:rsidRPr="00FC76FE" w:rsidRDefault="00A74FE9" w:rsidP="00A74FE9">
            <w:pPr>
              <w:spacing w:after="100" w:afterAutospacing="1"/>
              <w:jc w:val="center"/>
              <w:rPr>
                <w:rFonts w:ascii="Times New Roman" w:hAnsi="Times New Roman" w:cs="Times New Roman"/>
                <w:b/>
                <w:bCs/>
                <w:color w:val="000000"/>
              </w:rPr>
            </w:pPr>
            <w:r w:rsidRPr="00FC76FE">
              <w:rPr>
                <w:rFonts w:ascii="Times New Roman" w:hAnsi="Times New Roman" w:cs="Times New Roman"/>
                <w:b/>
                <w:bCs/>
                <w:color w:val="000000"/>
              </w:rPr>
              <w:t>2026</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FC76FE" w:rsidRDefault="00A74FE9" w:rsidP="00A74FE9">
            <w:pPr>
              <w:spacing w:after="100" w:afterAutospacing="1" w:line="240" w:lineRule="auto"/>
              <w:rPr>
                <w:rFonts w:ascii="Times New Roman" w:eastAsia="Times New Roman" w:hAnsi="Times New Roman" w:cs="Times New Roman"/>
                <w:b/>
                <w:bCs/>
                <w:color w:val="FFFFFF"/>
                <w:lang w:eastAsia="sk-SK"/>
              </w:rPr>
            </w:pP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 xml:space="preserve">  Tovary a služby (630)</w:t>
            </w:r>
            <w:r w:rsidRPr="00FC76FE">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 xml:space="preserve">  Bežné transfery (640)</w:t>
            </w:r>
            <w:r w:rsidRPr="00FC76FE">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i/>
                <w:iCs/>
                <w:color w:val="000000"/>
              </w:rPr>
              <w:t>v tom: daňový bonus na hypotéky</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Splácanie úrokov a ostatné platby súvisiace s  úverom, pôžičkou, návratnou finančnou výpomocou a finančným prenájmom (650)</w:t>
            </w:r>
            <w:r w:rsidRPr="00FC76FE">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 xml:space="preserve">  Obstarávanie kapitálových aktív (710)</w:t>
            </w:r>
            <w:r w:rsidRPr="00FC76FE">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ind w:firstLineChars="100" w:firstLine="220"/>
              <w:rPr>
                <w:rFonts w:ascii="Times New Roman" w:hAnsi="Times New Roman" w:cs="Times New Roman"/>
                <w:i/>
                <w:iCs/>
                <w:color w:val="000000"/>
              </w:rPr>
            </w:pPr>
            <w:r w:rsidRPr="00FC76FE">
              <w:rPr>
                <w:rFonts w:ascii="Times New Roman" w:hAnsi="Times New Roman" w:cs="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color w:val="000000"/>
              </w:rPr>
            </w:pPr>
            <w:r w:rsidRPr="00FC76FE">
              <w:rPr>
                <w:rFonts w:ascii="Times New Roman" w:hAnsi="Times New Roman" w:cs="Times New Roman"/>
                <w:color w:val="000000"/>
              </w:rPr>
              <w:t xml:space="preserve">  Kapitálové transfery (720)</w:t>
            </w:r>
            <w:r w:rsidRPr="00FC76FE">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2220" w:type="dxa"/>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color w:val="00000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bl>
    <w:p w:rsidR="00A74FE9" w:rsidRPr="00FC76FE"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t>2 –  výdavky rozpísať až do položiek platnej ekonomickej klasifikácie</w:t>
      </w:r>
    </w:p>
    <w:p w:rsidR="00A74FE9" w:rsidRPr="00FC76FE"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FC76FE"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FC76FE">
        <w:rPr>
          <w:rFonts w:ascii="Times New Roman" w:eastAsia="Times New Roman" w:hAnsi="Times New Roman" w:cs="Times New Roman"/>
          <w:b/>
          <w:bCs/>
          <w:sz w:val="24"/>
          <w:szCs w:val="20"/>
          <w:lang w:eastAsia="sk-SK"/>
        </w:rPr>
        <w:t>Poznámka:</w:t>
      </w:r>
    </w:p>
    <w:p w:rsidR="00A74FE9" w:rsidRPr="00FC76FE"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FC76FE"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FC76FE" w:rsidRDefault="00A74FE9" w:rsidP="00A74FE9">
      <w:pPr>
        <w:rPr>
          <w:rFonts w:ascii="Times New Roman" w:eastAsia="Times New Roman" w:hAnsi="Times New Roman" w:cs="Times New Roman"/>
          <w:bCs/>
          <w:sz w:val="20"/>
          <w:szCs w:val="20"/>
          <w:lang w:eastAsia="sk-SK"/>
        </w:rPr>
      </w:pPr>
      <w:r w:rsidRPr="00FC76FE">
        <w:rPr>
          <w:rFonts w:ascii="Times New Roman" w:eastAsia="Times New Roman" w:hAnsi="Times New Roman" w:cs="Times New Roman"/>
          <w:bCs/>
          <w:sz w:val="20"/>
          <w:szCs w:val="20"/>
          <w:lang w:eastAsia="sk-SK"/>
        </w:rPr>
        <w:br w:type="page"/>
      </w:r>
    </w:p>
    <w:p w:rsidR="00A74FE9" w:rsidRPr="00FC76FE"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FC76FE"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FC76FE">
        <w:rPr>
          <w:rFonts w:ascii="Times New Roman" w:eastAsia="Times New Roman" w:hAnsi="Times New Roman" w:cs="Times New Roman"/>
          <w:bCs/>
          <w:sz w:val="24"/>
          <w:szCs w:val="24"/>
          <w:lang w:eastAsia="sk-SK"/>
        </w:rPr>
        <w:t xml:space="preserve">                Tabuľka č. 5 </w:t>
      </w:r>
    </w:p>
    <w:p w:rsidR="00A74FE9" w:rsidRPr="00FC76FE"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74FE9" w:rsidRPr="00FC76FE"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FC76FE" w:rsidRDefault="00A74FE9" w:rsidP="00A74FE9">
            <w:pPr>
              <w:spacing w:after="0" w:line="240" w:lineRule="auto"/>
              <w:jc w:val="center"/>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poznámka</w:t>
            </w:r>
          </w:p>
        </w:tc>
      </w:tr>
      <w:tr w:rsidR="00A74FE9" w:rsidRPr="00FC76FE"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2023</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2024</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2025</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jc w:val="center"/>
              <w:rPr>
                <w:rFonts w:ascii="Times New Roman" w:hAnsi="Times New Roman" w:cs="Times New Roman"/>
                <w:b/>
                <w:bCs/>
                <w:color w:val="000000"/>
              </w:rPr>
            </w:pPr>
            <w:r w:rsidRPr="00FC76FE">
              <w:rPr>
                <w:rFonts w:ascii="Times New Roman" w:hAnsi="Times New Roman" w:cs="Times New Roman"/>
                <w:b/>
                <w:bCs/>
                <w:color w:val="000000"/>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FC76FE"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FC76FE" w:rsidRDefault="00A74FE9" w:rsidP="00A74FE9">
            <w:pPr>
              <w:spacing w:after="0" w:line="240" w:lineRule="auto"/>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 </w:t>
            </w: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 </w:t>
            </w: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b/>
                <w:bCs/>
                <w:color w:val="000000"/>
              </w:rPr>
            </w:pPr>
            <w:r w:rsidRPr="00FC76FE">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 </w:t>
            </w:r>
          </w:p>
        </w:tc>
      </w:tr>
      <w:tr w:rsidR="00A74FE9" w:rsidRPr="00FC76FE"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rPr>
                <w:rFonts w:ascii="Times New Roman" w:hAnsi="Times New Roman" w:cs="Times New Roman"/>
                <w:b/>
                <w:bCs/>
                <w:color w:val="000000"/>
              </w:rPr>
            </w:pPr>
            <w:r w:rsidRPr="00FC76FE">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FC76FE" w:rsidRDefault="00A74FE9" w:rsidP="00A74FE9">
            <w:pPr>
              <w:spacing w:after="0"/>
              <w:jc w:val="right"/>
              <w:rPr>
                <w:rFonts w:ascii="Times New Roman" w:hAnsi="Times New Roman" w:cs="Times New Roman"/>
                <w:color w:val="000000"/>
              </w:rPr>
            </w:pPr>
            <w:r w:rsidRPr="00FC76FE">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 </w:t>
            </w:r>
          </w:p>
        </w:tc>
      </w:tr>
      <w:tr w:rsidR="00A74FE9" w:rsidRPr="00FC76FE" w:rsidTr="00A74FE9">
        <w:trPr>
          <w:trHeight w:val="255"/>
        </w:trPr>
        <w:tc>
          <w:tcPr>
            <w:tcW w:w="618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6188" w:type="dxa"/>
            <w:tcBorders>
              <w:top w:val="nil"/>
              <w:left w:val="nil"/>
              <w:bottom w:val="nil"/>
              <w:right w:val="nil"/>
            </w:tcBorders>
          </w:tcPr>
          <w:p w:rsidR="00A74FE9" w:rsidRPr="00FC76FE" w:rsidRDefault="00A74FE9" w:rsidP="00A74FE9">
            <w:pPr>
              <w:spacing w:after="0" w:line="240" w:lineRule="auto"/>
              <w:rPr>
                <w:rFonts w:ascii="Times New Roman" w:eastAsia="Times New Roman" w:hAnsi="Times New Roman" w:cs="Times New Roman"/>
                <w:b/>
                <w:bCs/>
                <w:lang w:eastAsia="sk-SK"/>
              </w:rPr>
            </w:pPr>
            <w:r w:rsidRPr="00FC76FE">
              <w:rPr>
                <w:rFonts w:ascii="Times New Roman" w:eastAsia="Times New Roman" w:hAnsi="Times New Roman" w:cs="Times New Roman"/>
                <w:b/>
                <w:bCs/>
                <w:lang w:eastAsia="sk-SK"/>
              </w:rPr>
              <w:t>Poznámky:</w:t>
            </w:r>
          </w:p>
        </w:tc>
        <w:tc>
          <w:tcPr>
            <w:tcW w:w="169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13814" w:type="dxa"/>
            <w:gridSpan w:val="6"/>
            <w:tcBorders>
              <w:top w:val="nil"/>
              <w:left w:val="nil"/>
              <w:bottom w:val="nil"/>
              <w:right w:val="nil"/>
            </w:tcBorders>
            <w:noWrap/>
          </w:tcPr>
          <w:p w:rsidR="00A74FE9" w:rsidRPr="00FC76FE" w:rsidRDefault="00A74FE9" w:rsidP="00A74FE9">
            <w:pPr>
              <w:tabs>
                <w:tab w:val="num" w:pos="1080"/>
              </w:tabs>
              <w:spacing w:after="0" w:line="240" w:lineRule="auto"/>
              <w:jc w:val="both"/>
              <w:rPr>
                <w:rFonts w:ascii="Times New Roman" w:eastAsia="Times New Roman" w:hAnsi="Times New Roman" w:cs="Times New Roman"/>
                <w:bCs/>
                <w:lang w:eastAsia="sk-SK"/>
              </w:rPr>
            </w:pPr>
            <w:r w:rsidRPr="00FC76FE">
              <w:rPr>
                <w:rFonts w:ascii="Times New Roman" w:eastAsia="Times New Roman" w:hAnsi="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r w:rsidR="00A74FE9" w:rsidRPr="00FC76FE" w:rsidTr="00A74FE9">
        <w:trPr>
          <w:trHeight w:val="255"/>
        </w:trPr>
        <w:tc>
          <w:tcPr>
            <w:tcW w:w="10394" w:type="dxa"/>
            <w:gridSpan w:val="4"/>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r w:rsidRPr="00FC76FE">
              <w:rPr>
                <w:rFonts w:ascii="Times New Roman" w:eastAsia="Times New Roman" w:hAnsi="Times New Roman" w:cs="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2608" w:type="dxa"/>
            <w:gridSpan w:val="2"/>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c>
          <w:tcPr>
            <w:tcW w:w="990" w:type="dxa"/>
            <w:tcBorders>
              <w:top w:val="nil"/>
              <w:left w:val="nil"/>
              <w:bottom w:val="nil"/>
              <w:right w:val="nil"/>
            </w:tcBorders>
            <w:noWrap/>
            <w:vAlign w:val="bottom"/>
          </w:tcPr>
          <w:p w:rsidR="00A74FE9" w:rsidRPr="00FC76FE" w:rsidRDefault="00A74FE9" w:rsidP="00A74FE9">
            <w:pPr>
              <w:spacing w:after="0" w:line="240" w:lineRule="auto"/>
              <w:rPr>
                <w:rFonts w:ascii="Times New Roman" w:eastAsia="Times New Roman" w:hAnsi="Times New Roman" w:cs="Times New Roman"/>
                <w:lang w:eastAsia="sk-SK"/>
              </w:rPr>
            </w:pPr>
          </w:p>
        </w:tc>
      </w:tr>
    </w:tbl>
    <w:p w:rsidR="00A74FE9" w:rsidRPr="00FC76FE" w:rsidRDefault="00A74FE9" w:rsidP="00A74FE9">
      <w:pPr>
        <w:spacing w:after="0" w:line="240" w:lineRule="auto"/>
      </w:pPr>
    </w:p>
    <w:p w:rsidR="00A74FE9" w:rsidRDefault="00A74FE9" w:rsidP="00A74FE9">
      <w:pPr>
        <w:spacing w:after="0"/>
        <w:rPr>
          <w:rFonts w:ascii="Times New Roman" w:eastAsia="Times New Roman" w:hAnsi="Times New Roman" w:cs="Times New Roman"/>
          <w:bCs/>
          <w:sz w:val="18"/>
          <w:szCs w:val="20"/>
          <w:lang w:eastAsia="sk-SK"/>
        </w:rPr>
        <w:sectPr w:rsidR="00A74FE9" w:rsidSect="001733E1">
          <w:headerReference w:type="even" r:id="rId34"/>
          <w:headerReference w:type="default" r:id="rId35"/>
          <w:footerReference w:type="even" r:id="rId36"/>
          <w:footerReference w:type="default" r:id="rId37"/>
          <w:headerReference w:type="first" r:id="rId38"/>
          <w:footerReference w:type="first" r:id="rId39"/>
          <w:pgSz w:w="16838" w:h="11906" w:orient="landscape"/>
          <w:pgMar w:top="1418" w:right="1418" w:bottom="1418" w:left="1276" w:header="709" w:footer="709" w:gutter="0"/>
          <w:cols w:space="708"/>
          <w:docGrid w:linePitch="360"/>
        </w:sectPr>
      </w:pPr>
    </w:p>
    <w:p w:rsidR="00A74FE9" w:rsidRDefault="00A74FE9" w:rsidP="00A74FE9">
      <w:pPr>
        <w:spacing w:after="0"/>
        <w:rPr>
          <w:rFonts w:ascii="Times New Roman" w:eastAsia="Times New Roman" w:hAnsi="Times New Roman" w:cs="Times New Roman"/>
          <w:bCs/>
          <w:sz w:val="18"/>
          <w:szCs w:val="20"/>
          <w:lang w:eastAsia="sk-SK"/>
        </w:rPr>
      </w:pP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A74FE9"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(Zákon o spotrebnej dani z alkoholických nápojov)</w:t>
      </w: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212894" w:rsidRDefault="00A74FE9" w:rsidP="00A74FE9">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A74FE9" w:rsidRDefault="00A74FE9" w:rsidP="00A74FE9">
      <w:pPr>
        <w:spacing w:after="0" w:line="240" w:lineRule="auto"/>
        <w:jc w:val="right"/>
        <w:rPr>
          <w:rFonts w:ascii="Times New Roman" w:eastAsia="Times New Roman" w:hAnsi="Times New Roman" w:cs="Times New Roman"/>
          <w:sz w:val="20"/>
          <w:szCs w:val="20"/>
          <w:lang w:eastAsia="sk-SK"/>
        </w:rPr>
      </w:pPr>
    </w:p>
    <w:p w:rsidR="00A74FE9" w:rsidRPr="007D5748" w:rsidRDefault="00A74FE9" w:rsidP="00A74FE9">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74FE9" w:rsidRPr="00074C97" w:rsidTr="00A74FE9">
        <w:trPr>
          <w:cantSplit/>
          <w:trHeight w:val="194"/>
          <w:jc w:val="center"/>
        </w:trPr>
        <w:tc>
          <w:tcPr>
            <w:tcW w:w="4498" w:type="dxa"/>
            <w:vMerge w:val="restart"/>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Vplyvy na rozpočet verejnej správy</w:t>
            </w:r>
          </w:p>
        </w:tc>
        <w:tc>
          <w:tcPr>
            <w:tcW w:w="5523" w:type="dxa"/>
            <w:gridSpan w:val="4"/>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 na rozpočet verejnej správy (v eurách)</w:t>
            </w:r>
          </w:p>
        </w:tc>
      </w:tr>
      <w:tr w:rsidR="00A74FE9" w:rsidRPr="00074C97" w:rsidTr="00A74FE9">
        <w:trPr>
          <w:cantSplit/>
          <w:trHeight w:val="70"/>
          <w:jc w:val="center"/>
        </w:trPr>
        <w:tc>
          <w:tcPr>
            <w:tcW w:w="4498" w:type="dxa"/>
            <w:vMerge/>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2023</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2024</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2025</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2026</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59" w:type="dxa"/>
            <w:tcBorders>
              <w:top w:val="single" w:sz="8" w:space="0" w:color="auto"/>
              <w:left w:val="nil"/>
              <w:bottom w:val="single" w:sz="8" w:space="0" w:color="auto"/>
              <w:right w:val="single" w:sz="8" w:space="0" w:color="auto"/>
            </w:tcBorders>
            <w:shd w:val="clear" w:color="auto" w:fill="C0C0C0"/>
            <w:vAlign w:val="bottom"/>
          </w:tcPr>
          <w:p w:rsidR="00A74FE9" w:rsidRPr="005C7728" w:rsidRDefault="00A74FE9" w:rsidP="00A74FE9">
            <w:pPr>
              <w:spacing w:after="0"/>
              <w:jc w:val="right"/>
              <w:rPr>
                <w:rFonts w:ascii="Times New Roman" w:hAnsi="Times New Roman" w:cs="Times New Roman"/>
                <w:b/>
                <w:bCs/>
              </w:rPr>
            </w:pPr>
            <w:r w:rsidRPr="00FB294A">
              <w:rPr>
                <w:rFonts w:ascii="Times New Roman" w:hAnsi="Times New Roman" w:cs="Times New Roman"/>
                <w:b/>
                <w:bCs/>
                <w:color w:val="000000"/>
              </w:rPr>
              <w:t>17</w:t>
            </w:r>
            <w:r>
              <w:rPr>
                <w:rFonts w:ascii="Times New Roman" w:hAnsi="Times New Roman" w:cs="Times New Roman"/>
                <w:b/>
                <w:bCs/>
                <w:color w:val="000000"/>
              </w:rPr>
              <w:t> </w:t>
            </w:r>
            <w:r w:rsidRPr="00FB294A">
              <w:rPr>
                <w:rFonts w:ascii="Times New Roman" w:hAnsi="Times New Roman" w:cs="Times New Roman"/>
                <w:b/>
                <w:bCs/>
                <w:color w:val="000000"/>
              </w:rPr>
              <w:t>903</w:t>
            </w:r>
            <w:r>
              <w:rPr>
                <w:rFonts w:ascii="Times New Roman" w:hAnsi="Times New Roman" w:cs="Times New Roman"/>
                <w:b/>
                <w:bCs/>
                <w:color w:val="000000"/>
              </w:rPr>
              <w:t xml:space="preserve"> 000</w:t>
            </w:r>
          </w:p>
        </w:tc>
        <w:tc>
          <w:tcPr>
            <w:tcW w:w="1417" w:type="dxa"/>
            <w:tcBorders>
              <w:top w:val="single" w:sz="8" w:space="0" w:color="auto"/>
              <w:left w:val="nil"/>
              <w:bottom w:val="single" w:sz="8" w:space="0" w:color="auto"/>
              <w:right w:val="single" w:sz="8" w:space="0" w:color="auto"/>
            </w:tcBorders>
            <w:shd w:val="clear" w:color="auto" w:fill="C0C0C0"/>
            <w:vAlign w:val="bottom"/>
          </w:tcPr>
          <w:p w:rsidR="00A74FE9" w:rsidRPr="005C7728" w:rsidRDefault="00A74FE9" w:rsidP="00A74FE9">
            <w:pPr>
              <w:spacing w:after="0"/>
              <w:jc w:val="right"/>
              <w:rPr>
                <w:rFonts w:ascii="Times New Roman" w:hAnsi="Times New Roman" w:cs="Times New Roman"/>
                <w:b/>
                <w:bCs/>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853</w:t>
            </w:r>
            <w:r>
              <w:rPr>
                <w:rFonts w:ascii="Times New Roman" w:hAnsi="Times New Roman" w:cs="Times New Roman"/>
                <w:b/>
                <w:bCs/>
                <w:color w:val="000000"/>
              </w:rPr>
              <w:t xml:space="preserve"> 000</w:t>
            </w:r>
          </w:p>
        </w:tc>
        <w:tc>
          <w:tcPr>
            <w:tcW w:w="1521" w:type="dxa"/>
            <w:tcBorders>
              <w:top w:val="single" w:sz="8" w:space="0" w:color="auto"/>
              <w:left w:val="nil"/>
              <w:bottom w:val="single" w:sz="8" w:space="0" w:color="auto"/>
              <w:right w:val="single" w:sz="8" w:space="0" w:color="auto"/>
            </w:tcBorders>
            <w:shd w:val="clear" w:color="auto" w:fill="C0C0C0"/>
            <w:vAlign w:val="bottom"/>
          </w:tcPr>
          <w:p w:rsidR="00A74FE9" w:rsidRPr="005C7728" w:rsidRDefault="00A74FE9" w:rsidP="00A74FE9">
            <w:pPr>
              <w:spacing w:after="0"/>
              <w:jc w:val="right"/>
              <w:rPr>
                <w:rFonts w:ascii="Times New Roman" w:hAnsi="Times New Roman" w:cs="Times New Roman"/>
                <w:b/>
                <w:bCs/>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904</w:t>
            </w:r>
            <w:r>
              <w:rPr>
                <w:rFonts w:ascii="Times New Roman" w:hAnsi="Times New Roman" w:cs="Times New Roman"/>
                <w:b/>
                <w:bCs/>
                <w:color w:val="000000"/>
              </w:rPr>
              <w:t xml:space="preserve"> 000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vAlign w:val="bottom"/>
          </w:tcPr>
          <w:p w:rsidR="00A74FE9" w:rsidRPr="005C7728" w:rsidRDefault="00A74FE9" w:rsidP="00A74FE9">
            <w:pPr>
              <w:spacing w:after="0"/>
              <w:jc w:val="right"/>
              <w:rPr>
                <w:rFonts w:ascii="Times New Roman" w:hAnsi="Times New Roman" w:cs="Times New Roman"/>
                <w:b/>
                <w:bCs/>
              </w:rPr>
            </w:pPr>
            <w:r w:rsidRPr="00FB294A">
              <w:rPr>
                <w:rFonts w:ascii="Times New Roman" w:hAnsi="Times New Roman" w:cs="Times New Roman"/>
                <w:b/>
                <w:bCs/>
                <w:color w:val="000000"/>
              </w:rPr>
              <w:t>17</w:t>
            </w:r>
            <w:r>
              <w:rPr>
                <w:rFonts w:ascii="Times New Roman" w:hAnsi="Times New Roman" w:cs="Times New Roman"/>
                <w:b/>
                <w:bCs/>
                <w:color w:val="000000"/>
              </w:rPr>
              <w:t> </w:t>
            </w:r>
            <w:r w:rsidRPr="00FB294A">
              <w:rPr>
                <w:rFonts w:ascii="Times New Roman" w:hAnsi="Times New Roman" w:cs="Times New Roman"/>
                <w:b/>
                <w:bCs/>
                <w:color w:val="000000"/>
              </w:rPr>
              <w:t>903</w:t>
            </w:r>
            <w:r>
              <w:rPr>
                <w:rFonts w:ascii="Times New Roman" w:hAnsi="Times New Roman" w:cs="Times New Roman"/>
                <w:b/>
                <w:bCs/>
                <w:color w:val="000000"/>
              </w:rPr>
              <w:t xml:space="preserve"> 000</w:t>
            </w:r>
          </w:p>
        </w:tc>
        <w:tc>
          <w:tcPr>
            <w:tcW w:w="1417" w:type="dxa"/>
            <w:tcBorders>
              <w:top w:val="nil"/>
              <w:left w:val="nil"/>
              <w:bottom w:val="single" w:sz="8" w:space="0" w:color="auto"/>
              <w:right w:val="single" w:sz="8" w:space="0" w:color="auto"/>
            </w:tcBorders>
            <w:shd w:val="clear" w:color="auto" w:fill="auto"/>
            <w:noWrap/>
            <w:vAlign w:val="bottom"/>
          </w:tcPr>
          <w:p w:rsidR="00A74FE9" w:rsidRPr="005C7728" w:rsidRDefault="00A74FE9" w:rsidP="00A74FE9">
            <w:pPr>
              <w:spacing w:after="0"/>
              <w:jc w:val="right"/>
              <w:rPr>
                <w:rFonts w:ascii="Times New Roman" w:hAnsi="Times New Roman" w:cs="Times New Roman"/>
                <w:b/>
                <w:bCs/>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853</w:t>
            </w:r>
            <w:r>
              <w:rPr>
                <w:rFonts w:ascii="Times New Roman" w:hAnsi="Times New Roman" w:cs="Times New Roman"/>
                <w:b/>
                <w:bCs/>
                <w:color w:val="000000"/>
              </w:rPr>
              <w:t xml:space="preserve"> 000</w:t>
            </w:r>
          </w:p>
        </w:tc>
        <w:tc>
          <w:tcPr>
            <w:tcW w:w="1521" w:type="dxa"/>
            <w:tcBorders>
              <w:top w:val="nil"/>
              <w:left w:val="nil"/>
              <w:bottom w:val="single" w:sz="8" w:space="0" w:color="auto"/>
              <w:right w:val="single" w:sz="8" w:space="0" w:color="auto"/>
            </w:tcBorders>
            <w:shd w:val="clear" w:color="auto" w:fill="auto"/>
            <w:noWrap/>
            <w:vAlign w:val="bottom"/>
          </w:tcPr>
          <w:p w:rsidR="00A74FE9" w:rsidRPr="005C7728" w:rsidRDefault="00A74FE9" w:rsidP="00A74FE9">
            <w:pPr>
              <w:spacing w:after="0"/>
              <w:jc w:val="right"/>
              <w:rPr>
                <w:rFonts w:ascii="Times New Roman" w:hAnsi="Times New Roman" w:cs="Times New Roman"/>
                <w:b/>
                <w:bCs/>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904</w:t>
            </w:r>
            <w:r>
              <w:rPr>
                <w:rFonts w:ascii="Times New Roman" w:hAnsi="Times New Roman" w:cs="Times New Roman"/>
                <w:b/>
                <w:bCs/>
                <w:color w:val="000000"/>
              </w:rPr>
              <w:t xml:space="preserve"> 000</w:t>
            </w:r>
          </w:p>
        </w:tc>
      </w:tr>
      <w:tr w:rsidR="00A74FE9" w:rsidRPr="00074C97" w:rsidTr="00A74FE9">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vAlign w:val="bottom"/>
          </w:tcPr>
          <w:p w:rsidR="00A74FE9" w:rsidRPr="00FB294A" w:rsidRDefault="00A74FE9" w:rsidP="00A74FE9">
            <w:pPr>
              <w:spacing w:after="0"/>
              <w:jc w:val="right"/>
              <w:rPr>
                <w:rFonts w:ascii="Times New Roman" w:hAnsi="Times New Roman" w:cs="Times New Roman"/>
                <w:b/>
                <w:bCs/>
                <w:color w:val="000000"/>
              </w:rPr>
            </w:pPr>
            <w:r w:rsidRPr="00FB294A">
              <w:rPr>
                <w:rFonts w:ascii="Times New Roman" w:hAnsi="Times New Roman" w:cs="Times New Roman"/>
                <w:b/>
                <w:bCs/>
                <w:color w:val="000000"/>
              </w:rPr>
              <w:t>17</w:t>
            </w:r>
            <w:r>
              <w:rPr>
                <w:rFonts w:ascii="Times New Roman" w:hAnsi="Times New Roman" w:cs="Times New Roman"/>
                <w:b/>
                <w:bCs/>
                <w:color w:val="000000"/>
              </w:rPr>
              <w:t> </w:t>
            </w:r>
            <w:r w:rsidRPr="00FB294A">
              <w:rPr>
                <w:rFonts w:ascii="Times New Roman" w:hAnsi="Times New Roman" w:cs="Times New Roman"/>
                <w:b/>
                <w:bCs/>
                <w:color w:val="000000"/>
              </w:rPr>
              <w:t>903</w:t>
            </w:r>
            <w:r>
              <w:rPr>
                <w:rFonts w:ascii="Times New Roman" w:hAnsi="Times New Roman" w:cs="Times New Roman"/>
                <w:b/>
                <w:bCs/>
                <w:color w:val="000000"/>
              </w:rPr>
              <w:t xml:space="preserve"> 000</w:t>
            </w:r>
          </w:p>
        </w:tc>
        <w:tc>
          <w:tcPr>
            <w:tcW w:w="1417" w:type="dxa"/>
            <w:tcBorders>
              <w:top w:val="nil"/>
              <w:left w:val="nil"/>
              <w:bottom w:val="single" w:sz="8" w:space="0" w:color="auto"/>
              <w:right w:val="single" w:sz="8" w:space="0" w:color="auto"/>
            </w:tcBorders>
            <w:shd w:val="clear" w:color="auto" w:fill="auto"/>
            <w:noWrap/>
            <w:vAlign w:val="bottom"/>
          </w:tcPr>
          <w:p w:rsidR="00A74FE9" w:rsidRPr="00FB294A" w:rsidRDefault="00A74FE9" w:rsidP="00A74FE9">
            <w:pPr>
              <w:spacing w:after="0"/>
              <w:jc w:val="right"/>
              <w:rPr>
                <w:rFonts w:ascii="Times New Roman" w:hAnsi="Times New Roman" w:cs="Times New Roman"/>
                <w:b/>
                <w:bCs/>
                <w:color w:val="000000"/>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853</w:t>
            </w:r>
            <w:r>
              <w:rPr>
                <w:rFonts w:ascii="Times New Roman" w:hAnsi="Times New Roman" w:cs="Times New Roman"/>
                <w:b/>
                <w:bCs/>
                <w:color w:val="000000"/>
              </w:rPr>
              <w:t xml:space="preserve"> 000</w:t>
            </w:r>
          </w:p>
        </w:tc>
        <w:tc>
          <w:tcPr>
            <w:tcW w:w="1521" w:type="dxa"/>
            <w:tcBorders>
              <w:top w:val="nil"/>
              <w:left w:val="nil"/>
              <w:bottom w:val="single" w:sz="8" w:space="0" w:color="auto"/>
              <w:right w:val="single" w:sz="8" w:space="0" w:color="auto"/>
            </w:tcBorders>
            <w:shd w:val="clear" w:color="auto" w:fill="auto"/>
            <w:noWrap/>
            <w:vAlign w:val="bottom"/>
          </w:tcPr>
          <w:p w:rsidR="00A74FE9" w:rsidRPr="00FB294A" w:rsidRDefault="00A74FE9" w:rsidP="00A74FE9">
            <w:pPr>
              <w:spacing w:after="0"/>
              <w:jc w:val="right"/>
              <w:rPr>
                <w:rFonts w:ascii="Times New Roman" w:hAnsi="Times New Roman" w:cs="Times New Roman"/>
                <w:b/>
                <w:bCs/>
                <w:color w:val="000000"/>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904</w:t>
            </w:r>
            <w:r>
              <w:rPr>
                <w:rFonts w:ascii="Times New Roman" w:hAnsi="Times New Roman" w:cs="Times New Roman"/>
                <w:b/>
                <w:bCs/>
                <w:color w:val="000000"/>
              </w:rPr>
              <w:t xml:space="preserve">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(131) daň z pridanej hodnoty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tcPr>
          <w:p w:rsidR="00A74FE9" w:rsidRPr="00FB294A" w:rsidRDefault="00A74FE9" w:rsidP="00A74FE9">
            <w:pPr>
              <w:spacing w:after="0"/>
              <w:jc w:val="right"/>
              <w:rPr>
                <w:rFonts w:ascii="Times New Roman" w:hAnsi="Times New Roman" w:cs="Times New Roman"/>
              </w:rPr>
            </w:pPr>
            <w:r w:rsidRPr="00FB294A">
              <w:rPr>
                <w:rFonts w:ascii="Times New Roman" w:hAnsi="Times New Roman" w:cs="Times New Roman"/>
              </w:rPr>
              <w:t>2</w:t>
            </w:r>
            <w:r>
              <w:rPr>
                <w:rFonts w:ascii="Times New Roman" w:hAnsi="Times New Roman" w:cs="Times New Roman"/>
              </w:rPr>
              <w:t> </w:t>
            </w:r>
            <w:r w:rsidRPr="00FB294A">
              <w:rPr>
                <w:rFonts w:ascii="Times New Roman" w:hAnsi="Times New Roman" w:cs="Times New Roman"/>
              </w:rPr>
              <w:t>984</w:t>
            </w:r>
            <w:r>
              <w:rPr>
                <w:rFonts w:ascii="Times New Roman" w:hAnsi="Times New Roman" w:cs="Times New Roman"/>
              </w:rPr>
              <w:t xml:space="preserve"> 000</w:t>
            </w:r>
          </w:p>
        </w:tc>
        <w:tc>
          <w:tcPr>
            <w:tcW w:w="1417" w:type="dxa"/>
            <w:tcBorders>
              <w:top w:val="nil"/>
              <w:left w:val="nil"/>
              <w:bottom w:val="single" w:sz="8" w:space="0" w:color="auto"/>
              <w:right w:val="single" w:sz="8" w:space="0" w:color="auto"/>
            </w:tcBorders>
            <w:shd w:val="clear" w:color="auto" w:fill="auto"/>
            <w:noWrap/>
          </w:tcPr>
          <w:p w:rsidR="00A74FE9" w:rsidRPr="00FB294A" w:rsidRDefault="00A74FE9" w:rsidP="00A74FE9">
            <w:pPr>
              <w:spacing w:after="0"/>
              <w:jc w:val="right"/>
              <w:rPr>
                <w:rFonts w:ascii="Times New Roman" w:hAnsi="Times New Roman" w:cs="Times New Roman"/>
              </w:rPr>
            </w:pPr>
            <w:r w:rsidRPr="00FB294A">
              <w:rPr>
                <w:rFonts w:ascii="Times New Roman" w:hAnsi="Times New Roman" w:cs="Times New Roman"/>
              </w:rPr>
              <w:t>3</w:t>
            </w:r>
            <w:r>
              <w:rPr>
                <w:rFonts w:ascii="Times New Roman" w:hAnsi="Times New Roman" w:cs="Times New Roman"/>
              </w:rPr>
              <w:t> </w:t>
            </w:r>
            <w:r w:rsidRPr="00FB294A">
              <w:rPr>
                <w:rFonts w:ascii="Times New Roman" w:hAnsi="Times New Roman" w:cs="Times New Roman"/>
              </w:rPr>
              <w:t>476</w:t>
            </w:r>
            <w:r>
              <w:rPr>
                <w:rFonts w:ascii="Times New Roman" w:hAnsi="Times New Roman" w:cs="Times New Roman"/>
              </w:rPr>
              <w:t xml:space="preserve"> 000</w:t>
            </w:r>
          </w:p>
        </w:tc>
        <w:tc>
          <w:tcPr>
            <w:tcW w:w="1521" w:type="dxa"/>
            <w:tcBorders>
              <w:top w:val="nil"/>
              <w:left w:val="nil"/>
              <w:bottom w:val="single" w:sz="8" w:space="0" w:color="auto"/>
              <w:right w:val="single" w:sz="8" w:space="0" w:color="auto"/>
            </w:tcBorders>
            <w:shd w:val="clear" w:color="auto" w:fill="auto"/>
            <w:noWrap/>
          </w:tcPr>
          <w:p w:rsidR="00A74FE9" w:rsidRPr="00FB294A" w:rsidRDefault="00A74FE9" w:rsidP="00A74FE9">
            <w:pPr>
              <w:spacing w:after="0"/>
              <w:jc w:val="right"/>
              <w:rPr>
                <w:rFonts w:ascii="Times New Roman" w:hAnsi="Times New Roman" w:cs="Times New Roman"/>
              </w:rPr>
            </w:pPr>
            <w:r w:rsidRPr="00FB294A">
              <w:rPr>
                <w:rFonts w:ascii="Times New Roman" w:hAnsi="Times New Roman" w:cs="Times New Roman"/>
              </w:rPr>
              <w:t>3</w:t>
            </w:r>
            <w:r>
              <w:rPr>
                <w:rFonts w:ascii="Times New Roman" w:hAnsi="Times New Roman" w:cs="Times New Roman"/>
              </w:rPr>
              <w:t> </w:t>
            </w:r>
            <w:r w:rsidRPr="00FB294A">
              <w:rPr>
                <w:rFonts w:ascii="Times New Roman" w:hAnsi="Times New Roman" w:cs="Times New Roman"/>
              </w:rPr>
              <w:t>484</w:t>
            </w:r>
            <w:r>
              <w:rPr>
                <w:rFonts w:ascii="Times New Roman" w:hAnsi="Times New Roman" w:cs="Times New Roman"/>
              </w:rPr>
              <w:t xml:space="preserve">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Pr>
                <w:rFonts w:ascii="Times New Roman" w:hAnsi="Times New Roman" w:cs="Times New Roman"/>
                <w:i/>
                <w:iCs/>
                <w:color w:val="000000"/>
              </w:rPr>
              <w:t>v tom: (132 003) spotrebná daň za liehu</w:t>
            </w:r>
          </w:p>
        </w:tc>
        <w:tc>
          <w:tcPr>
            <w:tcW w:w="1026"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5C7728" w:rsidRDefault="00A74FE9" w:rsidP="00A74FE9">
            <w:pPr>
              <w:spacing w:after="0"/>
              <w:jc w:val="right"/>
              <w:rPr>
                <w:rFonts w:ascii="Times New Roman" w:hAnsi="Times New Roman" w:cs="Times New Roman"/>
                <w:bCs/>
                <w:color w:val="000000"/>
              </w:rPr>
            </w:pPr>
            <w:r>
              <w:rPr>
                <w:rFonts w:ascii="Times New Roman" w:hAnsi="Times New Roman" w:cs="Times New Roman"/>
              </w:rPr>
              <w:t>14 919 000</w:t>
            </w:r>
          </w:p>
        </w:tc>
        <w:tc>
          <w:tcPr>
            <w:tcW w:w="1417" w:type="dxa"/>
            <w:tcBorders>
              <w:top w:val="nil"/>
              <w:left w:val="nil"/>
              <w:bottom w:val="single" w:sz="8" w:space="0" w:color="auto"/>
              <w:right w:val="single" w:sz="8" w:space="0" w:color="auto"/>
            </w:tcBorders>
            <w:shd w:val="clear" w:color="auto" w:fill="auto"/>
            <w:noWrap/>
            <w:vAlign w:val="center"/>
          </w:tcPr>
          <w:p w:rsidR="00A74FE9" w:rsidRPr="005C7728" w:rsidRDefault="00A74FE9" w:rsidP="00A74FE9">
            <w:pPr>
              <w:spacing w:after="0"/>
              <w:jc w:val="right"/>
              <w:rPr>
                <w:rFonts w:ascii="Times New Roman" w:hAnsi="Times New Roman" w:cs="Times New Roman"/>
                <w:bCs/>
                <w:color w:val="000000"/>
              </w:rPr>
            </w:pPr>
            <w:r>
              <w:rPr>
                <w:rFonts w:ascii="Times New Roman" w:hAnsi="Times New Roman" w:cs="Times New Roman"/>
              </w:rPr>
              <w:t>17 377 000</w:t>
            </w:r>
          </w:p>
        </w:tc>
        <w:tc>
          <w:tcPr>
            <w:tcW w:w="1521" w:type="dxa"/>
            <w:tcBorders>
              <w:top w:val="nil"/>
              <w:left w:val="nil"/>
              <w:bottom w:val="single" w:sz="8" w:space="0" w:color="auto"/>
              <w:right w:val="single" w:sz="8" w:space="0" w:color="auto"/>
            </w:tcBorders>
            <w:shd w:val="clear" w:color="auto" w:fill="auto"/>
            <w:noWrap/>
            <w:vAlign w:val="center"/>
          </w:tcPr>
          <w:p w:rsidR="00A74FE9" w:rsidRPr="005C7728" w:rsidRDefault="00A74FE9" w:rsidP="00A74FE9">
            <w:pPr>
              <w:spacing w:after="0"/>
              <w:jc w:val="right"/>
              <w:rPr>
                <w:rFonts w:ascii="Times New Roman" w:hAnsi="Times New Roman" w:cs="Times New Roman"/>
                <w:bCs/>
                <w:color w:val="000000"/>
              </w:rPr>
            </w:pPr>
            <w:r>
              <w:rPr>
                <w:rFonts w:ascii="Times New Roman" w:hAnsi="Times New Roman" w:cs="Times New Roman"/>
              </w:rPr>
              <w:t>17 420 000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Pr>
                <w:rFonts w:ascii="Times New Roman" w:hAnsi="Times New Roman" w:cs="Times New Roman"/>
                <w:b/>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Pr>
                <w:rFonts w:ascii="Times New Roman" w:hAnsi="Times New Roman" w:cs="Times New Roman"/>
                <w:b/>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B14F44" w:rsidRDefault="00A74FE9" w:rsidP="00A74FE9">
            <w:pPr>
              <w:spacing w:after="0"/>
              <w:jc w:val="right"/>
              <w:rPr>
                <w:rFonts w:ascii="Times New Roman" w:hAnsi="Times New Roman" w:cs="Times New Roman"/>
                <w:bCs/>
                <w:color w:val="000000"/>
              </w:rPr>
            </w:pPr>
            <w:r w:rsidRPr="00B14F44">
              <w:rPr>
                <w:rFonts w:ascii="Times New Roman" w:hAnsi="Times New Roman" w:cs="Times New Roman"/>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B14F44" w:rsidRDefault="00A74FE9" w:rsidP="00A74FE9">
            <w:pPr>
              <w:spacing w:after="0"/>
              <w:jc w:val="right"/>
              <w:rPr>
                <w:rFonts w:ascii="Times New Roman" w:hAnsi="Times New Roman" w:cs="Times New Roman"/>
                <w:bCs/>
              </w:rPr>
            </w:pPr>
            <w:r w:rsidRPr="00B14F44">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 xml:space="preserve">v tom: </w:t>
            </w:r>
            <w:r>
              <w:rPr>
                <w:rFonts w:ascii="Times New Roman" w:hAnsi="Times New Roman" w:cs="Times New Roman"/>
                <w:i/>
                <w:iCs/>
                <w:color w:val="000000"/>
              </w:rPr>
              <w:t>daňový bonus na hypotéky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spolufinancovanie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color w:val="000000"/>
              </w:rPr>
            </w:pPr>
            <w:r w:rsidRPr="00074C97">
              <w:rPr>
                <w:rFonts w:ascii="Times New Roman" w:hAnsi="Times New Roman" w:cs="Times New Roman"/>
                <w:color w:val="000000"/>
              </w:rPr>
              <w:t>v tom: za každý subjekt verejnej správy / program zvlášť</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6A6A6" w:themeFill="background1" w:themeFillShade="A6"/>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6A6A6" w:themeFill="background1" w:themeFillShade="A6"/>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6A6A6" w:themeFill="background1" w:themeFillShade="A6"/>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bl>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p>
    <w:p w:rsidR="00A74FE9" w:rsidRPr="007D5748" w:rsidRDefault="00A74FE9" w:rsidP="00A74FE9">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A74FE9" w:rsidRPr="007D5748"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novele zákona o spotrebnej dani z alkoholických nápojov</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Zdaňovanie alkoholického nápoja, ktorým je lieh. S účinnosťou od 1.1.2024 sa zvyšuje základná ako aj znížená sadzba dane z alkoholického nápoja, ktorým je lieh. </w:t>
      </w:r>
      <w:r>
        <w:rPr>
          <w:rFonts w:ascii="Times New Roman" w:eastAsia="Times New Roman" w:hAnsi="Times New Roman" w:cs="Times New Roman"/>
          <w:sz w:val="24"/>
          <w:szCs w:val="24"/>
        </w:rPr>
        <w:t>Nové sadzby vzrastú oproti súčasným sadzbám o 6,2 %, základná sadzba na 1 490,40 eura/hl a., znížená sadzba na 745,20 eura/hl a..</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x</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2.2.4. Výpočty vplyvov na verejné financie</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novele zákona o spotrebnej dani z alkoholických nápojov</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Výpočet vplyvu zvýšenia sadzby spotrebnej dane z liehu od 1.1.2024 vychádza z údajov agregovaných daňových priznaní o množstve zdaneného liehu za rok 2022. Na ďalšie roky bola použitá prognóza z Výboru pre daňové prognózy z novembra 2023. Predpokladá sa predzásobenie obchodníkov liehom v objeme dvojmesačného výnosu dane.</w:t>
      </w:r>
    </w:p>
    <w:p w:rsidR="00A74FE9" w:rsidRDefault="00A74FE9" w:rsidP="00A74FE9">
      <w:pPr>
        <w:spacing w:before="240" w:line="23" w:lineRule="atLeast"/>
        <w:jc w:val="both"/>
        <w:rPr>
          <w:rFonts w:ascii="Arial Narrow" w:hAnsi="Arial Narrow" w:cs="Tahoma"/>
          <w:color w:val="000000"/>
        </w:rPr>
      </w:pPr>
    </w:p>
    <w:p w:rsidR="00A74FE9" w:rsidRDefault="00A74FE9" w:rsidP="00A74FE9">
      <w:pPr>
        <w:spacing w:before="240" w:line="23" w:lineRule="atLeast"/>
        <w:jc w:val="both"/>
        <w:rPr>
          <w:rFonts w:ascii="Arial Narrow" w:hAnsi="Arial Narrow" w:cs="Tahoma"/>
          <w:color w:val="000000" w:themeColor="text1"/>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D5748" w:rsidSect="001733E1">
          <w:pgSz w:w="11906" w:h="16838"/>
          <w:pgMar w:top="1417" w:right="1417" w:bottom="1276" w:left="1417" w:header="708" w:footer="708" w:gutter="0"/>
          <w:cols w:space="708"/>
          <w:docGrid w:linePitch="360"/>
        </w:sect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E425AF"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Daňové príjmy (100)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bottom"/>
          </w:tcPr>
          <w:p w:rsidR="00A74FE9" w:rsidRPr="005C7728" w:rsidRDefault="00A74FE9" w:rsidP="00A74FE9">
            <w:pPr>
              <w:spacing w:after="0"/>
              <w:jc w:val="right"/>
              <w:rPr>
                <w:rFonts w:ascii="Times New Roman" w:hAnsi="Times New Roman" w:cs="Times New Roman"/>
                <w:b/>
                <w:bCs/>
                <w:color w:val="000000"/>
              </w:rPr>
            </w:pPr>
            <w:r w:rsidRPr="00FB294A">
              <w:rPr>
                <w:rFonts w:ascii="Times New Roman" w:hAnsi="Times New Roman" w:cs="Times New Roman"/>
                <w:b/>
                <w:bCs/>
                <w:color w:val="000000"/>
              </w:rPr>
              <w:t>17</w:t>
            </w:r>
            <w:r>
              <w:rPr>
                <w:rFonts w:ascii="Times New Roman" w:hAnsi="Times New Roman" w:cs="Times New Roman"/>
                <w:b/>
                <w:bCs/>
                <w:color w:val="000000"/>
              </w:rPr>
              <w:t> </w:t>
            </w:r>
            <w:r w:rsidRPr="00FB294A">
              <w:rPr>
                <w:rFonts w:ascii="Times New Roman" w:hAnsi="Times New Roman" w:cs="Times New Roman"/>
                <w:b/>
                <w:bCs/>
                <w:color w:val="000000"/>
              </w:rPr>
              <w:t>903</w:t>
            </w:r>
            <w:r>
              <w:rPr>
                <w:rFonts w:ascii="Times New Roman" w:hAnsi="Times New Roman" w:cs="Times New Roman"/>
                <w:b/>
                <w:bCs/>
                <w:color w:val="000000"/>
              </w:rPr>
              <w:t xml:space="preserve"> 000</w:t>
            </w:r>
          </w:p>
        </w:tc>
        <w:tc>
          <w:tcPr>
            <w:tcW w:w="1500" w:type="dxa"/>
            <w:tcBorders>
              <w:top w:val="nil"/>
              <w:left w:val="nil"/>
              <w:bottom w:val="single" w:sz="8" w:space="0" w:color="auto"/>
              <w:right w:val="single" w:sz="8" w:space="0" w:color="auto"/>
            </w:tcBorders>
            <w:shd w:val="clear" w:color="auto" w:fill="auto"/>
            <w:vAlign w:val="bottom"/>
          </w:tcPr>
          <w:p w:rsidR="00A74FE9" w:rsidRPr="005C7728" w:rsidRDefault="00A74FE9" w:rsidP="00A74FE9">
            <w:pPr>
              <w:spacing w:after="0"/>
              <w:jc w:val="right"/>
              <w:rPr>
                <w:rFonts w:ascii="Times New Roman" w:hAnsi="Times New Roman" w:cs="Times New Roman"/>
                <w:b/>
                <w:bCs/>
                <w:color w:val="000000"/>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853</w:t>
            </w:r>
            <w:r>
              <w:rPr>
                <w:rFonts w:ascii="Times New Roman" w:hAnsi="Times New Roman" w:cs="Times New Roman"/>
                <w:b/>
                <w:bCs/>
                <w:color w:val="000000"/>
              </w:rPr>
              <w:t xml:space="preserve"> 000</w:t>
            </w:r>
          </w:p>
        </w:tc>
        <w:tc>
          <w:tcPr>
            <w:tcW w:w="1500" w:type="dxa"/>
            <w:tcBorders>
              <w:top w:val="nil"/>
              <w:left w:val="nil"/>
              <w:bottom w:val="single" w:sz="8" w:space="0" w:color="auto"/>
              <w:right w:val="single" w:sz="8" w:space="0" w:color="auto"/>
            </w:tcBorders>
            <w:shd w:val="clear" w:color="auto" w:fill="auto"/>
            <w:vAlign w:val="bottom"/>
          </w:tcPr>
          <w:p w:rsidR="00A74FE9" w:rsidRPr="005C7728" w:rsidRDefault="00A74FE9" w:rsidP="00A74FE9">
            <w:pPr>
              <w:spacing w:after="0"/>
              <w:jc w:val="right"/>
              <w:rPr>
                <w:rFonts w:ascii="Times New Roman" w:hAnsi="Times New Roman" w:cs="Times New Roman"/>
                <w:b/>
                <w:bCs/>
                <w:color w:val="000000"/>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904</w:t>
            </w:r>
            <w:r>
              <w:rPr>
                <w:rFonts w:ascii="Times New Roman" w:hAnsi="Times New Roman" w:cs="Times New Roman"/>
                <w:b/>
                <w:bCs/>
                <w:color w:val="000000"/>
              </w:rPr>
              <w:t xml:space="preserve">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(131) daň z pridanej hodnoty</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color w:val="000000"/>
              </w:rPr>
            </w:pPr>
            <w:r w:rsidRPr="00FB294A">
              <w:rPr>
                <w:rFonts w:ascii="Times New Roman" w:hAnsi="Times New Roman" w:cs="Times New Roman"/>
              </w:rPr>
              <w:t>2</w:t>
            </w:r>
            <w:r>
              <w:rPr>
                <w:rFonts w:ascii="Times New Roman" w:hAnsi="Times New Roman" w:cs="Times New Roman"/>
              </w:rPr>
              <w:t> </w:t>
            </w:r>
            <w:r w:rsidRPr="00FB294A">
              <w:rPr>
                <w:rFonts w:ascii="Times New Roman" w:hAnsi="Times New Roman" w:cs="Times New Roman"/>
              </w:rPr>
              <w:t>984</w:t>
            </w:r>
            <w:r>
              <w:rPr>
                <w:rFonts w:ascii="Times New Roman" w:hAnsi="Times New Roman" w:cs="Times New Roman"/>
              </w:rPr>
              <w:t xml:space="preserve"> 000</w:t>
            </w: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color w:val="000000"/>
              </w:rPr>
            </w:pPr>
            <w:r w:rsidRPr="00FB294A">
              <w:rPr>
                <w:rFonts w:ascii="Times New Roman" w:hAnsi="Times New Roman" w:cs="Times New Roman"/>
              </w:rPr>
              <w:t>3</w:t>
            </w:r>
            <w:r>
              <w:rPr>
                <w:rFonts w:ascii="Times New Roman" w:hAnsi="Times New Roman" w:cs="Times New Roman"/>
              </w:rPr>
              <w:t> </w:t>
            </w:r>
            <w:r w:rsidRPr="00FB294A">
              <w:rPr>
                <w:rFonts w:ascii="Times New Roman" w:hAnsi="Times New Roman" w:cs="Times New Roman"/>
              </w:rPr>
              <w:t>476</w:t>
            </w:r>
            <w:r>
              <w:rPr>
                <w:rFonts w:ascii="Times New Roman" w:hAnsi="Times New Roman" w:cs="Times New Roman"/>
              </w:rPr>
              <w:t xml:space="preserve"> 000</w:t>
            </w:r>
          </w:p>
        </w:tc>
        <w:tc>
          <w:tcPr>
            <w:tcW w:w="1500" w:type="dxa"/>
            <w:tcBorders>
              <w:top w:val="nil"/>
              <w:left w:val="nil"/>
              <w:bottom w:val="single" w:sz="8" w:space="0" w:color="auto"/>
              <w:right w:val="single" w:sz="8" w:space="0" w:color="auto"/>
            </w:tcBorders>
            <w:shd w:val="clear" w:color="auto" w:fill="auto"/>
          </w:tcPr>
          <w:p w:rsidR="00A74FE9" w:rsidRPr="00E425AF" w:rsidRDefault="00A74FE9" w:rsidP="00A74FE9">
            <w:pPr>
              <w:spacing w:after="0"/>
              <w:jc w:val="right"/>
              <w:rPr>
                <w:rFonts w:ascii="Times New Roman" w:hAnsi="Times New Roman" w:cs="Times New Roman"/>
                <w:color w:val="000000"/>
              </w:rPr>
            </w:pPr>
            <w:r w:rsidRPr="00FB294A">
              <w:rPr>
                <w:rFonts w:ascii="Times New Roman" w:hAnsi="Times New Roman" w:cs="Times New Roman"/>
              </w:rPr>
              <w:t>3</w:t>
            </w:r>
            <w:r>
              <w:rPr>
                <w:rFonts w:ascii="Times New Roman" w:hAnsi="Times New Roman" w:cs="Times New Roman"/>
              </w:rPr>
              <w:t> </w:t>
            </w:r>
            <w:r w:rsidRPr="00FB294A">
              <w:rPr>
                <w:rFonts w:ascii="Times New Roman" w:hAnsi="Times New Roman" w:cs="Times New Roman"/>
              </w:rPr>
              <w:t>484</w:t>
            </w:r>
            <w:r>
              <w:rPr>
                <w:rFonts w:ascii="Times New Roman" w:hAnsi="Times New Roman" w:cs="Times New Roman"/>
              </w:rPr>
              <w:t xml:space="preserve">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Pr>
                <w:rFonts w:ascii="Times New Roman" w:hAnsi="Times New Roman" w:cs="Times New Roman"/>
                <w:i/>
                <w:iCs/>
                <w:color w:val="000000"/>
              </w:rPr>
              <w:t xml:space="preserve">    v tom: (132 003) spotrebná daň za liehu</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rPr>
              <w:t>14 919 000</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rPr>
              <w:t>17 377 000</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rPr>
              <w:t>17 420 000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Nedaňové príjmy (200)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center"/>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000000" w:fill="BFBFBF"/>
            <w:vAlign w:val="bottom"/>
          </w:tcPr>
          <w:p w:rsidR="00A74FE9" w:rsidRPr="005C7728" w:rsidRDefault="00A74FE9" w:rsidP="00A74FE9">
            <w:pPr>
              <w:spacing w:after="0"/>
              <w:ind w:hanging="143"/>
              <w:jc w:val="center"/>
              <w:rPr>
                <w:rFonts w:ascii="Times New Roman" w:hAnsi="Times New Roman" w:cs="Times New Roman"/>
                <w:b/>
                <w:bCs/>
                <w:color w:val="000000"/>
              </w:rPr>
            </w:pPr>
            <w:r w:rsidRPr="00FB294A">
              <w:rPr>
                <w:rFonts w:ascii="Times New Roman" w:hAnsi="Times New Roman" w:cs="Times New Roman"/>
                <w:b/>
                <w:bCs/>
                <w:color w:val="000000"/>
              </w:rPr>
              <w:t>17</w:t>
            </w:r>
            <w:r>
              <w:rPr>
                <w:rFonts w:ascii="Times New Roman" w:hAnsi="Times New Roman" w:cs="Times New Roman"/>
                <w:b/>
                <w:bCs/>
                <w:color w:val="000000"/>
              </w:rPr>
              <w:t> </w:t>
            </w:r>
            <w:r w:rsidRPr="00FB294A">
              <w:rPr>
                <w:rFonts w:ascii="Times New Roman" w:hAnsi="Times New Roman" w:cs="Times New Roman"/>
                <w:b/>
                <w:bCs/>
                <w:color w:val="000000"/>
              </w:rPr>
              <w:t>903</w:t>
            </w:r>
            <w:r>
              <w:rPr>
                <w:rFonts w:ascii="Times New Roman" w:hAnsi="Times New Roman" w:cs="Times New Roman"/>
                <w:b/>
                <w:bCs/>
                <w:color w:val="000000"/>
              </w:rPr>
              <w:t xml:space="preserve"> 000</w:t>
            </w:r>
          </w:p>
        </w:tc>
        <w:tc>
          <w:tcPr>
            <w:tcW w:w="1500" w:type="dxa"/>
            <w:tcBorders>
              <w:top w:val="nil"/>
              <w:left w:val="nil"/>
              <w:bottom w:val="single" w:sz="8" w:space="0" w:color="auto"/>
              <w:right w:val="single" w:sz="8" w:space="0" w:color="auto"/>
            </w:tcBorders>
            <w:shd w:val="clear" w:color="000000" w:fill="BFBFBF"/>
            <w:vAlign w:val="bottom"/>
          </w:tcPr>
          <w:p w:rsidR="00A74FE9" w:rsidRPr="005C7728" w:rsidRDefault="00A74FE9" w:rsidP="00A74FE9">
            <w:pPr>
              <w:spacing w:after="0"/>
              <w:ind w:hanging="143"/>
              <w:jc w:val="center"/>
              <w:rPr>
                <w:rFonts w:ascii="Times New Roman" w:hAnsi="Times New Roman" w:cs="Times New Roman"/>
                <w:b/>
                <w:bCs/>
                <w:color w:val="000000"/>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853</w:t>
            </w:r>
            <w:r>
              <w:rPr>
                <w:rFonts w:ascii="Times New Roman" w:hAnsi="Times New Roman" w:cs="Times New Roman"/>
                <w:b/>
                <w:bCs/>
                <w:color w:val="000000"/>
              </w:rPr>
              <w:t xml:space="preserve"> 000</w:t>
            </w:r>
          </w:p>
        </w:tc>
        <w:tc>
          <w:tcPr>
            <w:tcW w:w="1500" w:type="dxa"/>
            <w:tcBorders>
              <w:top w:val="nil"/>
              <w:left w:val="nil"/>
              <w:bottom w:val="single" w:sz="8" w:space="0" w:color="auto"/>
              <w:right w:val="single" w:sz="8" w:space="0" w:color="auto"/>
            </w:tcBorders>
            <w:shd w:val="clear" w:color="000000" w:fill="BFBFBF"/>
            <w:vAlign w:val="bottom"/>
          </w:tcPr>
          <w:p w:rsidR="00A74FE9" w:rsidRPr="005C7728" w:rsidRDefault="00A74FE9" w:rsidP="00A74FE9">
            <w:pPr>
              <w:spacing w:after="0"/>
              <w:ind w:hanging="143"/>
              <w:jc w:val="center"/>
              <w:rPr>
                <w:rFonts w:ascii="Times New Roman" w:hAnsi="Times New Roman" w:cs="Times New Roman"/>
                <w:b/>
                <w:bCs/>
                <w:color w:val="000000"/>
              </w:rPr>
            </w:pPr>
            <w:r w:rsidRPr="00FB294A">
              <w:rPr>
                <w:rFonts w:ascii="Times New Roman" w:hAnsi="Times New Roman" w:cs="Times New Roman"/>
                <w:b/>
                <w:bCs/>
                <w:color w:val="000000"/>
              </w:rPr>
              <w:t>20</w:t>
            </w:r>
            <w:r>
              <w:rPr>
                <w:rFonts w:ascii="Times New Roman" w:hAnsi="Times New Roman" w:cs="Times New Roman"/>
                <w:b/>
                <w:bCs/>
                <w:color w:val="000000"/>
              </w:rPr>
              <w:t> </w:t>
            </w:r>
            <w:r w:rsidRPr="00FB294A">
              <w:rPr>
                <w:rFonts w:ascii="Times New Roman" w:hAnsi="Times New Roman" w:cs="Times New Roman"/>
                <w:b/>
                <w:bCs/>
                <w:color w:val="000000"/>
              </w:rPr>
              <w:t>904</w:t>
            </w:r>
            <w:r>
              <w:rPr>
                <w:rFonts w:ascii="Times New Roman" w:hAnsi="Times New Roman" w:cs="Times New Roman"/>
                <w:b/>
                <w:bCs/>
                <w:color w:val="000000"/>
              </w:rPr>
              <w:t xml:space="preserve">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74FE9" w:rsidRPr="00E425AF" w:rsidTr="00A74FE9">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3</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4</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5</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6</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Tovary a služby (630)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Bežné transfery (640)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i/>
                <w:iCs/>
                <w:color w:val="000000"/>
              </w:rPr>
              <w:t>v tom: daňový bonus na hypotéky</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Splácanie úrokov a ostatné platby súvisiace s  úverom, pôžičkou, návratnou finančnou výpomocou a finančným prenájmom (650)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Obstarávanie kapitálových aktív (710)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Kapitálové transfery (720)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Pr>
                <w:rFonts w:ascii="Times New Roman" w:hAnsi="Times New Roman" w:cs="Times New Roman"/>
                <w:b/>
                <w:color w:val="00000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74FE9" w:rsidRPr="00E425AF"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3</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4</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5</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w:t>
            </w:r>
            <w:r>
              <w:rPr>
                <w:rFonts w:ascii="Times New Roman" w:hAnsi="Times New Roman" w:cs="Times New Roman"/>
                <w:b/>
                <w:bCs/>
                <w:color w:val="000000"/>
              </w:rPr>
              <w:t>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nil"/>
              <w:bottom w:val="nil"/>
              <w:right w:val="nil"/>
            </w:tcBorders>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Poznámky:</w:t>
            </w: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3814" w:type="dxa"/>
            <w:gridSpan w:val="6"/>
            <w:tcBorders>
              <w:top w:val="nil"/>
              <w:left w:val="nil"/>
              <w:bottom w:val="nil"/>
              <w:right w:val="nil"/>
            </w:tcBorders>
            <w:noWrap/>
          </w:tcPr>
          <w:p w:rsidR="00A74FE9" w:rsidRPr="00E425AF" w:rsidRDefault="00A74FE9" w:rsidP="00A74FE9">
            <w:pPr>
              <w:tabs>
                <w:tab w:val="num" w:pos="1080"/>
              </w:tabs>
              <w:spacing w:after="0" w:line="240" w:lineRule="auto"/>
              <w:jc w:val="both"/>
              <w:rPr>
                <w:rFonts w:ascii="Times New Roman" w:eastAsia="Times New Roman" w:hAnsi="Times New Roman" w:cs="Times New Roman"/>
                <w:bCs/>
                <w:lang w:eastAsia="sk-SK"/>
              </w:rPr>
            </w:pPr>
            <w:r w:rsidRPr="00E425AF">
              <w:rPr>
                <w:rFonts w:ascii="Times New Roman" w:eastAsia="Times New Roman" w:hAnsi="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0394" w:type="dxa"/>
            <w:gridSpan w:val="4"/>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2608"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990"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bl>
    <w:p w:rsidR="00A74FE9" w:rsidRDefault="00A74FE9" w:rsidP="00A74FE9">
      <w:pPr>
        <w:spacing w:after="0" w:line="240" w:lineRule="auto"/>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sectPr w:rsidR="00A74FE9" w:rsidSect="001733E1">
          <w:headerReference w:type="even" r:id="rId40"/>
          <w:headerReference w:type="default" r:id="rId41"/>
          <w:footerReference w:type="even" r:id="rId42"/>
          <w:footerReference w:type="default" r:id="rId43"/>
          <w:headerReference w:type="first" r:id="rId44"/>
          <w:footerReference w:type="first" r:id="rId45"/>
          <w:pgSz w:w="16838" w:h="11906" w:orient="landscape"/>
          <w:pgMar w:top="1418" w:right="1418" w:bottom="1418" w:left="1276" w:header="709" w:footer="709" w:gutter="0"/>
          <w:cols w:space="708"/>
          <w:docGrid w:linePitch="360"/>
        </w:sectPr>
      </w:pPr>
    </w:p>
    <w:p w:rsidR="00A74FE9" w:rsidRPr="00806232" w:rsidRDefault="00A74FE9" w:rsidP="00A74FE9">
      <w:pPr>
        <w:tabs>
          <w:tab w:val="left" w:pos="4080"/>
        </w:tabs>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r>
        <w:rPr>
          <w:rFonts w:ascii="Times New Roman" w:eastAsia="Times New Roman" w:hAnsi="Times New Roman" w:cs="Times New Roman"/>
          <w:b/>
          <w:bCs/>
          <w:sz w:val="28"/>
          <w:szCs w:val="28"/>
          <w:lang w:eastAsia="sk-SK"/>
        </w:rPr>
        <w:t xml:space="preserve"> </w:t>
      </w:r>
      <w:r w:rsidRPr="007D5748">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(Zákon o osobitnom odvode v regulovaných odvetviach)</w:t>
      </w:r>
    </w:p>
    <w:p w:rsidR="00A74FE9" w:rsidRPr="00212894" w:rsidRDefault="00A74FE9" w:rsidP="00A74FE9">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A74FE9" w:rsidRDefault="00A74FE9" w:rsidP="00A74FE9">
      <w:pPr>
        <w:spacing w:after="0" w:line="240" w:lineRule="auto"/>
        <w:jc w:val="right"/>
        <w:rPr>
          <w:rFonts w:ascii="Times New Roman" w:eastAsia="Times New Roman" w:hAnsi="Times New Roman" w:cs="Times New Roman"/>
          <w:sz w:val="20"/>
          <w:szCs w:val="20"/>
          <w:lang w:eastAsia="sk-SK"/>
        </w:rPr>
      </w:pPr>
    </w:p>
    <w:p w:rsidR="00A74FE9" w:rsidRPr="007D5748" w:rsidRDefault="00A74FE9" w:rsidP="00A74FE9">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74FE9" w:rsidRPr="00074C97" w:rsidTr="00A74FE9">
        <w:trPr>
          <w:cantSplit/>
          <w:trHeight w:val="194"/>
          <w:jc w:val="center"/>
        </w:trPr>
        <w:tc>
          <w:tcPr>
            <w:tcW w:w="4498" w:type="dxa"/>
            <w:vMerge w:val="restart"/>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Vplyvy na rozpočet verejnej správy</w:t>
            </w:r>
          </w:p>
        </w:tc>
        <w:tc>
          <w:tcPr>
            <w:tcW w:w="5523" w:type="dxa"/>
            <w:gridSpan w:val="4"/>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 na rozpočet verejnej správy (v eurách)</w:t>
            </w:r>
          </w:p>
        </w:tc>
      </w:tr>
      <w:tr w:rsidR="00A74FE9" w:rsidRPr="00074C97" w:rsidTr="00A74FE9">
        <w:trPr>
          <w:cantSplit/>
          <w:trHeight w:val="70"/>
          <w:jc w:val="center"/>
        </w:trPr>
        <w:tc>
          <w:tcPr>
            <w:tcW w:w="4498" w:type="dxa"/>
            <w:vMerge/>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2023</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2024</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2025</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2026</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59" w:type="dxa"/>
            <w:tcBorders>
              <w:top w:val="single" w:sz="8" w:space="0" w:color="auto"/>
              <w:left w:val="nil"/>
              <w:bottom w:val="single" w:sz="8" w:space="0" w:color="auto"/>
              <w:right w:val="single" w:sz="8" w:space="0" w:color="auto"/>
            </w:tcBorders>
            <w:shd w:val="clear" w:color="auto" w:fill="C0C0C0"/>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335</w:t>
            </w:r>
            <w:r>
              <w:rPr>
                <w:rFonts w:ascii="Times New Roman" w:hAnsi="Times New Roman" w:cs="Times New Roman"/>
                <w:b/>
                <w:bCs/>
              </w:rPr>
              <w:t> </w:t>
            </w:r>
            <w:r w:rsidRPr="00DF07EE">
              <w:rPr>
                <w:rFonts w:ascii="Times New Roman" w:hAnsi="Times New Roman" w:cs="Times New Roman"/>
                <w:b/>
                <w:bCs/>
              </w:rPr>
              <w:t>600</w:t>
            </w:r>
            <w:r>
              <w:rPr>
                <w:rFonts w:ascii="Times New Roman" w:hAnsi="Times New Roman" w:cs="Times New Roman"/>
                <w:b/>
                <w:bCs/>
              </w:rPr>
              <w:t xml:space="preserve"> 000</w:t>
            </w:r>
          </w:p>
        </w:tc>
        <w:tc>
          <w:tcPr>
            <w:tcW w:w="1417" w:type="dxa"/>
            <w:tcBorders>
              <w:top w:val="single" w:sz="8" w:space="0" w:color="auto"/>
              <w:left w:val="nil"/>
              <w:bottom w:val="single" w:sz="8" w:space="0" w:color="auto"/>
              <w:right w:val="single" w:sz="8" w:space="0" w:color="auto"/>
            </w:tcBorders>
            <w:shd w:val="clear" w:color="auto" w:fill="C0C0C0"/>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281</w:t>
            </w:r>
            <w:r>
              <w:rPr>
                <w:rFonts w:ascii="Times New Roman" w:hAnsi="Times New Roman" w:cs="Times New Roman"/>
                <w:b/>
                <w:bCs/>
              </w:rPr>
              <w:t> </w:t>
            </w:r>
            <w:r w:rsidRPr="00DF07EE">
              <w:rPr>
                <w:rFonts w:ascii="Times New Roman" w:hAnsi="Times New Roman" w:cs="Times New Roman"/>
                <w:b/>
                <w:bCs/>
              </w:rPr>
              <w:t>300</w:t>
            </w:r>
            <w:r>
              <w:rPr>
                <w:rFonts w:ascii="Times New Roman" w:hAnsi="Times New Roman" w:cs="Times New Roman"/>
                <w:b/>
                <w:bCs/>
              </w:rPr>
              <w:t xml:space="preserve"> 000</w:t>
            </w:r>
          </w:p>
        </w:tc>
        <w:tc>
          <w:tcPr>
            <w:tcW w:w="1521" w:type="dxa"/>
            <w:tcBorders>
              <w:top w:val="single" w:sz="8" w:space="0" w:color="auto"/>
              <w:left w:val="nil"/>
              <w:bottom w:val="single" w:sz="8" w:space="0" w:color="auto"/>
              <w:right w:val="single" w:sz="8" w:space="0" w:color="auto"/>
            </w:tcBorders>
            <w:shd w:val="clear" w:color="auto" w:fill="C0C0C0"/>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237</w:t>
            </w:r>
            <w:r>
              <w:rPr>
                <w:rFonts w:ascii="Times New Roman" w:hAnsi="Times New Roman" w:cs="Times New Roman"/>
                <w:b/>
                <w:bCs/>
              </w:rPr>
              <w:t> </w:t>
            </w:r>
            <w:r w:rsidRPr="00DF07EE">
              <w:rPr>
                <w:rFonts w:ascii="Times New Roman" w:hAnsi="Times New Roman" w:cs="Times New Roman"/>
                <w:b/>
                <w:bCs/>
              </w:rPr>
              <w:t>900</w:t>
            </w:r>
            <w:r>
              <w:rPr>
                <w:rFonts w:ascii="Times New Roman" w:hAnsi="Times New Roman" w:cs="Times New Roman"/>
                <w:b/>
                <w:bCs/>
              </w:rPr>
              <w:t xml:space="preserve"> 000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335</w:t>
            </w:r>
            <w:r>
              <w:rPr>
                <w:rFonts w:ascii="Times New Roman" w:hAnsi="Times New Roman" w:cs="Times New Roman"/>
                <w:b/>
                <w:bCs/>
              </w:rPr>
              <w:t> </w:t>
            </w:r>
            <w:r w:rsidRPr="00DF07EE">
              <w:rPr>
                <w:rFonts w:ascii="Times New Roman" w:hAnsi="Times New Roman" w:cs="Times New Roman"/>
                <w:b/>
                <w:bCs/>
              </w:rPr>
              <w:t>600</w:t>
            </w:r>
            <w:r>
              <w:rPr>
                <w:rFonts w:ascii="Times New Roman" w:hAnsi="Times New Roman" w:cs="Times New Roman"/>
                <w:b/>
                <w:bCs/>
              </w:rPr>
              <w:t xml:space="preserve"> 000</w:t>
            </w:r>
          </w:p>
        </w:tc>
        <w:tc>
          <w:tcPr>
            <w:tcW w:w="1417"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281</w:t>
            </w:r>
            <w:r>
              <w:rPr>
                <w:rFonts w:ascii="Times New Roman" w:hAnsi="Times New Roman" w:cs="Times New Roman"/>
                <w:b/>
                <w:bCs/>
              </w:rPr>
              <w:t> </w:t>
            </w:r>
            <w:r w:rsidRPr="00DF07EE">
              <w:rPr>
                <w:rFonts w:ascii="Times New Roman" w:hAnsi="Times New Roman" w:cs="Times New Roman"/>
                <w:b/>
                <w:bCs/>
              </w:rPr>
              <w:t>300</w:t>
            </w:r>
            <w:r>
              <w:rPr>
                <w:rFonts w:ascii="Times New Roman" w:hAnsi="Times New Roman" w:cs="Times New Roman"/>
                <w:b/>
                <w:bCs/>
              </w:rPr>
              <w:t xml:space="preserve"> 000</w:t>
            </w:r>
          </w:p>
        </w:tc>
        <w:tc>
          <w:tcPr>
            <w:tcW w:w="1521"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237</w:t>
            </w:r>
            <w:r>
              <w:rPr>
                <w:rFonts w:ascii="Times New Roman" w:hAnsi="Times New Roman" w:cs="Times New Roman"/>
                <w:b/>
                <w:bCs/>
              </w:rPr>
              <w:t> </w:t>
            </w:r>
            <w:r w:rsidRPr="00DF07EE">
              <w:rPr>
                <w:rFonts w:ascii="Times New Roman" w:hAnsi="Times New Roman" w:cs="Times New Roman"/>
                <w:b/>
                <w:bCs/>
              </w:rPr>
              <w:t>900</w:t>
            </w:r>
            <w:r>
              <w:rPr>
                <w:rFonts w:ascii="Times New Roman" w:hAnsi="Times New Roman" w:cs="Times New Roman"/>
                <w:b/>
                <w:bCs/>
              </w:rPr>
              <w:t xml:space="preserve"> 000</w:t>
            </w:r>
          </w:p>
        </w:tc>
      </w:tr>
      <w:tr w:rsidR="00A74FE9" w:rsidRPr="00074C97" w:rsidTr="00A74FE9">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335</w:t>
            </w:r>
            <w:r>
              <w:rPr>
                <w:rFonts w:ascii="Times New Roman" w:hAnsi="Times New Roman" w:cs="Times New Roman"/>
                <w:b/>
                <w:bCs/>
              </w:rPr>
              <w:t> </w:t>
            </w:r>
            <w:r w:rsidRPr="00DF07EE">
              <w:rPr>
                <w:rFonts w:ascii="Times New Roman" w:hAnsi="Times New Roman" w:cs="Times New Roman"/>
                <w:b/>
                <w:bCs/>
              </w:rPr>
              <w:t>600</w:t>
            </w:r>
            <w:r>
              <w:rPr>
                <w:rFonts w:ascii="Times New Roman" w:hAnsi="Times New Roman" w:cs="Times New Roman"/>
                <w:b/>
                <w:bCs/>
              </w:rPr>
              <w:t xml:space="preserve"> 000</w:t>
            </w:r>
          </w:p>
        </w:tc>
        <w:tc>
          <w:tcPr>
            <w:tcW w:w="1417"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281</w:t>
            </w:r>
            <w:r>
              <w:rPr>
                <w:rFonts w:ascii="Times New Roman" w:hAnsi="Times New Roman" w:cs="Times New Roman"/>
                <w:b/>
                <w:bCs/>
              </w:rPr>
              <w:t> </w:t>
            </w:r>
            <w:r w:rsidRPr="00DF07EE">
              <w:rPr>
                <w:rFonts w:ascii="Times New Roman" w:hAnsi="Times New Roman" w:cs="Times New Roman"/>
                <w:b/>
                <w:bCs/>
              </w:rPr>
              <w:t>300</w:t>
            </w:r>
            <w:r>
              <w:rPr>
                <w:rFonts w:ascii="Times New Roman" w:hAnsi="Times New Roman" w:cs="Times New Roman"/>
                <w:b/>
                <w:bCs/>
              </w:rPr>
              <w:t xml:space="preserve"> 000</w:t>
            </w:r>
          </w:p>
        </w:tc>
        <w:tc>
          <w:tcPr>
            <w:tcW w:w="1521"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sidRPr="00DF07EE">
              <w:rPr>
                <w:rFonts w:ascii="Times New Roman" w:hAnsi="Times New Roman" w:cs="Times New Roman"/>
                <w:b/>
                <w:bCs/>
              </w:rPr>
              <w:t>237</w:t>
            </w:r>
            <w:r>
              <w:rPr>
                <w:rFonts w:ascii="Times New Roman" w:hAnsi="Times New Roman" w:cs="Times New Roman"/>
                <w:b/>
                <w:bCs/>
              </w:rPr>
              <w:t> </w:t>
            </w:r>
            <w:r w:rsidRPr="00DF07EE">
              <w:rPr>
                <w:rFonts w:ascii="Times New Roman" w:hAnsi="Times New Roman" w:cs="Times New Roman"/>
                <w:b/>
                <w:bCs/>
              </w:rPr>
              <w:t>900</w:t>
            </w:r>
            <w:r>
              <w:rPr>
                <w:rFonts w:ascii="Times New Roman" w:hAnsi="Times New Roman" w:cs="Times New Roman"/>
                <w:b/>
                <w:bCs/>
              </w:rPr>
              <w:t xml:space="preserve">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(112) daň z príjmov právnických osôb</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rPr>
            </w:pPr>
            <w:r w:rsidRPr="00DF07EE">
              <w:rPr>
                <w:rFonts w:ascii="Times New Roman" w:hAnsi="Times New Roman" w:cs="Times New Roman"/>
              </w:rPr>
              <w:t>-89</w:t>
            </w:r>
            <w:r>
              <w:rPr>
                <w:rFonts w:ascii="Times New Roman" w:hAnsi="Times New Roman" w:cs="Times New Roman"/>
              </w:rPr>
              <w:t> </w:t>
            </w:r>
            <w:r w:rsidRPr="00DF07EE">
              <w:rPr>
                <w:rFonts w:ascii="Times New Roman" w:hAnsi="Times New Roman" w:cs="Times New Roman"/>
              </w:rPr>
              <w:t>200</w:t>
            </w:r>
            <w:r>
              <w:rPr>
                <w:rFonts w:ascii="Times New Roman" w:hAnsi="Times New Roman" w:cs="Times New Roman"/>
              </w:rPr>
              <w:t xml:space="preserve"> 000</w:t>
            </w:r>
          </w:p>
        </w:tc>
        <w:tc>
          <w:tcPr>
            <w:tcW w:w="1417"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rPr>
            </w:pPr>
            <w:r w:rsidRPr="00DF07EE">
              <w:rPr>
                <w:rFonts w:ascii="Times New Roman" w:hAnsi="Times New Roman" w:cs="Times New Roman"/>
              </w:rPr>
              <w:t>-74</w:t>
            </w:r>
            <w:r>
              <w:rPr>
                <w:rFonts w:ascii="Times New Roman" w:hAnsi="Times New Roman" w:cs="Times New Roman"/>
              </w:rPr>
              <w:t> </w:t>
            </w:r>
            <w:r w:rsidRPr="00DF07EE">
              <w:rPr>
                <w:rFonts w:ascii="Times New Roman" w:hAnsi="Times New Roman" w:cs="Times New Roman"/>
              </w:rPr>
              <w:t>800</w:t>
            </w:r>
            <w:r>
              <w:rPr>
                <w:rFonts w:ascii="Times New Roman" w:hAnsi="Times New Roman" w:cs="Times New Roman"/>
              </w:rPr>
              <w:t xml:space="preserve"> 000</w:t>
            </w:r>
          </w:p>
        </w:tc>
        <w:tc>
          <w:tcPr>
            <w:tcW w:w="1521"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rPr>
            </w:pPr>
            <w:r w:rsidRPr="00DF07EE">
              <w:rPr>
                <w:rFonts w:ascii="Times New Roman" w:hAnsi="Times New Roman" w:cs="Times New Roman"/>
              </w:rPr>
              <w:t>-63</w:t>
            </w:r>
            <w:r>
              <w:rPr>
                <w:rFonts w:ascii="Times New Roman" w:hAnsi="Times New Roman" w:cs="Times New Roman"/>
              </w:rPr>
              <w:t> </w:t>
            </w:r>
            <w:r w:rsidRPr="00DF07EE">
              <w:rPr>
                <w:rFonts w:ascii="Times New Roman" w:hAnsi="Times New Roman" w:cs="Times New Roman"/>
              </w:rPr>
              <w:t>300</w:t>
            </w:r>
            <w:r>
              <w:rPr>
                <w:rFonts w:ascii="Times New Roman" w:hAnsi="Times New Roman" w:cs="Times New Roman"/>
              </w:rPr>
              <w:t xml:space="preserve">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rPr>
              <w:t>v tom: (192) osobitný odvod  z podnikania v regulovaných odvetviach</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424 800 000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356 100 000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301 200 000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bCs/>
              </w:rPr>
            </w:pPr>
            <w:r w:rsidRPr="00DF07EE">
              <w:rPr>
                <w:rFonts w:ascii="Times New Roman" w:hAnsi="Times New Roman" w:cs="Times New Roman"/>
                <w:b/>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bCs/>
              </w:rPr>
            </w:pPr>
            <w:r w:rsidRPr="00DF07EE">
              <w:rPr>
                <w:rFonts w:ascii="Times New Roman" w:hAnsi="Times New Roman" w:cs="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bCs/>
              </w:rPr>
            </w:pPr>
            <w:r w:rsidRPr="00DF07EE">
              <w:rPr>
                <w:rFonts w:ascii="Times New Roman" w:hAnsi="Times New Roman" w:cs="Times New Roman"/>
                <w:b/>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rPr>
            </w:pPr>
            <w:r w:rsidRPr="00DF07EE">
              <w:rPr>
                <w:rFonts w:ascii="Times New Roman" w:hAnsi="Times New Roman" w:cs="Times New Roman"/>
                <w:b/>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rPr>
            </w:pPr>
            <w:r w:rsidRPr="00DF07EE">
              <w:rPr>
                <w:rFonts w:ascii="Times New Roman" w:hAnsi="Times New Roman" w:cs="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rPr>
            </w:pPr>
            <w:r w:rsidRPr="00DF07EE">
              <w:rPr>
                <w:rFonts w:ascii="Times New Roman" w:hAnsi="Times New Roman" w:cs="Times New Roman"/>
                <w:b/>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 xml:space="preserve">v tom: </w:t>
            </w:r>
            <w:r>
              <w:rPr>
                <w:rFonts w:ascii="Times New Roman" w:hAnsi="Times New Roman" w:cs="Times New Roman"/>
                <w:i/>
                <w:iCs/>
                <w:color w:val="000000"/>
              </w:rPr>
              <w:t>daňový bonus na hypotéky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spolufinancovanie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color w:val="000000"/>
              </w:rPr>
            </w:pPr>
            <w:r w:rsidRPr="00074C97">
              <w:rPr>
                <w:rFonts w:ascii="Times New Roman" w:hAnsi="Times New Roman" w:cs="Times New Roman"/>
                <w:color w:val="000000"/>
              </w:rPr>
              <w:t>v tom: za každý subjekt verejnej správy / program zvlášť</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6A6A6" w:themeFill="background1" w:themeFillShade="A6"/>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6A6A6" w:themeFill="background1" w:themeFillShade="A6"/>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6A6A6" w:themeFill="background1" w:themeFillShade="A6"/>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bl>
    <w:p w:rsidR="00A74FE9" w:rsidRPr="007D5748" w:rsidRDefault="00A74FE9" w:rsidP="00A74FE9">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A74FE9" w:rsidRPr="007D5748"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DF07EE" w:rsidRDefault="00A74FE9" w:rsidP="00A74FE9">
      <w:pPr>
        <w:spacing w:after="0" w:line="240" w:lineRule="auto"/>
        <w:jc w:val="both"/>
        <w:rPr>
          <w:rFonts w:ascii="Times New Roman" w:eastAsia="Times New Roman" w:hAnsi="Times New Roman" w:cs="Times New Roman"/>
          <w:b/>
          <w:bCs/>
          <w:sz w:val="24"/>
          <w:szCs w:val="24"/>
          <w:lang w:eastAsia="sk-SK"/>
        </w:rPr>
      </w:pPr>
      <w:r w:rsidRPr="76C75082">
        <w:rPr>
          <w:rFonts w:ascii="Times New Roman" w:eastAsia="Times New Roman" w:hAnsi="Times New Roman" w:cs="Times New Roman"/>
          <w:b/>
          <w:bCs/>
          <w:sz w:val="24"/>
          <w:szCs w:val="24"/>
          <w:lang w:eastAsia="sk-SK"/>
        </w:rPr>
        <w:t xml:space="preserve">K novele zákona </w:t>
      </w:r>
      <w:r>
        <w:rPr>
          <w:rFonts w:ascii="Times New Roman" w:eastAsia="Times New Roman" w:hAnsi="Times New Roman" w:cs="Times New Roman"/>
          <w:b/>
          <w:bCs/>
          <w:sz w:val="24"/>
          <w:szCs w:val="24"/>
          <w:lang w:eastAsia="sk-SK"/>
        </w:rPr>
        <w:t xml:space="preserve">č 235/2012 Z. z. </w:t>
      </w:r>
      <w:r w:rsidRPr="00DF07EE">
        <w:rPr>
          <w:rFonts w:ascii="Times New Roman" w:eastAsia="Times New Roman" w:hAnsi="Times New Roman" w:cs="Times New Roman"/>
          <w:b/>
          <w:bCs/>
          <w:sz w:val="24"/>
          <w:szCs w:val="24"/>
          <w:lang w:eastAsia="sk-SK"/>
        </w:rPr>
        <w:t>o osobitnom odvode z podnikania v regulovaných odvetviach</w:t>
      </w:r>
    </w:p>
    <w:p w:rsidR="00A74FE9" w:rsidRPr="00DF07EE" w:rsidRDefault="00A74FE9" w:rsidP="00A74FE9">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R</w:t>
      </w:r>
      <w:r w:rsidRPr="00DF07EE">
        <w:rPr>
          <w:rFonts w:ascii="Times New Roman" w:eastAsia="Times New Roman" w:hAnsi="Times New Roman" w:cs="Times New Roman"/>
          <w:bCs/>
          <w:sz w:val="24"/>
          <w:szCs w:val="24"/>
          <w:lang w:eastAsia="sk-SK"/>
        </w:rPr>
        <w:t>ozširuje</w:t>
      </w:r>
      <w:r>
        <w:rPr>
          <w:rFonts w:ascii="Times New Roman" w:eastAsia="Times New Roman" w:hAnsi="Times New Roman" w:cs="Times New Roman"/>
          <w:bCs/>
          <w:sz w:val="24"/>
          <w:szCs w:val="24"/>
          <w:lang w:eastAsia="sk-SK"/>
        </w:rPr>
        <w:t xml:space="preserve"> sa</w:t>
      </w:r>
      <w:r w:rsidRPr="00DF07EE">
        <w:rPr>
          <w:rFonts w:ascii="Times New Roman" w:eastAsia="Times New Roman" w:hAnsi="Times New Roman" w:cs="Times New Roman"/>
          <w:bCs/>
          <w:sz w:val="24"/>
          <w:szCs w:val="24"/>
          <w:lang w:eastAsia="sk-SK"/>
        </w:rPr>
        <w:t xml:space="preserve"> osobitný odvod (OO) z podnikania v regulovaných odvetviach aj na ostatné subjekty s licenciou NBS a pre banky navyše zavádza osobitnú sadzbu odvodu vo výške 30</w:t>
      </w:r>
      <w:r>
        <w:rPr>
          <w:rFonts w:ascii="Times New Roman" w:eastAsia="Times New Roman" w:hAnsi="Times New Roman" w:cs="Times New Roman"/>
          <w:bCs/>
          <w:sz w:val="24"/>
          <w:szCs w:val="24"/>
          <w:lang w:eastAsia="sk-SK"/>
        </w:rPr>
        <w:t> </w:t>
      </w:r>
      <w:r w:rsidRPr="00DF07EE">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v roku zavedenia</w:t>
      </w:r>
      <w:r w:rsidRPr="00DF07EE">
        <w:rPr>
          <w:rFonts w:ascii="Times New Roman" w:eastAsia="Times New Roman" w:hAnsi="Times New Roman" w:cs="Times New Roman"/>
          <w:bCs/>
          <w:sz w:val="24"/>
          <w:szCs w:val="24"/>
          <w:lang w:eastAsia="sk-SK"/>
        </w:rPr>
        <w:t>. Osobitná sadzba pre banky bude postupne každoročne klesať až na úroveň 15 % v roku 2027. Od roku 2028 sa už osobitná sadzba pre banky nebude uplatňovať, avšak banky budú podliehať štandardnej sadzbe osobitného odvodu</w:t>
      </w:r>
      <w:r>
        <w:rPr>
          <w:rFonts w:ascii="Times New Roman" w:eastAsia="Times New Roman" w:hAnsi="Times New Roman" w:cs="Times New Roman"/>
          <w:bCs/>
          <w:sz w:val="24"/>
          <w:szCs w:val="24"/>
          <w:lang w:eastAsia="sk-SK"/>
        </w:rPr>
        <w:t>.</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9714D4"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2.2.4. Výpočty vplyvov na verejné financie</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51BD4" w:rsidRDefault="00A74FE9" w:rsidP="00A74FE9">
      <w:pPr>
        <w:spacing w:after="0" w:line="240" w:lineRule="auto"/>
        <w:jc w:val="both"/>
        <w:rPr>
          <w:rFonts w:ascii="Times New Roman" w:eastAsia="Times New Roman" w:hAnsi="Times New Roman" w:cs="Times New Roman"/>
          <w:b/>
          <w:sz w:val="24"/>
          <w:szCs w:val="24"/>
          <w:lang w:eastAsia="sk-SK"/>
        </w:rPr>
      </w:pPr>
      <w:r w:rsidRPr="61BD6446">
        <w:rPr>
          <w:rFonts w:ascii="Times New Roman" w:eastAsia="Times New Roman" w:hAnsi="Times New Roman" w:cs="Times New Roman"/>
          <w:b/>
          <w:bCs/>
          <w:sz w:val="24"/>
          <w:szCs w:val="24"/>
          <w:lang w:eastAsia="sk-SK"/>
        </w:rPr>
        <w:t>Rozšírenie osobitného odvodu z podnikania v regulovaných odvetviach (banková daň)</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76C75082">
        <w:rPr>
          <w:rFonts w:ascii="Times New Roman" w:eastAsia="Times New Roman" w:hAnsi="Times New Roman" w:cs="Times New Roman"/>
          <w:b/>
          <w:bCs/>
          <w:sz w:val="24"/>
          <w:szCs w:val="24"/>
          <w:lang w:eastAsia="sk-SK"/>
        </w:rPr>
        <w:t>K novele zákona č. 2</w:t>
      </w:r>
      <w:r>
        <w:rPr>
          <w:rFonts w:ascii="Times New Roman" w:eastAsia="Times New Roman" w:hAnsi="Times New Roman" w:cs="Times New Roman"/>
          <w:b/>
          <w:bCs/>
          <w:sz w:val="24"/>
          <w:szCs w:val="24"/>
          <w:lang w:eastAsia="sk-SK"/>
        </w:rPr>
        <w:t>35</w:t>
      </w:r>
      <w:r w:rsidRPr="76C75082">
        <w:rPr>
          <w:rFonts w:ascii="Times New Roman" w:eastAsia="Times New Roman" w:hAnsi="Times New Roman" w:cs="Times New Roman"/>
          <w:b/>
          <w:bCs/>
          <w:sz w:val="24"/>
          <w:szCs w:val="24"/>
          <w:lang w:eastAsia="sk-SK"/>
        </w:rPr>
        <w:t>/20</w:t>
      </w:r>
      <w:r>
        <w:rPr>
          <w:rFonts w:ascii="Times New Roman" w:eastAsia="Times New Roman" w:hAnsi="Times New Roman" w:cs="Times New Roman"/>
          <w:b/>
          <w:bCs/>
          <w:sz w:val="24"/>
          <w:szCs w:val="24"/>
          <w:lang w:eastAsia="sk-SK"/>
        </w:rPr>
        <w:t>12</w:t>
      </w:r>
      <w:r w:rsidRPr="76C75082">
        <w:rPr>
          <w:rFonts w:ascii="Times New Roman" w:eastAsia="Times New Roman" w:hAnsi="Times New Roman" w:cs="Times New Roman"/>
          <w:b/>
          <w:bCs/>
          <w:sz w:val="24"/>
          <w:szCs w:val="24"/>
          <w:lang w:eastAsia="sk-SK"/>
        </w:rPr>
        <w:t xml:space="preserve"> Z. z. o</w:t>
      </w:r>
      <w:r>
        <w:rPr>
          <w:rFonts w:ascii="Times New Roman" w:eastAsia="Times New Roman" w:hAnsi="Times New Roman" w:cs="Times New Roman"/>
          <w:b/>
          <w:bCs/>
          <w:sz w:val="24"/>
          <w:szCs w:val="24"/>
          <w:lang w:eastAsia="sk-SK"/>
        </w:rPr>
        <w:t xml:space="preserve"> osobitnom odvode </w:t>
      </w:r>
      <w:r w:rsidRPr="61BD6446">
        <w:rPr>
          <w:rFonts w:ascii="Times New Roman" w:eastAsia="Times New Roman" w:hAnsi="Times New Roman" w:cs="Times New Roman"/>
          <w:b/>
          <w:bCs/>
          <w:sz w:val="24"/>
          <w:szCs w:val="24"/>
          <w:lang w:eastAsia="sk-SK"/>
        </w:rPr>
        <w:t>z podnikania v regulovaných odvetviach</w:t>
      </w:r>
    </w:p>
    <w:p w:rsidR="00A74FE9" w:rsidRPr="007D5748" w:rsidRDefault="00A74FE9" w:rsidP="00A74FE9">
      <w:pPr>
        <w:spacing w:after="0" w:line="240" w:lineRule="auto"/>
        <w:jc w:val="both"/>
        <w:rPr>
          <w:rFonts w:ascii="Times New Roman" w:eastAsia="Times New Roman" w:hAnsi="Times New Roman" w:cs="Times New Roman"/>
          <w:bCs/>
          <w:sz w:val="24"/>
          <w:szCs w:val="20"/>
          <w:lang w:eastAsia="sk-SK"/>
        </w:rPr>
      </w:pPr>
      <w:r w:rsidRPr="61BD6446">
        <w:rPr>
          <w:rFonts w:ascii="Times New Roman" w:eastAsia="Times New Roman" w:hAnsi="Times New Roman" w:cs="Times New Roman"/>
          <w:sz w:val="24"/>
          <w:szCs w:val="24"/>
          <w:lang w:eastAsia="sk-SK"/>
        </w:rPr>
        <w:t xml:space="preserve">Výpočet vplyvu </w:t>
      </w:r>
      <w:r>
        <w:rPr>
          <w:rFonts w:ascii="Times New Roman" w:eastAsia="Times New Roman" w:hAnsi="Times New Roman" w:cs="Times New Roman"/>
          <w:sz w:val="24"/>
          <w:szCs w:val="24"/>
          <w:lang w:eastAsia="sk-SK"/>
        </w:rPr>
        <w:t xml:space="preserve">vychádza z účtovných závierok dotknutých subjektov, kde bol odhadnutý výsledok hospodárenia za pomoci údajov o raste ekonomiky z poslednej makroekonomickej prognózy. Na odhadnutý výsledok hospodárenia pre vybrané subjekty bola aplikovaná sadzba osobitného odvodu v danom roku. Samotný fiškálny vplyv je ponížený o výpadok na dani z príjmov právnický osôb, nakoľko odvod má negatívny vplyv na základ dane DPPO a tým pádom aj spôsobí výpadok korporátnej dane.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D5748" w:rsidSect="001733E1">
          <w:pgSz w:w="11906" w:h="16838"/>
          <w:pgMar w:top="1417" w:right="1417" w:bottom="1276" w:left="1417" w:header="708" w:footer="708" w:gutter="0"/>
          <w:cols w:space="708"/>
          <w:docGrid w:linePitch="360"/>
        </w:sect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E425AF"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Daňové príjmy (100)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b/>
                <w:bCs/>
                <w:color w:val="000000"/>
              </w:rPr>
            </w:pPr>
            <w:r w:rsidRPr="00DF07EE">
              <w:rPr>
                <w:rFonts w:ascii="Times New Roman" w:hAnsi="Times New Roman" w:cs="Times New Roman"/>
                <w:b/>
                <w:bCs/>
              </w:rPr>
              <w:t>335</w:t>
            </w:r>
            <w:r>
              <w:rPr>
                <w:rFonts w:ascii="Times New Roman" w:hAnsi="Times New Roman" w:cs="Times New Roman"/>
                <w:b/>
                <w:bCs/>
              </w:rPr>
              <w:t> </w:t>
            </w:r>
            <w:r w:rsidRPr="00DF07EE">
              <w:rPr>
                <w:rFonts w:ascii="Times New Roman" w:hAnsi="Times New Roman" w:cs="Times New Roman"/>
                <w:b/>
                <w:bCs/>
              </w:rPr>
              <w:t>600</w:t>
            </w:r>
            <w:r>
              <w:rPr>
                <w:rFonts w:ascii="Times New Roman" w:hAnsi="Times New Roman" w:cs="Times New Roman"/>
                <w:b/>
                <w:bCs/>
              </w:rPr>
              <w:t xml:space="preserve"> 000</w:t>
            </w: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b/>
                <w:bCs/>
                <w:color w:val="000000"/>
              </w:rPr>
            </w:pPr>
            <w:r w:rsidRPr="00DF07EE">
              <w:rPr>
                <w:rFonts w:ascii="Times New Roman" w:hAnsi="Times New Roman" w:cs="Times New Roman"/>
                <w:b/>
                <w:bCs/>
              </w:rPr>
              <w:t>281</w:t>
            </w:r>
            <w:r>
              <w:rPr>
                <w:rFonts w:ascii="Times New Roman" w:hAnsi="Times New Roman" w:cs="Times New Roman"/>
                <w:b/>
                <w:bCs/>
              </w:rPr>
              <w:t> </w:t>
            </w:r>
            <w:r w:rsidRPr="00DF07EE">
              <w:rPr>
                <w:rFonts w:ascii="Times New Roman" w:hAnsi="Times New Roman" w:cs="Times New Roman"/>
                <w:b/>
                <w:bCs/>
              </w:rPr>
              <w:t>300</w:t>
            </w:r>
            <w:r>
              <w:rPr>
                <w:rFonts w:ascii="Times New Roman" w:hAnsi="Times New Roman" w:cs="Times New Roman"/>
                <w:b/>
                <w:bCs/>
              </w:rPr>
              <w:t xml:space="preserve"> 000</w:t>
            </w: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b/>
                <w:bCs/>
                <w:color w:val="000000"/>
              </w:rPr>
            </w:pPr>
            <w:r w:rsidRPr="00DF07EE">
              <w:rPr>
                <w:rFonts w:ascii="Times New Roman" w:hAnsi="Times New Roman" w:cs="Times New Roman"/>
                <w:b/>
                <w:bCs/>
              </w:rPr>
              <w:t>237</w:t>
            </w:r>
            <w:r>
              <w:rPr>
                <w:rFonts w:ascii="Times New Roman" w:hAnsi="Times New Roman" w:cs="Times New Roman"/>
                <w:b/>
                <w:bCs/>
              </w:rPr>
              <w:t> </w:t>
            </w:r>
            <w:r w:rsidRPr="00DF07EE">
              <w:rPr>
                <w:rFonts w:ascii="Times New Roman" w:hAnsi="Times New Roman" w:cs="Times New Roman"/>
                <w:b/>
                <w:bCs/>
              </w:rPr>
              <w:t>900</w:t>
            </w:r>
            <w:r>
              <w:rPr>
                <w:rFonts w:ascii="Times New Roman" w:hAnsi="Times New Roman" w:cs="Times New Roman"/>
                <w:b/>
                <w:bCs/>
              </w:rPr>
              <w:t xml:space="preserve">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(112) daň z príjmov právnických osôb</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color w:val="000000"/>
              </w:rPr>
            </w:pPr>
            <w:r w:rsidRPr="00DF07EE">
              <w:rPr>
                <w:rFonts w:ascii="Times New Roman" w:hAnsi="Times New Roman" w:cs="Times New Roman"/>
              </w:rPr>
              <w:t>-89</w:t>
            </w:r>
            <w:r>
              <w:rPr>
                <w:rFonts w:ascii="Times New Roman" w:hAnsi="Times New Roman" w:cs="Times New Roman"/>
              </w:rPr>
              <w:t> </w:t>
            </w:r>
            <w:r w:rsidRPr="00DF07EE">
              <w:rPr>
                <w:rFonts w:ascii="Times New Roman" w:hAnsi="Times New Roman" w:cs="Times New Roman"/>
              </w:rPr>
              <w:t>200</w:t>
            </w:r>
            <w:r>
              <w:rPr>
                <w:rFonts w:ascii="Times New Roman" w:hAnsi="Times New Roman" w:cs="Times New Roman"/>
              </w:rPr>
              <w:t xml:space="preserve"> 000</w:t>
            </w: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color w:val="000000"/>
              </w:rPr>
            </w:pPr>
            <w:r w:rsidRPr="00DF07EE">
              <w:rPr>
                <w:rFonts w:ascii="Times New Roman" w:hAnsi="Times New Roman" w:cs="Times New Roman"/>
              </w:rPr>
              <w:t>-74</w:t>
            </w:r>
            <w:r>
              <w:rPr>
                <w:rFonts w:ascii="Times New Roman" w:hAnsi="Times New Roman" w:cs="Times New Roman"/>
              </w:rPr>
              <w:t> </w:t>
            </w:r>
            <w:r w:rsidRPr="00DF07EE">
              <w:rPr>
                <w:rFonts w:ascii="Times New Roman" w:hAnsi="Times New Roman" w:cs="Times New Roman"/>
              </w:rPr>
              <w:t>800</w:t>
            </w:r>
            <w:r>
              <w:rPr>
                <w:rFonts w:ascii="Times New Roman" w:hAnsi="Times New Roman" w:cs="Times New Roman"/>
              </w:rPr>
              <w:t xml:space="preserve"> 000</w:t>
            </w: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color w:val="000000"/>
              </w:rPr>
            </w:pPr>
            <w:r w:rsidRPr="00DF07EE">
              <w:rPr>
                <w:rFonts w:ascii="Times New Roman" w:hAnsi="Times New Roman" w:cs="Times New Roman"/>
              </w:rPr>
              <w:t>-63</w:t>
            </w:r>
            <w:r>
              <w:rPr>
                <w:rFonts w:ascii="Times New Roman" w:hAnsi="Times New Roman" w:cs="Times New Roman"/>
              </w:rPr>
              <w:t> </w:t>
            </w:r>
            <w:r w:rsidRPr="00DF07EE">
              <w:rPr>
                <w:rFonts w:ascii="Times New Roman" w:hAnsi="Times New Roman" w:cs="Times New Roman"/>
              </w:rPr>
              <w:t>300</w:t>
            </w:r>
            <w:r>
              <w:rPr>
                <w:rFonts w:ascii="Times New Roman" w:hAnsi="Times New Roman" w:cs="Times New Roman"/>
              </w:rPr>
              <w:t xml:space="preserve">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i/>
                <w:iCs/>
                <w:color w:val="000000"/>
              </w:rPr>
              <w:t xml:space="preserve">    v tom: (192) osobitný odvod  z podnikania v regulovaných odvetviach</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424 800 000</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356 100 000</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301 200 000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Nedaňové príjmy (200)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center"/>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000000" w:fill="BFBFBF"/>
            <w:vAlign w:val="bottom"/>
          </w:tcPr>
          <w:p w:rsidR="00A74FE9" w:rsidRPr="00124C9A" w:rsidRDefault="00A74FE9" w:rsidP="00A74FE9">
            <w:pPr>
              <w:spacing w:after="0"/>
              <w:ind w:hanging="143"/>
              <w:jc w:val="center"/>
              <w:rPr>
                <w:rFonts w:ascii="Times New Roman" w:hAnsi="Times New Roman" w:cs="Times New Roman"/>
                <w:b/>
                <w:bCs/>
                <w:color w:val="000000"/>
              </w:rPr>
            </w:pPr>
            <w:r w:rsidRPr="00DF07EE">
              <w:rPr>
                <w:rFonts w:ascii="Times New Roman" w:hAnsi="Times New Roman" w:cs="Times New Roman"/>
                <w:b/>
                <w:bCs/>
              </w:rPr>
              <w:t>335</w:t>
            </w:r>
            <w:r>
              <w:rPr>
                <w:rFonts w:ascii="Times New Roman" w:hAnsi="Times New Roman" w:cs="Times New Roman"/>
                <w:b/>
                <w:bCs/>
              </w:rPr>
              <w:t> </w:t>
            </w:r>
            <w:r w:rsidRPr="00DF07EE">
              <w:rPr>
                <w:rFonts w:ascii="Times New Roman" w:hAnsi="Times New Roman" w:cs="Times New Roman"/>
                <w:b/>
                <w:bCs/>
              </w:rPr>
              <w:t>600</w:t>
            </w:r>
            <w:r>
              <w:rPr>
                <w:rFonts w:ascii="Times New Roman" w:hAnsi="Times New Roman" w:cs="Times New Roman"/>
                <w:b/>
                <w:bCs/>
              </w:rPr>
              <w:t xml:space="preserve"> 000</w:t>
            </w:r>
          </w:p>
        </w:tc>
        <w:tc>
          <w:tcPr>
            <w:tcW w:w="1500" w:type="dxa"/>
            <w:tcBorders>
              <w:top w:val="nil"/>
              <w:left w:val="nil"/>
              <w:bottom w:val="single" w:sz="8" w:space="0" w:color="auto"/>
              <w:right w:val="single" w:sz="8" w:space="0" w:color="auto"/>
            </w:tcBorders>
            <w:shd w:val="clear" w:color="000000" w:fill="BFBFBF"/>
            <w:vAlign w:val="bottom"/>
          </w:tcPr>
          <w:p w:rsidR="00A74FE9" w:rsidRPr="00124C9A" w:rsidRDefault="00A74FE9" w:rsidP="00A74FE9">
            <w:pPr>
              <w:spacing w:after="0"/>
              <w:ind w:hanging="143"/>
              <w:jc w:val="center"/>
              <w:rPr>
                <w:rFonts w:ascii="Times New Roman" w:hAnsi="Times New Roman" w:cs="Times New Roman"/>
                <w:b/>
                <w:bCs/>
                <w:color w:val="000000"/>
              </w:rPr>
            </w:pPr>
            <w:r w:rsidRPr="00DF07EE">
              <w:rPr>
                <w:rFonts w:ascii="Times New Roman" w:hAnsi="Times New Roman" w:cs="Times New Roman"/>
                <w:b/>
                <w:bCs/>
              </w:rPr>
              <w:t>281</w:t>
            </w:r>
            <w:r>
              <w:rPr>
                <w:rFonts w:ascii="Times New Roman" w:hAnsi="Times New Roman" w:cs="Times New Roman"/>
                <w:b/>
                <w:bCs/>
              </w:rPr>
              <w:t> </w:t>
            </w:r>
            <w:r w:rsidRPr="00DF07EE">
              <w:rPr>
                <w:rFonts w:ascii="Times New Roman" w:hAnsi="Times New Roman" w:cs="Times New Roman"/>
                <w:b/>
                <w:bCs/>
              </w:rPr>
              <w:t>300</w:t>
            </w:r>
            <w:r>
              <w:rPr>
                <w:rFonts w:ascii="Times New Roman" w:hAnsi="Times New Roman" w:cs="Times New Roman"/>
                <w:b/>
                <w:bCs/>
              </w:rPr>
              <w:t xml:space="preserve"> 000</w:t>
            </w:r>
          </w:p>
        </w:tc>
        <w:tc>
          <w:tcPr>
            <w:tcW w:w="1500" w:type="dxa"/>
            <w:tcBorders>
              <w:top w:val="nil"/>
              <w:left w:val="nil"/>
              <w:bottom w:val="single" w:sz="8" w:space="0" w:color="auto"/>
              <w:right w:val="single" w:sz="8" w:space="0" w:color="auto"/>
            </w:tcBorders>
            <w:shd w:val="clear" w:color="000000" w:fill="BFBFBF"/>
            <w:vAlign w:val="bottom"/>
          </w:tcPr>
          <w:p w:rsidR="00A74FE9" w:rsidRPr="00124C9A" w:rsidRDefault="00A74FE9" w:rsidP="00A74FE9">
            <w:pPr>
              <w:spacing w:after="0"/>
              <w:ind w:hanging="143"/>
              <w:jc w:val="center"/>
              <w:rPr>
                <w:rFonts w:ascii="Times New Roman" w:hAnsi="Times New Roman" w:cs="Times New Roman"/>
                <w:b/>
                <w:bCs/>
                <w:color w:val="000000"/>
              </w:rPr>
            </w:pPr>
            <w:r w:rsidRPr="00DF07EE">
              <w:rPr>
                <w:rFonts w:ascii="Times New Roman" w:hAnsi="Times New Roman" w:cs="Times New Roman"/>
                <w:b/>
                <w:bCs/>
              </w:rPr>
              <w:t>237</w:t>
            </w:r>
            <w:r>
              <w:rPr>
                <w:rFonts w:ascii="Times New Roman" w:hAnsi="Times New Roman" w:cs="Times New Roman"/>
                <w:b/>
                <w:bCs/>
              </w:rPr>
              <w:t> </w:t>
            </w:r>
            <w:r w:rsidRPr="00DF07EE">
              <w:rPr>
                <w:rFonts w:ascii="Times New Roman" w:hAnsi="Times New Roman" w:cs="Times New Roman"/>
                <w:b/>
                <w:bCs/>
              </w:rPr>
              <w:t>900</w:t>
            </w:r>
            <w:r>
              <w:rPr>
                <w:rFonts w:ascii="Times New Roman" w:hAnsi="Times New Roman" w:cs="Times New Roman"/>
                <w:b/>
                <w:bCs/>
              </w:rPr>
              <w:t xml:space="preserve">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74FE9" w:rsidRPr="00E425AF" w:rsidTr="00A74FE9">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2023</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2024</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2025</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2026</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Tovary a služby (630)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Bežné transfery (640)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Obstarávanie kapitálových aktív (710)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Kapitálové transfery (720)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74FE9" w:rsidRPr="00E425AF"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2023</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2024</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2025</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nil"/>
              <w:bottom w:val="nil"/>
              <w:right w:val="nil"/>
            </w:tcBorders>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Poznámky:</w:t>
            </w: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3814" w:type="dxa"/>
            <w:gridSpan w:val="6"/>
            <w:tcBorders>
              <w:top w:val="nil"/>
              <w:left w:val="nil"/>
              <w:bottom w:val="nil"/>
              <w:right w:val="nil"/>
            </w:tcBorders>
            <w:noWrap/>
          </w:tcPr>
          <w:p w:rsidR="00A74FE9" w:rsidRPr="00E425AF" w:rsidRDefault="00A74FE9" w:rsidP="00A74FE9">
            <w:pPr>
              <w:tabs>
                <w:tab w:val="num" w:pos="1080"/>
              </w:tabs>
              <w:spacing w:after="0" w:line="240" w:lineRule="auto"/>
              <w:jc w:val="both"/>
              <w:rPr>
                <w:rFonts w:ascii="Times New Roman" w:eastAsia="Times New Roman" w:hAnsi="Times New Roman" w:cs="Times New Roman"/>
                <w:bCs/>
                <w:lang w:eastAsia="sk-SK"/>
              </w:rPr>
            </w:pPr>
            <w:r w:rsidRPr="00E425AF">
              <w:rPr>
                <w:rFonts w:ascii="Times New Roman" w:eastAsia="Times New Roman" w:hAnsi="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0394" w:type="dxa"/>
            <w:gridSpan w:val="4"/>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2608"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990"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bl>
    <w:p w:rsidR="00A74FE9" w:rsidRDefault="00A74FE9" w:rsidP="00A74FE9">
      <w:pPr>
        <w:spacing w:after="0" w:line="240" w:lineRule="auto"/>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sectPr w:rsidR="00A74FE9" w:rsidSect="001733E1">
          <w:headerReference w:type="even" r:id="rId46"/>
          <w:headerReference w:type="default" r:id="rId47"/>
          <w:footerReference w:type="even" r:id="rId48"/>
          <w:footerReference w:type="default" r:id="rId49"/>
          <w:headerReference w:type="first" r:id="rId50"/>
          <w:footerReference w:type="first" r:id="rId51"/>
          <w:pgSz w:w="16838" w:h="11906" w:orient="landscape"/>
          <w:pgMar w:top="1418" w:right="1418" w:bottom="1418" w:left="1276" w:header="709" w:footer="709" w:gutter="0"/>
          <w:cols w:space="708"/>
          <w:docGrid w:linePitch="360"/>
        </w:sectPr>
      </w:pPr>
    </w:p>
    <w:p w:rsidR="00A74FE9" w:rsidRDefault="00A74FE9" w:rsidP="00A74FE9">
      <w:pPr>
        <w:spacing w:after="0"/>
        <w:rPr>
          <w:rFonts w:ascii="Times New Roman" w:eastAsia="Times New Roman" w:hAnsi="Times New Roman" w:cs="Times New Roman"/>
          <w:bCs/>
          <w:sz w:val="18"/>
          <w:szCs w:val="20"/>
          <w:lang w:eastAsia="sk-SK"/>
        </w:rPr>
      </w:pP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(Zákon o solidárnom príspevku)</w:t>
      </w: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212894" w:rsidRDefault="00A74FE9" w:rsidP="00A74FE9">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A74FE9" w:rsidRDefault="00A74FE9" w:rsidP="00A74FE9">
      <w:pPr>
        <w:spacing w:after="0" w:line="240" w:lineRule="auto"/>
        <w:jc w:val="right"/>
        <w:rPr>
          <w:rFonts w:ascii="Times New Roman" w:eastAsia="Times New Roman" w:hAnsi="Times New Roman" w:cs="Times New Roman"/>
          <w:sz w:val="20"/>
          <w:szCs w:val="20"/>
          <w:lang w:eastAsia="sk-SK"/>
        </w:rPr>
      </w:pPr>
    </w:p>
    <w:p w:rsidR="00A74FE9" w:rsidRPr="007D5748" w:rsidRDefault="00A74FE9" w:rsidP="00A74FE9">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74FE9" w:rsidRPr="00074C97" w:rsidTr="00A74FE9">
        <w:trPr>
          <w:cantSplit/>
          <w:trHeight w:val="194"/>
          <w:jc w:val="center"/>
        </w:trPr>
        <w:tc>
          <w:tcPr>
            <w:tcW w:w="4498" w:type="dxa"/>
            <w:vMerge w:val="restart"/>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Vplyvy na rozpočet verejnej správy</w:t>
            </w:r>
          </w:p>
        </w:tc>
        <w:tc>
          <w:tcPr>
            <w:tcW w:w="5523" w:type="dxa"/>
            <w:gridSpan w:val="4"/>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 na rozpočet verejnej správy (v eurách)</w:t>
            </w:r>
          </w:p>
        </w:tc>
      </w:tr>
      <w:tr w:rsidR="00A74FE9" w:rsidRPr="00074C97" w:rsidTr="00A74FE9">
        <w:trPr>
          <w:cantSplit/>
          <w:trHeight w:val="70"/>
          <w:jc w:val="center"/>
        </w:trPr>
        <w:tc>
          <w:tcPr>
            <w:tcW w:w="4498" w:type="dxa"/>
            <w:vMerge/>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2023</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2024</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2025</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2026</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59" w:type="dxa"/>
            <w:tcBorders>
              <w:top w:val="single" w:sz="8" w:space="0" w:color="auto"/>
              <w:left w:val="nil"/>
              <w:bottom w:val="single" w:sz="8" w:space="0" w:color="auto"/>
              <w:right w:val="single" w:sz="8" w:space="0" w:color="auto"/>
            </w:tcBorders>
            <w:shd w:val="clear" w:color="auto" w:fill="C0C0C0"/>
            <w:vAlign w:val="bottom"/>
          </w:tcPr>
          <w:p w:rsidR="00A74FE9" w:rsidRPr="00124C9A" w:rsidRDefault="00A74FE9" w:rsidP="00A74FE9">
            <w:pPr>
              <w:spacing w:after="0"/>
              <w:jc w:val="right"/>
              <w:rPr>
                <w:rFonts w:ascii="Times New Roman" w:hAnsi="Times New Roman" w:cs="Times New Roman"/>
                <w:b/>
                <w:bCs/>
              </w:rPr>
            </w:pPr>
            <w:r>
              <w:rPr>
                <w:rFonts w:ascii="Times New Roman" w:hAnsi="Times New Roman" w:cs="Times New Roman"/>
                <w:b/>
                <w:bCs/>
              </w:rPr>
              <w:t>179 800 000</w:t>
            </w:r>
          </w:p>
        </w:tc>
        <w:tc>
          <w:tcPr>
            <w:tcW w:w="1417" w:type="dxa"/>
            <w:tcBorders>
              <w:top w:val="single" w:sz="8" w:space="0" w:color="auto"/>
              <w:left w:val="nil"/>
              <w:bottom w:val="single" w:sz="8" w:space="0" w:color="auto"/>
              <w:right w:val="single" w:sz="8" w:space="0" w:color="auto"/>
            </w:tcBorders>
            <w:shd w:val="clear" w:color="auto" w:fill="C0C0C0"/>
            <w:vAlign w:val="center"/>
          </w:tcPr>
          <w:p w:rsidR="00A74FE9" w:rsidRPr="00E67A48" w:rsidRDefault="00A74FE9" w:rsidP="00A74FE9">
            <w:pPr>
              <w:spacing w:after="0"/>
              <w:jc w:val="right"/>
              <w:rPr>
                <w:rFonts w:ascii="Times New Roman" w:hAnsi="Times New Roman" w:cs="Times New Roman"/>
                <w:b/>
                <w:bCs/>
              </w:rPr>
            </w:pPr>
            <w:r w:rsidRPr="00E67A48">
              <w:rPr>
                <w:rFonts w:ascii="Times New Roman" w:hAnsi="Times New Roman" w:cs="Times New Roman"/>
                <w:b/>
              </w:rPr>
              <w:t>0</w:t>
            </w:r>
          </w:p>
        </w:tc>
        <w:tc>
          <w:tcPr>
            <w:tcW w:w="1521" w:type="dxa"/>
            <w:tcBorders>
              <w:top w:val="single" w:sz="8" w:space="0" w:color="auto"/>
              <w:left w:val="nil"/>
              <w:bottom w:val="single" w:sz="8" w:space="0" w:color="auto"/>
              <w:right w:val="single" w:sz="8" w:space="0" w:color="auto"/>
            </w:tcBorders>
            <w:shd w:val="clear" w:color="auto" w:fill="C0C0C0"/>
            <w:vAlign w:val="center"/>
          </w:tcPr>
          <w:p w:rsidR="00A74FE9" w:rsidRPr="00E67A48" w:rsidRDefault="00A74FE9" w:rsidP="00A74FE9">
            <w:pPr>
              <w:spacing w:after="0"/>
              <w:jc w:val="right"/>
              <w:rPr>
                <w:rFonts w:ascii="Times New Roman" w:hAnsi="Times New Roman" w:cs="Times New Roman"/>
                <w:b/>
                <w:bCs/>
              </w:rPr>
            </w:pPr>
            <w:r w:rsidRPr="00E67A48">
              <w:rPr>
                <w:rFonts w:ascii="Times New Roman" w:hAnsi="Times New Roman" w:cs="Times New Roman"/>
                <w:b/>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Pr>
                <w:rFonts w:ascii="Times New Roman" w:hAnsi="Times New Roman" w:cs="Times New Roman"/>
                <w:b/>
                <w:bCs/>
              </w:rPr>
              <w:t>179 800 000</w:t>
            </w:r>
          </w:p>
        </w:tc>
        <w:tc>
          <w:tcPr>
            <w:tcW w:w="1417" w:type="dxa"/>
            <w:tcBorders>
              <w:top w:val="nil"/>
              <w:left w:val="nil"/>
              <w:bottom w:val="single" w:sz="8" w:space="0" w:color="auto"/>
              <w:right w:val="single" w:sz="8" w:space="0" w:color="auto"/>
            </w:tcBorders>
            <w:shd w:val="clear" w:color="auto" w:fill="auto"/>
            <w:noWrap/>
            <w:vAlign w:val="center"/>
          </w:tcPr>
          <w:p w:rsidR="00A74FE9" w:rsidRPr="00E67A48" w:rsidRDefault="00A74FE9" w:rsidP="00A74FE9">
            <w:pPr>
              <w:spacing w:after="0"/>
              <w:jc w:val="right"/>
              <w:rPr>
                <w:rFonts w:ascii="Times New Roman" w:hAnsi="Times New Roman" w:cs="Times New Roman"/>
                <w:b/>
                <w:bCs/>
              </w:rPr>
            </w:pPr>
            <w:r w:rsidRPr="00E67A48">
              <w:rPr>
                <w:rFonts w:ascii="Times New Roman" w:hAnsi="Times New Roman" w:cs="Times New Roman"/>
                <w:b/>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67A48" w:rsidRDefault="00A74FE9" w:rsidP="00A74FE9">
            <w:pPr>
              <w:spacing w:after="0"/>
              <w:jc w:val="right"/>
              <w:rPr>
                <w:rFonts w:ascii="Times New Roman" w:hAnsi="Times New Roman" w:cs="Times New Roman"/>
                <w:b/>
                <w:bCs/>
              </w:rPr>
            </w:pPr>
            <w:r w:rsidRPr="00E67A48">
              <w:rPr>
                <w:rFonts w:ascii="Times New Roman" w:hAnsi="Times New Roman" w:cs="Times New Roman"/>
                <w:b/>
              </w:rPr>
              <w:t>0</w:t>
            </w:r>
          </w:p>
        </w:tc>
      </w:tr>
      <w:tr w:rsidR="00A74FE9" w:rsidRPr="00074C97" w:rsidTr="00A74FE9">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b/>
                <w:bCs/>
              </w:rPr>
            </w:pPr>
            <w:r>
              <w:rPr>
                <w:rFonts w:ascii="Times New Roman" w:hAnsi="Times New Roman" w:cs="Times New Roman"/>
                <w:b/>
                <w:bCs/>
              </w:rPr>
              <w:t>179 800 000</w:t>
            </w:r>
          </w:p>
        </w:tc>
        <w:tc>
          <w:tcPr>
            <w:tcW w:w="1417" w:type="dxa"/>
            <w:tcBorders>
              <w:top w:val="nil"/>
              <w:left w:val="nil"/>
              <w:bottom w:val="single" w:sz="8" w:space="0" w:color="auto"/>
              <w:right w:val="single" w:sz="8" w:space="0" w:color="auto"/>
            </w:tcBorders>
            <w:shd w:val="clear" w:color="auto" w:fill="auto"/>
            <w:noWrap/>
            <w:vAlign w:val="center"/>
          </w:tcPr>
          <w:p w:rsidR="00A74FE9" w:rsidRPr="00E67A48" w:rsidRDefault="00A74FE9" w:rsidP="00A74FE9">
            <w:pPr>
              <w:spacing w:after="0"/>
              <w:jc w:val="right"/>
              <w:rPr>
                <w:rFonts w:ascii="Times New Roman" w:hAnsi="Times New Roman" w:cs="Times New Roman"/>
                <w:b/>
                <w:bCs/>
              </w:rPr>
            </w:pPr>
            <w:r w:rsidRPr="00E67A48">
              <w:rPr>
                <w:rFonts w:ascii="Times New Roman" w:hAnsi="Times New Roman" w:cs="Times New Roman"/>
                <w:b/>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67A48" w:rsidRDefault="00A74FE9" w:rsidP="00A74FE9">
            <w:pPr>
              <w:spacing w:after="0"/>
              <w:jc w:val="right"/>
              <w:rPr>
                <w:rFonts w:ascii="Times New Roman" w:hAnsi="Times New Roman" w:cs="Times New Roman"/>
                <w:b/>
                <w:bCs/>
              </w:rPr>
            </w:pPr>
            <w:r w:rsidRPr="00E67A48">
              <w:rPr>
                <w:rFonts w:ascii="Times New Roman" w:hAnsi="Times New Roman" w:cs="Times New Roman"/>
                <w:b/>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(112) daň z príjmov právnických osôb</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vAlign w:val="bottom"/>
          </w:tcPr>
          <w:p w:rsidR="00A74FE9" w:rsidRPr="00124C9A" w:rsidRDefault="00A74FE9" w:rsidP="00A74FE9">
            <w:pPr>
              <w:spacing w:after="0"/>
              <w:jc w:val="right"/>
              <w:rPr>
                <w:rFonts w:ascii="Times New Roman" w:hAnsi="Times New Roman" w:cs="Times New Roman"/>
              </w:rPr>
            </w:pPr>
            <w:r w:rsidRPr="00DF07EE">
              <w:rPr>
                <w:rFonts w:ascii="Times New Roman" w:hAnsi="Times New Roman" w:cs="Times New Roman"/>
              </w:rPr>
              <w:t>-</w:t>
            </w:r>
            <w:r>
              <w:rPr>
                <w:rFonts w:ascii="Times New Roman" w:hAnsi="Times New Roman" w:cs="Times New Roman"/>
              </w:rPr>
              <w:t>47 800 000</w:t>
            </w:r>
          </w:p>
        </w:tc>
        <w:tc>
          <w:tcPr>
            <w:tcW w:w="1417"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 xml:space="preserve">v tom: </w:t>
            </w:r>
            <w:r w:rsidRPr="00A55BED">
              <w:rPr>
                <w:rFonts w:ascii="Times New Roman" w:hAnsi="Times New Roman" w:cs="Times New Roman"/>
                <w:i/>
                <w:iCs/>
              </w:rPr>
              <w:t xml:space="preserve">(197) </w:t>
            </w:r>
            <w:r w:rsidRPr="00E425AF">
              <w:rPr>
                <w:rFonts w:ascii="Times New Roman" w:hAnsi="Times New Roman" w:cs="Times New Roman"/>
                <w:i/>
                <w:iCs/>
                <w:color w:val="000000"/>
              </w:rPr>
              <w:t>Solidárny príspevok z činností v odvetviach ropy, zemného plynu, uhlia a rafinérií</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227 600 000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Pr>
                <w:rFonts w:ascii="Times New Roman" w:hAnsi="Times New Roman" w:cs="Times New Roman"/>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Pr>
                <w:rFonts w:ascii="Times New Roman" w:hAnsi="Times New Roman" w:cs="Times New Roman"/>
                <w:b/>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Pr>
                <w:rFonts w:ascii="Times New Roman" w:hAnsi="Times New Roman" w:cs="Times New Roman"/>
                <w:b/>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Pr>
                <w:rFonts w:ascii="Times New Roman" w:hAnsi="Times New Roman" w:cs="Times New Roman"/>
                <w:b/>
                <w:bCs/>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bCs/>
              </w:rPr>
            </w:pPr>
            <w:r w:rsidRPr="00DF07EE">
              <w:rPr>
                <w:rFonts w:ascii="Times New Roman" w:hAnsi="Times New Roman" w:cs="Times New Roman"/>
                <w:b/>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bCs/>
              </w:rPr>
            </w:pPr>
            <w:r w:rsidRPr="00DF07EE">
              <w:rPr>
                <w:rFonts w:ascii="Times New Roman" w:hAnsi="Times New Roman" w:cs="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DF07EE" w:rsidRDefault="00A74FE9" w:rsidP="00A74FE9">
            <w:pPr>
              <w:spacing w:after="0"/>
              <w:jc w:val="right"/>
              <w:rPr>
                <w:rFonts w:ascii="Times New Roman" w:hAnsi="Times New Roman" w:cs="Times New Roman"/>
                <w:b/>
                <w:bCs/>
              </w:rPr>
            </w:pPr>
            <w:r w:rsidRPr="00DF07EE">
              <w:rPr>
                <w:rFonts w:ascii="Times New Roman" w:hAnsi="Times New Roman" w:cs="Times New Roman"/>
                <w:b/>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845222" w:rsidRDefault="00A74FE9" w:rsidP="00A74FE9">
            <w:pPr>
              <w:spacing w:after="0"/>
              <w:jc w:val="right"/>
              <w:rPr>
                <w:rFonts w:ascii="Times New Roman" w:hAnsi="Times New Roman" w:cs="Times New Roman"/>
              </w:rPr>
            </w:pPr>
            <w:r w:rsidRPr="00845222">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845222" w:rsidRDefault="00A74FE9" w:rsidP="00A74FE9">
            <w:pPr>
              <w:spacing w:after="0"/>
              <w:jc w:val="right"/>
              <w:rPr>
                <w:rFonts w:ascii="Times New Roman" w:hAnsi="Times New Roman" w:cs="Times New Roman"/>
              </w:rPr>
            </w:pPr>
            <w:r w:rsidRPr="00845222">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845222" w:rsidRDefault="00A74FE9" w:rsidP="00A74FE9">
            <w:pPr>
              <w:spacing w:after="0"/>
              <w:jc w:val="right"/>
              <w:rPr>
                <w:rFonts w:ascii="Times New Roman" w:hAnsi="Times New Roman" w:cs="Times New Roman"/>
              </w:rPr>
            </w:pPr>
            <w:r w:rsidRPr="00845222">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 xml:space="preserve">v tom: </w:t>
            </w:r>
            <w:r>
              <w:rPr>
                <w:rFonts w:ascii="Times New Roman" w:hAnsi="Times New Roman" w:cs="Times New Roman"/>
                <w:i/>
                <w:iCs/>
                <w:color w:val="000000"/>
              </w:rPr>
              <w:t>daňový bonus na hypotéky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spolufinancovanie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C0C0C0"/>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E67A48">
              <w:rPr>
                <w:rFonts w:ascii="Times New Roman" w:hAnsi="Times New Roman" w:cs="Times New Roman"/>
                <w:b/>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E67A48">
              <w:rPr>
                <w:rFonts w:ascii="Times New Roman" w:hAnsi="Times New Roman" w:cs="Times New Roman"/>
                <w:b/>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color w:val="000000"/>
              </w:rPr>
            </w:pPr>
            <w:r w:rsidRPr="00074C97">
              <w:rPr>
                <w:rFonts w:ascii="Times New Roman" w:hAnsi="Times New Roman" w:cs="Times New Roman"/>
                <w:color w:val="000000"/>
              </w:rPr>
              <w:t>v tom: za každý subjekt verejnej správy / program zvlášť</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6A6A6" w:themeFill="background1" w:themeFillShade="A6"/>
            <w:noWrap/>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E67A48">
              <w:rPr>
                <w:rFonts w:ascii="Times New Roman" w:hAnsi="Times New Roman" w:cs="Times New Roman"/>
                <w:b/>
              </w:rPr>
              <w:t>0</w:t>
            </w:r>
          </w:p>
        </w:tc>
        <w:tc>
          <w:tcPr>
            <w:tcW w:w="1521"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E67A48">
              <w:rPr>
                <w:rFonts w:ascii="Times New Roman" w:hAnsi="Times New Roman" w:cs="Times New Roman"/>
                <w:b/>
              </w:rPr>
              <w:t>0</w:t>
            </w:r>
          </w:p>
        </w:tc>
      </w:tr>
    </w:tbl>
    <w:p w:rsidR="00A74FE9" w:rsidRPr="007D5748" w:rsidRDefault="00A74FE9" w:rsidP="00A74FE9">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A74FE9" w:rsidRPr="007D5748"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51BD4" w:rsidRDefault="00A74FE9" w:rsidP="00A74FE9">
      <w:pPr>
        <w:spacing w:after="0" w:line="240" w:lineRule="auto"/>
        <w:jc w:val="both"/>
        <w:rPr>
          <w:rFonts w:ascii="Times New Roman" w:eastAsia="Times New Roman" w:hAnsi="Times New Roman" w:cs="Times New Roman"/>
          <w:b/>
          <w:sz w:val="24"/>
          <w:szCs w:val="24"/>
          <w:lang w:eastAsia="sk-SK"/>
        </w:rPr>
      </w:pPr>
      <w:r w:rsidRPr="00751BD4">
        <w:rPr>
          <w:rFonts w:ascii="Times New Roman" w:eastAsia="Times New Roman" w:hAnsi="Times New Roman" w:cs="Times New Roman"/>
          <w:b/>
          <w:sz w:val="24"/>
          <w:szCs w:val="24"/>
          <w:lang w:eastAsia="sk-SK"/>
        </w:rPr>
        <w:t xml:space="preserve">Predĺženie solidárneho príspevku z činností v odvetviach ropy na rok 2024 </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09D3DAAE">
        <w:rPr>
          <w:rFonts w:ascii="Times New Roman" w:eastAsia="Times New Roman" w:hAnsi="Times New Roman" w:cs="Times New Roman"/>
          <w:sz w:val="24"/>
          <w:szCs w:val="24"/>
          <w:lang w:eastAsia="sk-SK"/>
        </w:rPr>
        <w:t>Opatrenie sa týka právnických osôb podnikajúcich v odvetviach ropy, zemného plynu, uhlia a rafinérií. Tieto subjekty odvedú tzv. solidárny príspevok vo výške 70 % nadzisku oproti priemernému zisku v rokoch 2018 až 2021</w:t>
      </w:r>
      <w:r>
        <w:rPr>
          <w:rFonts w:ascii="Times New Roman" w:eastAsia="Times New Roman" w:hAnsi="Times New Roman" w:cs="Times New Roman"/>
          <w:sz w:val="24"/>
          <w:szCs w:val="24"/>
          <w:lang w:eastAsia="sk-SK"/>
        </w:rPr>
        <w:t xml:space="preserve"> zvýšenému o 20%</w:t>
      </w:r>
      <w:r w:rsidRPr="09D3DAAE">
        <w:rPr>
          <w:rFonts w:ascii="Times New Roman" w:eastAsia="Times New Roman" w:hAnsi="Times New Roman" w:cs="Times New Roman"/>
          <w:sz w:val="24"/>
          <w:szCs w:val="24"/>
          <w:lang w:eastAsia="sk-SK"/>
        </w:rPr>
        <w:t>. Opatrenie tak ostáva v rovnakom znení ako v roku 2023.</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9714D4"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2.2.4. Výpočty vplyvov na verejné financie</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51BD4" w:rsidRDefault="00A74FE9" w:rsidP="00A74FE9">
      <w:pPr>
        <w:spacing w:after="0" w:line="240" w:lineRule="auto"/>
        <w:jc w:val="both"/>
        <w:rPr>
          <w:rFonts w:ascii="Times New Roman" w:eastAsia="Times New Roman" w:hAnsi="Times New Roman" w:cs="Times New Roman"/>
          <w:b/>
          <w:sz w:val="24"/>
          <w:szCs w:val="24"/>
          <w:lang w:eastAsia="sk-SK"/>
        </w:rPr>
      </w:pPr>
      <w:r w:rsidRPr="09D3DAAE">
        <w:rPr>
          <w:rFonts w:ascii="Times New Roman" w:eastAsia="Times New Roman" w:hAnsi="Times New Roman" w:cs="Times New Roman"/>
          <w:b/>
          <w:bCs/>
          <w:sz w:val="24"/>
          <w:szCs w:val="24"/>
          <w:lang w:eastAsia="sk-SK"/>
        </w:rPr>
        <w:t xml:space="preserve">Predĺženie solidárneho príspevku z činností v odvetviach ropy na rok 2024 </w:t>
      </w: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070AFC97">
        <w:rPr>
          <w:rFonts w:ascii="Times New Roman" w:eastAsia="Times New Roman" w:hAnsi="Times New Roman" w:cs="Times New Roman"/>
          <w:sz w:val="24"/>
          <w:szCs w:val="24"/>
          <w:lang w:eastAsia="sk-SK"/>
        </w:rPr>
        <w:t xml:space="preserve">Hlavným dôsledkom vysokých ziskov firiem pôsobiacich v danom odvetví sú vysoké hodnoty spreadu cien medzi ruskou ropou Urals a referenčnou ropou Brent. Pri výpočte boli preto využité informácie o hodnote tohto spreadu, získané prostredníctvom stránky Bloomberg, dáta o importoch ropy z Ruska, zverejnené Eurostatom a informácie o tržbách a ziskoch firiem, získané z daňových priznaní a účtovných uzávierok.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D5748" w:rsidSect="001733E1">
          <w:pgSz w:w="11906" w:h="16838"/>
          <w:pgMar w:top="1417" w:right="1417" w:bottom="1276" w:left="1417" w:header="708" w:footer="708" w:gutter="0"/>
          <w:cols w:space="708"/>
          <w:docGrid w:linePitch="360"/>
        </w:sect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E425AF"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Daňové príjmy (100)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b/>
                <w:bCs/>
                <w:color w:val="000000"/>
              </w:rPr>
            </w:pPr>
            <w:r>
              <w:rPr>
                <w:rFonts w:ascii="Times New Roman" w:hAnsi="Times New Roman" w:cs="Times New Roman"/>
                <w:b/>
                <w:bCs/>
              </w:rPr>
              <w:t>179 800 000</w:t>
            </w:r>
          </w:p>
        </w:tc>
        <w:tc>
          <w:tcPr>
            <w:tcW w:w="1500" w:type="dxa"/>
            <w:tcBorders>
              <w:top w:val="nil"/>
              <w:left w:val="nil"/>
              <w:bottom w:val="single" w:sz="8" w:space="0" w:color="auto"/>
              <w:right w:val="single" w:sz="8" w:space="0" w:color="auto"/>
            </w:tcBorders>
            <w:shd w:val="clear" w:color="auto" w:fill="auto"/>
            <w:vAlign w:val="center"/>
          </w:tcPr>
          <w:p w:rsidR="00A74FE9" w:rsidRPr="00124C9A" w:rsidRDefault="00A74FE9" w:rsidP="00A74FE9">
            <w:pPr>
              <w:spacing w:after="0"/>
              <w:jc w:val="right"/>
              <w:rPr>
                <w:rFonts w:ascii="Times New Roman" w:hAnsi="Times New Roman" w:cs="Times New Roman"/>
                <w:b/>
                <w:bCs/>
                <w:color w:val="000000"/>
              </w:rPr>
            </w:pPr>
            <w:r w:rsidRPr="00E67A48">
              <w:rPr>
                <w:rFonts w:ascii="Times New Roman" w:hAnsi="Times New Roman" w:cs="Times New Roman"/>
                <w:b/>
              </w:rPr>
              <w:t>0</w:t>
            </w:r>
          </w:p>
        </w:tc>
        <w:tc>
          <w:tcPr>
            <w:tcW w:w="1500" w:type="dxa"/>
            <w:tcBorders>
              <w:top w:val="nil"/>
              <w:left w:val="nil"/>
              <w:bottom w:val="single" w:sz="8" w:space="0" w:color="auto"/>
              <w:right w:val="single" w:sz="8" w:space="0" w:color="auto"/>
            </w:tcBorders>
            <w:shd w:val="clear" w:color="auto" w:fill="auto"/>
            <w:vAlign w:val="center"/>
          </w:tcPr>
          <w:p w:rsidR="00A74FE9" w:rsidRPr="00124C9A" w:rsidRDefault="00A74FE9" w:rsidP="00A74FE9">
            <w:pPr>
              <w:spacing w:after="0"/>
              <w:jc w:val="right"/>
              <w:rPr>
                <w:rFonts w:ascii="Times New Roman" w:hAnsi="Times New Roman" w:cs="Times New Roman"/>
                <w:b/>
                <w:bCs/>
                <w:color w:val="000000"/>
              </w:rPr>
            </w:pPr>
            <w:r w:rsidRPr="00E67A48">
              <w:rPr>
                <w:rFonts w:ascii="Times New Roman" w:hAnsi="Times New Roman" w:cs="Times New Roman"/>
                <w:b/>
              </w:rPr>
              <w:t>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(112) daň z príjmov právnických osôb</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vAlign w:val="bottom"/>
          </w:tcPr>
          <w:p w:rsidR="00A74FE9" w:rsidRPr="00124C9A" w:rsidRDefault="00A74FE9" w:rsidP="00A74FE9">
            <w:pPr>
              <w:spacing w:after="0"/>
              <w:jc w:val="right"/>
              <w:rPr>
                <w:rFonts w:ascii="Times New Roman" w:hAnsi="Times New Roman" w:cs="Times New Roman"/>
                <w:color w:val="000000"/>
              </w:rPr>
            </w:pPr>
            <w:r w:rsidRPr="00DF07EE">
              <w:rPr>
                <w:rFonts w:ascii="Times New Roman" w:hAnsi="Times New Roman" w:cs="Times New Roman"/>
              </w:rPr>
              <w:t>-</w:t>
            </w:r>
            <w:r>
              <w:rPr>
                <w:rFonts w:ascii="Times New Roman" w:hAnsi="Times New Roman" w:cs="Times New Roman"/>
              </w:rPr>
              <w:t>47 800 000</w:t>
            </w:r>
          </w:p>
        </w:tc>
        <w:tc>
          <w:tcPr>
            <w:tcW w:w="1500" w:type="dxa"/>
            <w:tcBorders>
              <w:top w:val="nil"/>
              <w:left w:val="nil"/>
              <w:bottom w:val="single" w:sz="8" w:space="0" w:color="auto"/>
              <w:right w:val="single" w:sz="8" w:space="0" w:color="auto"/>
            </w:tcBorders>
            <w:shd w:val="clear" w:color="auto" w:fill="auto"/>
            <w:vAlign w:val="center"/>
          </w:tcPr>
          <w:p w:rsidR="00A74FE9" w:rsidRPr="00124C9A" w:rsidRDefault="00A74FE9" w:rsidP="00A74FE9">
            <w:pPr>
              <w:spacing w:after="0"/>
              <w:jc w:val="right"/>
              <w:rPr>
                <w:rFonts w:ascii="Times New Roman" w:hAnsi="Times New Roman" w:cs="Times New Roman"/>
                <w:color w:val="000000"/>
              </w:rPr>
            </w:pPr>
            <w:r w:rsidRPr="00E425AF">
              <w:rPr>
                <w:rFonts w:ascii="Times New Roman" w:hAnsi="Times New Roman" w:cs="Times New Roman"/>
              </w:rPr>
              <w:t>0</w:t>
            </w:r>
          </w:p>
        </w:tc>
        <w:tc>
          <w:tcPr>
            <w:tcW w:w="1500" w:type="dxa"/>
            <w:tcBorders>
              <w:top w:val="nil"/>
              <w:left w:val="nil"/>
              <w:bottom w:val="single" w:sz="8" w:space="0" w:color="auto"/>
              <w:right w:val="single" w:sz="8" w:space="0" w:color="auto"/>
            </w:tcBorders>
            <w:shd w:val="clear" w:color="auto" w:fill="auto"/>
            <w:vAlign w:val="center"/>
          </w:tcPr>
          <w:p w:rsidR="00A74FE9" w:rsidRPr="00124C9A" w:rsidRDefault="00A74FE9" w:rsidP="00A74FE9">
            <w:pPr>
              <w:spacing w:after="0"/>
              <w:jc w:val="right"/>
              <w:rPr>
                <w:rFonts w:ascii="Times New Roman" w:hAnsi="Times New Roman" w:cs="Times New Roman"/>
                <w:color w:val="000000"/>
              </w:rPr>
            </w:pPr>
            <w:r w:rsidRPr="00E425AF">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Pr>
                <w:rFonts w:ascii="Times New Roman" w:hAnsi="Times New Roman" w:cs="Times New Roman"/>
                <w:i/>
                <w:iCs/>
                <w:color w:val="000000"/>
              </w:rPr>
              <w:t xml:space="preserve">    </w:t>
            </w:r>
            <w:r w:rsidRPr="00E425AF">
              <w:rPr>
                <w:rFonts w:ascii="Times New Roman" w:hAnsi="Times New Roman" w:cs="Times New Roman"/>
                <w:i/>
                <w:iCs/>
                <w:color w:val="000000"/>
              </w:rPr>
              <w:t xml:space="preserve">v tom: </w:t>
            </w:r>
            <w:r w:rsidRPr="00A55BED">
              <w:rPr>
                <w:rFonts w:ascii="Times New Roman" w:hAnsi="Times New Roman" w:cs="Times New Roman"/>
                <w:i/>
                <w:iCs/>
              </w:rPr>
              <w:t xml:space="preserve">(197) </w:t>
            </w:r>
            <w:r w:rsidRPr="00E425AF">
              <w:rPr>
                <w:rFonts w:ascii="Times New Roman" w:hAnsi="Times New Roman" w:cs="Times New Roman"/>
                <w:i/>
                <w:iCs/>
                <w:color w:val="000000"/>
              </w:rPr>
              <w:t>Solidárny príspevok z činností v odvetviach ropy, zemného plynu, uhlia a rafinérií</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rPr>
              <w:t>227 600 000</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rPr>
              <w:t>0</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Nedaňové príjmy (200)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center"/>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000000" w:fill="BFBFBF"/>
            <w:vAlign w:val="bottom"/>
          </w:tcPr>
          <w:p w:rsidR="00A74FE9" w:rsidRPr="00124C9A" w:rsidRDefault="00A74FE9" w:rsidP="00A74FE9">
            <w:pPr>
              <w:spacing w:after="0"/>
              <w:ind w:hanging="143"/>
              <w:jc w:val="center"/>
              <w:rPr>
                <w:rFonts w:ascii="Times New Roman" w:hAnsi="Times New Roman" w:cs="Times New Roman"/>
                <w:b/>
                <w:bCs/>
                <w:color w:val="000000"/>
              </w:rPr>
            </w:pPr>
            <w:r>
              <w:rPr>
                <w:rFonts w:ascii="Times New Roman" w:hAnsi="Times New Roman" w:cs="Times New Roman"/>
                <w:b/>
                <w:bCs/>
              </w:rPr>
              <w:t>179 800 000</w:t>
            </w:r>
          </w:p>
        </w:tc>
        <w:tc>
          <w:tcPr>
            <w:tcW w:w="1500" w:type="dxa"/>
            <w:tcBorders>
              <w:top w:val="nil"/>
              <w:left w:val="nil"/>
              <w:bottom w:val="single" w:sz="8" w:space="0" w:color="auto"/>
              <w:right w:val="single" w:sz="8" w:space="0" w:color="auto"/>
            </w:tcBorders>
            <w:shd w:val="clear" w:color="000000" w:fill="BFBFBF"/>
            <w:vAlign w:val="center"/>
          </w:tcPr>
          <w:p w:rsidR="00A74FE9" w:rsidRPr="00124C9A" w:rsidRDefault="00A74FE9" w:rsidP="00A74FE9">
            <w:pPr>
              <w:spacing w:after="0"/>
              <w:ind w:hanging="143"/>
              <w:jc w:val="center"/>
              <w:rPr>
                <w:rFonts w:ascii="Times New Roman" w:hAnsi="Times New Roman" w:cs="Times New Roman"/>
                <w:b/>
                <w:bCs/>
                <w:color w:val="000000"/>
              </w:rPr>
            </w:pPr>
            <w:r w:rsidRPr="00E67A48">
              <w:rPr>
                <w:rFonts w:ascii="Times New Roman" w:hAnsi="Times New Roman" w:cs="Times New Roman"/>
                <w:b/>
              </w:rPr>
              <w:t>0</w:t>
            </w:r>
          </w:p>
        </w:tc>
        <w:tc>
          <w:tcPr>
            <w:tcW w:w="1500" w:type="dxa"/>
            <w:tcBorders>
              <w:top w:val="nil"/>
              <w:left w:val="nil"/>
              <w:bottom w:val="single" w:sz="8" w:space="0" w:color="auto"/>
              <w:right w:val="single" w:sz="8" w:space="0" w:color="auto"/>
            </w:tcBorders>
            <w:shd w:val="clear" w:color="000000" w:fill="BFBFBF"/>
            <w:vAlign w:val="center"/>
          </w:tcPr>
          <w:p w:rsidR="00A74FE9" w:rsidRPr="00124C9A" w:rsidRDefault="00A74FE9" w:rsidP="00A74FE9">
            <w:pPr>
              <w:spacing w:after="0"/>
              <w:ind w:hanging="143"/>
              <w:jc w:val="center"/>
              <w:rPr>
                <w:rFonts w:ascii="Times New Roman" w:hAnsi="Times New Roman" w:cs="Times New Roman"/>
                <w:b/>
                <w:bCs/>
                <w:color w:val="000000"/>
              </w:rPr>
            </w:pPr>
            <w:r w:rsidRPr="00E67A48">
              <w:rPr>
                <w:rFonts w:ascii="Times New Roman" w:hAnsi="Times New Roman" w:cs="Times New Roman"/>
                <w:b/>
              </w:rPr>
              <w:t>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74FE9" w:rsidRPr="00E425AF" w:rsidTr="00A74FE9">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2023</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2024</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2025</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Pr>
                <w:rFonts w:ascii="Times New Roman" w:hAnsi="Times New Roman" w:cs="Times New Roman"/>
                <w:b/>
                <w:bCs/>
                <w:color w:val="000000"/>
              </w:rPr>
              <w:t>2026</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Tovary a služby (630)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Bežné transfery (640)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Obstarávanie kapitálových aktív (710)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Kapitálové transfery (720)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63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54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74FE9" w:rsidRPr="00E425AF"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2023</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2024</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2025</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Pr>
                <w:rFonts w:ascii="Times New Roman" w:hAnsi="Times New Roman" w:cs="Times New Roman"/>
                <w:b/>
                <w:bCs/>
                <w:color w:val="000000"/>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nil"/>
              <w:bottom w:val="nil"/>
              <w:right w:val="nil"/>
            </w:tcBorders>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Poznámky:</w:t>
            </w: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3814" w:type="dxa"/>
            <w:gridSpan w:val="6"/>
            <w:tcBorders>
              <w:top w:val="nil"/>
              <w:left w:val="nil"/>
              <w:bottom w:val="nil"/>
              <w:right w:val="nil"/>
            </w:tcBorders>
            <w:noWrap/>
          </w:tcPr>
          <w:p w:rsidR="00A74FE9" w:rsidRPr="00E425AF" w:rsidRDefault="00A74FE9" w:rsidP="00A74FE9">
            <w:pPr>
              <w:tabs>
                <w:tab w:val="num" w:pos="1080"/>
              </w:tabs>
              <w:spacing w:after="0" w:line="240" w:lineRule="auto"/>
              <w:jc w:val="both"/>
              <w:rPr>
                <w:rFonts w:ascii="Times New Roman" w:eastAsia="Times New Roman" w:hAnsi="Times New Roman" w:cs="Times New Roman"/>
                <w:bCs/>
                <w:lang w:eastAsia="sk-SK"/>
              </w:rPr>
            </w:pPr>
            <w:r w:rsidRPr="00E425AF">
              <w:rPr>
                <w:rFonts w:ascii="Times New Roman" w:eastAsia="Times New Roman" w:hAnsi="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0394" w:type="dxa"/>
            <w:gridSpan w:val="4"/>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2608"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990"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bl>
    <w:p w:rsidR="00A74FE9" w:rsidRDefault="00A74FE9" w:rsidP="00A74FE9">
      <w:pPr>
        <w:spacing w:after="0" w:line="240" w:lineRule="auto"/>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sectPr w:rsidR="00A74FE9" w:rsidSect="001733E1">
          <w:headerReference w:type="even" r:id="rId52"/>
          <w:headerReference w:type="default" r:id="rId53"/>
          <w:footerReference w:type="even" r:id="rId54"/>
          <w:footerReference w:type="default" r:id="rId55"/>
          <w:headerReference w:type="first" r:id="rId56"/>
          <w:footerReference w:type="first" r:id="rId57"/>
          <w:pgSz w:w="16838" w:h="11906" w:orient="landscape"/>
          <w:pgMar w:top="1077" w:right="1440" w:bottom="1077" w:left="1440" w:header="709" w:footer="709" w:gutter="0"/>
          <w:cols w:space="708"/>
          <w:docGrid w:linePitch="360"/>
        </w:sectPr>
      </w:pPr>
    </w:p>
    <w:p w:rsidR="00A74FE9" w:rsidRDefault="00A74FE9" w:rsidP="00A74FE9">
      <w:pPr>
        <w:spacing w:after="0"/>
        <w:rPr>
          <w:rFonts w:ascii="Times New Roman" w:eastAsia="Times New Roman" w:hAnsi="Times New Roman" w:cs="Times New Roman"/>
          <w:bCs/>
          <w:sz w:val="18"/>
          <w:szCs w:val="20"/>
          <w:lang w:eastAsia="sk-SK"/>
        </w:rPr>
      </w:pP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(Zákon o zdravotnom  poistení)</w:t>
      </w:r>
    </w:p>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A74FE9" w:rsidRDefault="00A74FE9" w:rsidP="00A74FE9">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1/A</w:t>
      </w:r>
    </w:p>
    <w:p w:rsidR="00A74FE9" w:rsidRPr="007B7470" w:rsidRDefault="00A74FE9" w:rsidP="00A74FE9">
      <w:pPr>
        <w:spacing w:after="0" w:line="240" w:lineRule="auto"/>
        <w:ind w:left="-709"/>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p>
    <w:tbl>
      <w:tblPr>
        <w:tblW w:w="10773" w:type="dxa"/>
        <w:tblInd w:w="-577" w:type="dxa"/>
        <w:tblCellMar>
          <w:left w:w="70" w:type="dxa"/>
          <w:right w:w="70" w:type="dxa"/>
        </w:tblCellMar>
        <w:tblLook w:val="04A0" w:firstRow="1" w:lastRow="0" w:firstColumn="1" w:lastColumn="0" w:noHBand="0" w:noVBand="1"/>
      </w:tblPr>
      <w:tblGrid>
        <w:gridCol w:w="5529"/>
        <w:gridCol w:w="1275"/>
        <w:gridCol w:w="1418"/>
        <w:gridCol w:w="1246"/>
        <w:gridCol w:w="1305"/>
      </w:tblGrid>
      <w:tr w:rsidR="00A74FE9" w:rsidRPr="007A67C3" w:rsidTr="00A74FE9">
        <w:trPr>
          <w:trHeight w:val="1237"/>
        </w:trPr>
        <w:tc>
          <w:tcPr>
            <w:tcW w:w="552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7A67C3"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bookmarkStart w:id="2" w:name="RANGE!B2"/>
            <w:r w:rsidRPr="007A67C3">
              <w:rPr>
                <w:rFonts w:ascii="Times New Roman" w:eastAsia="Times New Roman" w:hAnsi="Times New Roman" w:cs="Times New Roman"/>
                <w:b/>
                <w:bCs/>
                <w:color w:val="000000"/>
                <w:sz w:val="20"/>
                <w:szCs w:val="20"/>
                <w:lang w:eastAsia="sk-SK"/>
              </w:rPr>
              <w:t>Vplyvy na rozpočet verejnej správy</w:t>
            </w:r>
            <w:bookmarkEnd w:id="2"/>
          </w:p>
        </w:tc>
        <w:tc>
          <w:tcPr>
            <w:tcW w:w="5244"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7A67C3"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Vplyv na rozpočet verejnej správy (v eurách)</w:t>
            </w:r>
          </w:p>
        </w:tc>
      </w:tr>
      <w:tr w:rsidR="00A74FE9" w:rsidRPr="007A67C3" w:rsidTr="00A74FE9">
        <w:trPr>
          <w:trHeight w:val="328"/>
        </w:trPr>
        <w:tc>
          <w:tcPr>
            <w:tcW w:w="5529" w:type="dxa"/>
            <w:vMerge/>
            <w:tcBorders>
              <w:top w:val="single" w:sz="8" w:space="0" w:color="auto"/>
              <w:left w:val="single" w:sz="8" w:space="0" w:color="auto"/>
              <w:bottom w:val="single" w:sz="8" w:space="0" w:color="000000"/>
              <w:right w:val="single" w:sz="8" w:space="0" w:color="auto"/>
            </w:tcBorders>
            <w:vAlign w:val="center"/>
            <w:hideMark/>
          </w:tcPr>
          <w:p w:rsidR="00A74FE9" w:rsidRPr="007A67C3" w:rsidRDefault="00A74FE9" w:rsidP="00A74FE9">
            <w:pPr>
              <w:spacing w:after="0" w:line="240" w:lineRule="auto"/>
              <w:rPr>
                <w:rFonts w:ascii="Times New Roman" w:eastAsia="Times New Roman" w:hAnsi="Times New Roman" w:cs="Times New Roman"/>
                <w:b/>
                <w:bCs/>
                <w:color w:val="000000"/>
                <w:sz w:val="20"/>
                <w:szCs w:val="20"/>
                <w:lang w:eastAsia="sk-SK"/>
              </w:rPr>
            </w:pPr>
          </w:p>
        </w:tc>
        <w:tc>
          <w:tcPr>
            <w:tcW w:w="1275" w:type="dxa"/>
            <w:tcBorders>
              <w:top w:val="nil"/>
              <w:left w:val="nil"/>
              <w:bottom w:val="single" w:sz="8" w:space="0" w:color="auto"/>
              <w:right w:val="single" w:sz="8" w:space="0" w:color="auto"/>
            </w:tcBorders>
            <w:shd w:val="clear" w:color="000000" w:fill="BFBFBF"/>
            <w:vAlign w:val="center"/>
            <w:hideMark/>
          </w:tcPr>
          <w:p w:rsidR="00A74FE9" w:rsidRPr="007A67C3"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202</w:t>
            </w:r>
            <w:r>
              <w:rPr>
                <w:rFonts w:ascii="Times New Roman" w:eastAsia="Times New Roman" w:hAnsi="Times New Roman" w:cs="Times New Roman"/>
                <w:b/>
                <w:bCs/>
                <w:color w:val="000000"/>
                <w:sz w:val="20"/>
                <w:szCs w:val="20"/>
                <w:lang w:eastAsia="sk-SK"/>
              </w:rPr>
              <w:t>3</w:t>
            </w:r>
          </w:p>
        </w:tc>
        <w:tc>
          <w:tcPr>
            <w:tcW w:w="1418" w:type="dxa"/>
            <w:tcBorders>
              <w:top w:val="nil"/>
              <w:left w:val="nil"/>
              <w:bottom w:val="single" w:sz="8" w:space="0" w:color="auto"/>
              <w:right w:val="single" w:sz="8" w:space="0" w:color="auto"/>
            </w:tcBorders>
            <w:shd w:val="clear" w:color="000000" w:fill="BFBFBF"/>
            <w:vAlign w:val="center"/>
            <w:hideMark/>
          </w:tcPr>
          <w:p w:rsidR="00A74FE9" w:rsidRPr="007A67C3"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202</w:t>
            </w:r>
            <w:r>
              <w:rPr>
                <w:rFonts w:ascii="Times New Roman" w:eastAsia="Times New Roman" w:hAnsi="Times New Roman" w:cs="Times New Roman"/>
                <w:b/>
                <w:bCs/>
                <w:color w:val="000000"/>
                <w:sz w:val="20"/>
                <w:szCs w:val="20"/>
                <w:lang w:eastAsia="sk-SK"/>
              </w:rPr>
              <w:t>4</w:t>
            </w:r>
          </w:p>
        </w:tc>
        <w:tc>
          <w:tcPr>
            <w:tcW w:w="1246" w:type="dxa"/>
            <w:tcBorders>
              <w:top w:val="nil"/>
              <w:left w:val="nil"/>
              <w:bottom w:val="single" w:sz="8" w:space="0" w:color="auto"/>
              <w:right w:val="single" w:sz="8" w:space="0" w:color="auto"/>
            </w:tcBorders>
            <w:shd w:val="clear" w:color="000000" w:fill="BFBFBF"/>
            <w:vAlign w:val="center"/>
            <w:hideMark/>
          </w:tcPr>
          <w:p w:rsidR="00A74FE9" w:rsidRPr="007A67C3"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202</w:t>
            </w:r>
            <w:r>
              <w:rPr>
                <w:rFonts w:ascii="Times New Roman" w:eastAsia="Times New Roman" w:hAnsi="Times New Roman" w:cs="Times New Roman"/>
                <w:b/>
                <w:bCs/>
                <w:color w:val="000000"/>
                <w:sz w:val="20"/>
                <w:szCs w:val="20"/>
                <w:lang w:eastAsia="sk-SK"/>
              </w:rPr>
              <w:t>5</w:t>
            </w:r>
          </w:p>
        </w:tc>
        <w:tc>
          <w:tcPr>
            <w:tcW w:w="1305" w:type="dxa"/>
            <w:tcBorders>
              <w:top w:val="nil"/>
              <w:left w:val="nil"/>
              <w:bottom w:val="single" w:sz="8" w:space="0" w:color="auto"/>
              <w:right w:val="single" w:sz="8" w:space="0" w:color="auto"/>
            </w:tcBorders>
            <w:shd w:val="clear" w:color="000000" w:fill="BFBFBF"/>
            <w:vAlign w:val="center"/>
            <w:hideMark/>
          </w:tcPr>
          <w:p w:rsidR="00A74FE9" w:rsidRPr="007A67C3" w:rsidRDefault="00A74FE9" w:rsidP="00A74FE9">
            <w:pPr>
              <w:spacing w:after="0" w:line="240" w:lineRule="auto"/>
              <w:jc w:val="center"/>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202</w:t>
            </w:r>
            <w:r>
              <w:rPr>
                <w:rFonts w:ascii="Times New Roman" w:eastAsia="Times New Roman" w:hAnsi="Times New Roman" w:cs="Times New Roman"/>
                <w:b/>
                <w:bCs/>
                <w:color w:val="000000"/>
                <w:sz w:val="20"/>
                <w:szCs w:val="20"/>
                <w:lang w:eastAsia="sk-SK"/>
              </w:rPr>
              <w:t>6</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000000" w:fill="C0C0C0"/>
            <w:noWrap/>
            <w:vAlign w:val="center"/>
            <w:hideMark/>
          </w:tcPr>
          <w:p w:rsidR="00A74FE9" w:rsidRPr="007A67C3" w:rsidRDefault="00A74FE9" w:rsidP="00A74FE9">
            <w:pPr>
              <w:spacing w:after="0" w:line="240" w:lineRule="auto"/>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Príjmy verejnej správy celkom</w:t>
            </w:r>
          </w:p>
        </w:tc>
        <w:tc>
          <w:tcPr>
            <w:tcW w:w="1275" w:type="dxa"/>
            <w:tcBorders>
              <w:top w:val="nil"/>
              <w:left w:val="nil"/>
              <w:bottom w:val="single" w:sz="8" w:space="0" w:color="auto"/>
              <w:right w:val="single" w:sz="8" w:space="0" w:color="auto"/>
            </w:tcBorders>
            <w:shd w:val="clear" w:color="000000" w:fill="C0C0C0"/>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C0C0C0"/>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357 000 000</w:t>
            </w:r>
          </w:p>
        </w:tc>
        <w:tc>
          <w:tcPr>
            <w:tcW w:w="1246" w:type="dxa"/>
            <w:tcBorders>
              <w:top w:val="nil"/>
              <w:left w:val="nil"/>
              <w:bottom w:val="single" w:sz="8" w:space="0" w:color="auto"/>
              <w:right w:val="single" w:sz="8" w:space="0" w:color="auto"/>
            </w:tcBorders>
            <w:shd w:val="clear" w:color="000000" w:fill="C0C0C0"/>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377 000 000</w:t>
            </w:r>
          </w:p>
        </w:tc>
        <w:tc>
          <w:tcPr>
            <w:tcW w:w="1305" w:type="dxa"/>
            <w:tcBorders>
              <w:top w:val="nil"/>
              <w:left w:val="nil"/>
              <w:bottom w:val="single" w:sz="8" w:space="0" w:color="auto"/>
              <w:right w:val="single" w:sz="8" w:space="0" w:color="auto"/>
            </w:tcBorders>
            <w:shd w:val="clear" w:color="000000" w:fill="C0C0C0"/>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394 000 000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v tom: za každý subjekt verejnej správy zvlášť</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xml:space="preserve">z toho:  </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ŠR</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7A67C3">
              <w:rPr>
                <w:rFonts w:ascii="Times New Roman" w:eastAsia="Times New Roman" w:hAnsi="Times New Roman" w:cs="Times New Roman"/>
                <w:i/>
                <w:iCs/>
                <w:color w:val="000000"/>
                <w:sz w:val="20"/>
                <w:szCs w:val="20"/>
                <w:lang w:eastAsia="sk-SK"/>
              </w:rPr>
              <w:t>Rozpočtové prostriedky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both"/>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negatívny vplyv na výpadok daní DPPO pri 21% dani z príjmov PO</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-42 000 000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-44 000 000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-46 000 000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7A67C3">
              <w:rPr>
                <w:rFonts w:ascii="Times New Roman" w:eastAsia="Times New Roman" w:hAnsi="Times New Roman" w:cs="Times New Roman"/>
                <w:i/>
                <w:iCs/>
                <w:color w:val="000000"/>
                <w:sz w:val="20"/>
                <w:szCs w:val="20"/>
                <w:lang w:eastAsia="sk-SK"/>
              </w:rPr>
              <w:t>EÚ zdroje</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obce</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vyššie územné celky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ostatné subjekty verejnej správy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xml:space="preserve">vplyv na rozpočet verejného zdravotného poistenia </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399 000 000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421 000 000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
                <w:bCs/>
                <w:color w:val="000000"/>
                <w:sz w:val="20"/>
                <w:szCs w:val="20"/>
                <w:lang w:eastAsia="sk-SK"/>
              </w:rPr>
              <w:t>440 000 000</w:t>
            </w:r>
          </w:p>
        </w:tc>
      </w:tr>
      <w:tr w:rsidR="00A74FE9" w:rsidRPr="007A67C3" w:rsidTr="00A74FE9">
        <w:trPr>
          <w:trHeight w:val="641"/>
        </w:trPr>
        <w:tc>
          <w:tcPr>
            <w:tcW w:w="5529" w:type="dxa"/>
            <w:tcBorders>
              <w:top w:val="nil"/>
              <w:left w:val="single" w:sz="8" w:space="0" w:color="auto"/>
              <w:bottom w:val="single" w:sz="8" w:space="0" w:color="auto"/>
              <w:right w:val="single" w:sz="8" w:space="0" w:color="auto"/>
            </w:tcBorders>
            <w:shd w:val="clear" w:color="000000" w:fill="C0C0C0"/>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color w:val="000000"/>
                <w:sz w:val="20"/>
                <w:szCs w:val="20"/>
                <w:lang w:eastAsia="sk-SK"/>
              </w:rPr>
              <w:t>Výdavky verejnej správy celkom</w:t>
            </w:r>
          </w:p>
        </w:tc>
        <w:tc>
          <w:tcPr>
            <w:tcW w:w="1275" w:type="dxa"/>
            <w:tcBorders>
              <w:top w:val="nil"/>
              <w:left w:val="nil"/>
              <w:bottom w:val="single" w:sz="8" w:space="0" w:color="auto"/>
              <w:right w:val="single" w:sz="8" w:space="0" w:color="auto"/>
            </w:tcBorders>
            <w:shd w:val="clear" w:color="000000" w:fill="C0C0C0"/>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C0C0C0"/>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96 000 000</w:t>
            </w:r>
          </w:p>
        </w:tc>
        <w:tc>
          <w:tcPr>
            <w:tcW w:w="1246" w:type="dxa"/>
            <w:tcBorders>
              <w:top w:val="nil"/>
              <w:left w:val="nil"/>
              <w:bottom w:val="single" w:sz="8" w:space="0" w:color="auto"/>
              <w:right w:val="single" w:sz="8" w:space="0" w:color="auto"/>
            </w:tcBorders>
            <w:shd w:val="clear" w:color="000000" w:fill="C0C0C0"/>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99 000 000</w:t>
            </w:r>
          </w:p>
        </w:tc>
        <w:tc>
          <w:tcPr>
            <w:tcW w:w="1305" w:type="dxa"/>
            <w:tcBorders>
              <w:top w:val="nil"/>
              <w:left w:val="nil"/>
              <w:bottom w:val="single" w:sz="8" w:space="0" w:color="auto"/>
              <w:right w:val="single" w:sz="8" w:space="0" w:color="auto"/>
            </w:tcBorders>
            <w:shd w:val="clear" w:color="000000" w:fill="C0C0C0"/>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102 000 000</w:t>
            </w:r>
          </w:p>
        </w:tc>
      </w:tr>
      <w:tr w:rsidR="00A74FE9" w:rsidRPr="007A67C3" w:rsidTr="00A74FE9">
        <w:trPr>
          <w:trHeight w:val="581"/>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both"/>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v tom: za každý subjekt verejnej správy / program zvlášť</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xml:space="preserve">z toho: </w:t>
            </w:r>
          </w:p>
        </w:tc>
        <w:tc>
          <w:tcPr>
            <w:tcW w:w="1275"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c>
          <w:tcPr>
            <w:tcW w:w="1418"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c>
          <w:tcPr>
            <w:tcW w:w="1246"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c>
          <w:tcPr>
            <w:tcW w:w="1305"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 </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ŠR</w:t>
            </w:r>
            <w:r>
              <w:rPr>
                <w:rFonts w:ascii="Times New Roman" w:eastAsia="Times New Roman" w:hAnsi="Times New Roman" w:cs="Times New Roman"/>
                <w:b/>
                <w:bCs/>
                <w:i/>
                <w:iCs/>
                <w:color w:val="000000"/>
                <w:sz w:val="20"/>
                <w:szCs w:val="20"/>
                <w:lang w:eastAsia="sk-SK"/>
              </w:rPr>
              <w:t xml:space="preserve"> a ostatné subjekty VS</w:t>
            </w:r>
          </w:p>
        </w:tc>
        <w:tc>
          <w:tcPr>
            <w:tcW w:w="1275"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Pr>
                <w:rFonts w:ascii="Times New Roman" w:eastAsia="Times New Roman" w:hAnsi="Times New Roman" w:cs="Times New Roman"/>
                <w:b/>
                <w:bCs/>
                <w:color w:val="000000"/>
                <w:sz w:val="20"/>
                <w:szCs w:val="20"/>
                <w:lang w:eastAsia="sk-SK"/>
              </w:rPr>
              <w:t>96 000 000</w:t>
            </w:r>
          </w:p>
        </w:tc>
        <w:tc>
          <w:tcPr>
            <w:tcW w:w="1246"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Pr>
                <w:rFonts w:ascii="Times New Roman" w:eastAsia="Times New Roman" w:hAnsi="Times New Roman" w:cs="Times New Roman"/>
                <w:b/>
                <w:bCs/>
                <w:color w:val="000000"/>
                <w:sz w:val="20"/>
                <w:szCs w:val="20"/>
                <w:lang w:eastAsia="sk-SK"/>
              </w:rPr>
              <w:t>99 000 000</w:t>
            </w:r>
          </w:p>
        </w:tc>
        <w:tc>
          <w:tcPr>
            <w:tcW w:w="1305"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Pr>
                <w:rFonts w:ascii="Times New Roman" w:eastAsia="Times New Roman" w:hAnsi="Times New Roman" w:cs="Times New Roman"/>
                <w:b/>
                <w:bCs/>
                <w:color w:val="000000"/>
                <w:sz w:val="20"/>
                <w:szCs w:val="20"/>
                <w:lang w:eastAsia="sk-SK"/>
              </w:rPr>
              <w:t>102 000 000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i/>
                <w:iCs/>
                <w:color w:val="000000"/>
                <w:sz w:val="20"/>
                <w:szCs w:val="20"/>
                <w:lang w:eastAsia="sk-SK"/>
              </w:rPr>
              <w:t>Rozpočtové prostriedky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Cs/>
                <w:color w:val="000000"/>
                <w:sz w:val="20"/>
                <w:szCs w:val="20"/>
                <w:lang w:eastAsia="sk-SK"/>
              </w:rPr>
              <w:t>96 000 000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Cs/>
                <w:color w:val="000000"/>
                <w:sz w:val="20"/>
                <w:szCs w:val="20"/>
                <w:lang w:eastAsia="sk-SK"/>
              </w:rPr>
              <w:t>99 000 000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AC1E0A">
              <w:rPr>
                <w:rFonts w:ascii="Times New Roman" w:eastAsia="Times New Roman" w:hAnsi="Times New Roman" w:cs="Times New Roman"/>
                <w:bCs/>
                <w:color w:val="000000"/>
                <w:sz w:val="20"/>
                <w:szCs w:val="20"/>
                <w:lang w:eastAsia="sk-SK"/>
              </w:rPr>
              <w:t>102 000 000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i/>
                <w:iCs/>
                <w:color w:val="000000"/>
                <w:sz w:val="20"/>
                <w:szCs w:val="20"/>
                <w:lang w:eastAsia="sk-SK"/>
              </w:rPr>
              <w:t xml:space="preserve">    EÚ zdroje</w:t>
            </w:r>
          </w:p>
        </w:tc>
        <w:tc>
          <w:tcPr>
            <w:tcW w:w="1275"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7A67C3">
              <w:rPr>
                <w:rFonts w:ascii="Times New Roman" w:eastAsia="Times New Roman" w:hAnsi="Times New Roman" w:cs="Times New Roman"/>
                <w:i/>
                <w:iCs/>
                <w:color w:val="000000"/>
                <w:sz w:val="20"/>
                <w:szCs w:val="20"/>
                <w:lang w:eastAsia="sk-SK"/>
              </w:rPr>
              <w:t xml:space="preserve">    spolufinancovanie</w:t>
            </w:r>
          </w:p>
        </w:tc>
        <w:tc>
          <w:tcPr>
            <w:tcW w:w="1275" w:type="dxa"/>
            <w:tcBorders>
              <w:top w:val="nil"/>
              <w:left w:val="nil"/>
              <w:bottom w:val="single" w:sz="8" w:space="0" w:color="auto"/>
              <w:right w:val="single" w:sz="8" w:space="0" w:color="auto"/>
            </w:tcBorders>
            <w:shd w:val="clear" w:color="auto" w:fill="auto"/>
            <w:noWrap/>
            <w:vAlign w:val="center"/>
          </w:tcPr>
          <w:p w:rsidR="00A74FE9" w:rsidRPr="00AC1E0A" w:rsidRDefault="00A74FE9" w:rsidP="00A74FE9">
            <w:pPr>
              <w:spacing w:after="0" w:line="240" w:lineRule="auto"/>
              <w:jc w:val="right"/>
              <w:rPr>
                <w:rFonts w:ascii="Times New Roman" w:eastAsia="Times New Roman" w:hAnsi="Times New Roman" w:cs="Times New Roman"/>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AC1E0A" w:rsidRDefault="00A74FE9" w:rsidP="00A74FE9">
            <w:pPr>
              <w:spacing w:after="0" w:line="240" w:lineRule="auto"/>
              <w:jc w:val="right"/>
              <w:rPr>
                <w:rFonts w:ascii="Times New Roman" w:eastAsia="Times New Roman" w:hAnsi="Times New Roman" w:cs="Times New Roman"/>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AC1E0A" w:rsidRDefault="00A74FE9" w:rsidP="00A74FE9">
            <w:pPr>
              <w:spacing w:after="0" w:line="240" w:lineRule="auto"/>
              <w:jc w:val="right"/>
              <w:rPr>
                <w:rFonts w:ascii="Times New Roman" w:eastAsia="Times New Roman" w:hAnsi="Times New Roman" w:cs="Times New Roman"/>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AC1E0A" w:rsidRDefault="00A74FE9" w:rsidP="00A74FE9">
            <w:pPr>
              <w:spacing w:after="0" w:line="240" w:lineRule="auto"/>
              <w:jc w:val="right"/>
              <w:rPr>
                <w:rFonts w:ascii="Times New Roman" w:eastAsia="Times New Roman" w:hAnsi="Times New Roman" w:cs="Times New Roman"/>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obce</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nil"/>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i/>
                <w:iCs/>
                <w:color w:val="000000"/>
                <w:sz w:val="20"/>
                <w:szCs w:val="20"/>
                <w:lang w:eastAsia="sk-SK"/>
              </w:rPr>
            </w:pPr>
            <w:r w:rsidRPr="007A67C3">
              <w:rPr>
                <w:rFonts w:ascii="Times New Roman" w:eastAsia="Times New Roman" w:hAnsi="Times New Roman" w:cs="Times New Roman"/>
                <w:i/>
                <w:iCs/>
                <w:color w:val="000000"/>
                <w:sz w:val="20"/>
                <w:szCs w:val="20"/>
                <w:lang w:eastAsia="sk-SK"/>
              </w:rPr>
              <w:t>z toho vplyv nových úloh v zmysle ods. 2 Čl. 6 ústavného zákona č. 493/2011 Z. z. o rozpočtovej zodpovednosti</w:t>
            </w:r>
          </w:p>
        </w:tc>
        <w:tc>
          <w:tcPr>
            <w:tcW w:w="1275"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418"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246"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305"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vyššie územné celky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626"/>
        </w:trPr>
        <w:tc>
          <w:tcPr>
            <w:tcW w:w="5529" w:type="dxa"/>
            <w:tcBorders>
              <w:top w:val="nil"/>
              <w:left w:val="single" w:sz="8" w:space="0" w:color="auto"/>
              <w:bottom w:val="nil"/>
              <w:right w:val="single" w:sz="8" w:space="0" w:color="auto"/>
            </w:tcBorders>
            <w:shd w:val="clear" w:color="auto" w:fill="auto"/>
            <w:vAlign w:val="center"/>
            <w:hideMark/>
          </w:tcPr>
          <w:p w:rsidR="00A74FE9" w:rsidRPr="007A67C3"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7A67C3">
              <w:rPr>
                <w:rFonts w:ascii="Times New Roman" w:eastAsia="Times New Roman" w:hAnsi="Times New Roman" w:cs="Times New Roman"/>
                <w:i/>
                <w:iCs/>
                <w:color w:val="000000"/>
                <w:sz w:val="20"/>
                <w:szCs w:val="20"/>
                <w:lang w:eastAsia="sk-SK"/>
              </w:rPr>
              <w:t>z toho vplyv nových úloh v zmysle ods. 2 Čl. 6 ústavného zákona č. 493/2011 Z. z. o rozpočtovej zodpovednosti</w:t>
            </w:r>
          </w:p>
        </w:tc>
        <w:tc>
          <w:tcPr>
            <w:tcW w:w="1275"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418"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246"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305" w:type="dxa"/>
            <w:tcBorders>
              <w:top w:val="nil"/>
              <w:left w:val="nil"/>
              <w:bottom w:val="nil"/>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ostatné subjekty verejnej správy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626"/>
        </w:trPr>
        <w:tc>
          <w:tcPr>
            <w:tcW w:w="5529" w:type="dxa"/>
            <w:tcBorders>
              <w:top w:val="nil"/>
              <w:left w:val="single" w:sz="8" w:space="0" w:color="auto"/>
              <w:bottom w:val="single" w:sz="8" w:space="0" w:color="auto"/>
              <w:right w:val="single" w:sz="8" w:space="0" w:color="auto"/>
            </w:tcBorders>
            <w:shd w:val="clear" w:color="000000" w:fill="BFBFBF"/>
            <w:vAlign w:val="center"/>
            <w:hideMark/>
          </w:tcPr>
          <w:p w:rsidR="00A74FE9" w:rsidRPr="007A67C3" w:rsidRDefault="00A74FE9" w:rsidP="00A74FE9">
            <w:pPr>
              <w:spacing w:after="0" w:line="240" w:lineRule="auto"/>
              <w:ind w:firstLineChars="100" w:firstLine="200"/>
              <w:rPr>
                <w:rFonts w:ascii="Times New Roman" w:eastAsia="Times New Roman" w:hAnsi="Times New Roman" w:cs="Times New Roman"/>
                <w:i/>
                <w:iCs/>
                <w:color w:val="000000"/>
                <w:sz w:val="20"/>
                <w:szCs w:val="20"/>
                <w:lang w:eastAsia="sk-SK"/>
              </w:rPr>
            </w:pPr>
            <w:r w:rsidRPr="007A67C3">
              <w:rPr>
                <w:rFonts w:ascii="Times New Roman" w:eastAsia="Times New Roman" w:hAnsi="Times New Roman" w:cs="Times New Roman"/>
                <w:b/>
                <w:bCs/>
                <w:color w:val="000000"/>
                <w:sz w:val="20"/>
                <w:szCs w:val="20"/>
                <w:lang w:eastAsia="sk-SK"/>
              </w:rPr>
              <w:t xml:space="preserve">Vplyv na počet zamestnancov </w:t>
            </w:r>
          </w:p>
        </w:tc>
        <w:tc>
          <w:tcPr>
            <w:tcW w:w="1275"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lastRenderedPageBreak/>
              <w:t>- vplyv na ŠR</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obce</w:t>
            </w:r>
          </w:p>
        </w:tc>
        <w:tc>
          <w:tcPr>
            <w:tcW w:w="1275"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vyššie územné celky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ostatné subjekty verejnej správy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color w:val="000000"/>
                <w:sz w:val="20"/>
                <w:szCs w:val="20"/>
                <w:lang w:eastAsia="sk-SK"/>
              </w:rPr>
              <w:t>Vplyv na mzdové výdavky</w:t>
            </w:r>
          </w:p>
        </w:tc>
        <w:tc>
          <w:tcPr>
            <w:tcW w:w="1275"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ŠR</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obce</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vyššie územné celky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i/>
                <w:iCs/>
                <w:color w:val="000000"/>
                <w:sz w:val="20"/>
                <w:szCs w:val="20"/>
                <w:lang w:eastAsia="sk-SK"/>
              </w:rPr>
              <w:t>- vplyv na ostatné subjekty verejnej správy</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000000" w:fill="C0C0C0"/>
            <w:noWrap/>
            <w:vAlign w:val="center"/>
          </w:tcPr>
          <w:p w:rsidR="00A74FE9" w:rsidRPr="007A67C3" w:rsidRDefault="00A74FE9" w:rsidP="00A74FE9">
            <w:pPr>
              <w:spacing w:after="0" w:line="240" w:lineRule="auto"/>
              <w:jc w:val="both"/>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Financovanie zabezpečené v rozpočte</w:t>
            </w:r>
          </w:p>
        </w:tc>
        <w:tc>
          <w:tcPr>
            <w:tcW w:w="1275" w:type="dxa"/>
            <w:tcBorders>
              <w:top w:val="nil"/>
              <w:left w:val="nil"/>
              <w:bottom w:val="single" w:sz="8" w:space="0" w:color="auto"/>
              <w:right w:val="single" w:sz="8" w:space="0" w:color="auto"/>
            </w:tcBorders>
            <w:shd w:val="clear" w:color="000000" w:fill="C0C0C0"/>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C0C0C0"/>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000000" w:fill="C0C0C0"/>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000000" w:fill="C0C0C0"/>
            <w:noWrap/>
            <w:vAlign w:val="center"/>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color w:val="000000"/>
                <w:sz w:val="20"/>
                <w:szCs w:val="20"/>
                <w:lang w:eastAsia="sk-SK"/>
              </w:rPr>
              <w:t>v tom: za každý subjekt verejnej správy / program zvlášť</w:t>
            </w:r>
          </w:p>
        </w:tc>
        <w:tc>
          <w:tcPr>
            <w:tcW w:w="127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246"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c>
          <w:tcPr>
            <w:tcW w:w="1305" w:type="dxa"/>
            <w:tcBorders>
              <w:top w:val="nil"/>
              <w:left w:val="nil"/>
              <w:bottom w:val="single" w:sz="8" w:space="0" w:color="auto"/>
              <w:right w:val="single" w:sz="8" w:space="0" w:color="auto"/>
            </w:tcBorders>
            <w:shd w:val="clear" w:color="auto" w:fill="auto"/>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color w:val="000000"/>
                <w:sz w:val="20"/>
                <w:szCs w:val="20"/>
                <w:lang w:eastAsia="sk-SK"/>
              </w:rPr>
              <w:t>Iné ako rozpočtové zdroje</w:t>
            </w:r>
          </w:p>
        </w:tc>
        <w:tc>
          <w:tcPr>
            <w:tcW w:w="1275"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246"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c>
          <w:tcPr>
            <w:tcW w:w="1305" w:type="dxa"/>
            <w:tcBorders>
              <w:top w:val="nil"/>
              <w:left w:val="nil"/>
              <w:bottom w:val="single" w:sz="8" w:space="0" w:color="auto"/>
              <w:right w:val="single" w:sz="8" w:space="0" w:color="auto"/>
            </w:tcBorders>
            <w:shd w:val="clear" w:color="000000" w:fill="BFBFBF"/>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0</w:t>
            </w:r>
          </w:p>
        </w:tc>
      </w:tr>
      <w:tr w:rsidR="00A74FE9" w:rsidRPr="007A67C3" w:rsidTr="00A74FE9">
        <w:trPr>
          <w:trHeight w:val="328"/>
        </w:trPr>
        <w:tc>
          <w:tcPr>
            <w:tcW w:w="5529" w:type="dxa"/>
            <w:tcBorders>
              <w:top w:val="nil"/>
              <w:left w:val="single" w:sz="8" w:space="0" w:color="auto"/>
              <w:bottom w:val="single" w:sz="8" w:space="0" w:color="auto"/>
              <w:right w:val="single" w:sz="8" w:space="0" w:color="auto"/>
            </w:tcBorders>
            <w:shd w:val="clear" w:color="000000" w:fill="A6A6A6"/>
            <w:noWrap/>
            <w:vAlign w:val="center"/>
            <w:hideMark/>
          </w:tcPr>
          <w:p w:rsidR="00A74FE9" w:rsidRPr="007A67C3" w:rsidRDefault="00A74FE9" w:rsidP="00A74FE9">
            <w:pPr>
              <w:spacing w:after="0" w:line="240" w:lineRule="auto"/>
              <w:rPr>
                <w:rFonts w:ascii="Times New Roman" w:eastAsia="Times New Roman" w:hAnsi="Times New Roman" w:cs="Times New Roman"/>
                <w:b/>
                <w:bCs/>
                <w:i/>
                <w:iCs/>
                <w:color w:val="000000"/>
                <w:sz w:val="20"/>
                <w:szCs w:val="20"/>
                <w:lang w:eastAsia="sk-SK"/>
              </w:rPr>
            </w:pPr>
            <w:r w:rsidRPr="007A67C3">
              <w:rPr>
                <w:rFonts w:ascii="Times New Roman" w:eastAsia="Times New Roman" w:hAnsi="Times New Roman" w:cs="Times New Roman"/>
                <w:b/>
                <w:bCs/>
                <w:color w:val="000000"/>
                <w:sz w:val="20"/>
                <w:szCs w:val="20"/>
                <w:lang w:eastAsia="sk-SK"/>
              </w:rPr>
              <w:t>Rozpočtovo nekrytý vplyv</w:t>
            </w:r>
            <w:r>
              <w:rPr>
                <w:rFonts w:ascii="Times New Roman" w:eastAsia="Times New Roman" w:hAnsi="Times New Roman" w:cs="Times New Roman"/>
                <w:b/>
                <w:bCs/>
                <w:color w:val="000000"/>
                <w:sz w:val="20"/>
                <w:szCs w:val="20"/>
                <w:lang w:eastAsia="sk-SK"/>
              </w:rPr>
              <w:t xml:space="preserve"> (+)</w:t>
            </w:r>
            <w:r w:rsidRPr="007A67C3">
              <w:rPr>
                <w:rFonts w:ascii="Times New Roman" w:eastAsia="Times New Roman" w:hAnsi="Times New Roman" w:cs="Times New Roman"/>
                <w:b/>
                <w:bCs/>
                <w:color w:val="000000"/>
                <w:sz w:val="20"/>
                <w:szCs w:val="20"/>
                <w:lang w:eastAsia="sk-SK"/>
              </w:rPr>
              <w:t xml:space="preserve"> / úspora</w:t>
            </w:r>
            <w:r>
              <w:rPr>
                <w:rFonts w:ascii="Times New Roman" w:eastAsia="Times New Roman" w:hAnsi="Times New Roman" w:cs="Times New Roman"/>
                <w:b/>
                <w:bCs/>
                <w:color w:val="000000"/>
                <w:sz w:val="20"/>
                <w:szCs w:val="20"/>
                <w:lang w:eastAsia="sk-SK"/>
              </w:rPr>
              <w:t xml:space="preserve"> (-) </w:t>
            </w:r>
          </w:p>
        </w:tc>
        <w:tc>
          <w:tcPr>
            <w:tcW w:w="1275" w:type="dxa"/>
            <w:tcBorders>
              <w:top w:val="nil"/>
              <w:left w:val="nil"/>
              <w:bottom w:val="single" w:sz="8" w:space="0" w:color="auto"/>
              <w:right w:val="single" w:sz="8" w:space="0" w:color="auto"/>
            </w:tcBorders>
            <w:shd w:val="clear" w:color="000000" w:fill="A6A6A6"/>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A6A6A6"/>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w:t>
            </w:r>
            <w:r>
              <w:rPr>
                <w:rFonts w:ascii="Times New Roman" w:eastAsia="Times New Roman" w:hAnsi="Times New Roman" w:cs="Times New Roman"/>
                <w:b/>
                <w:bCs/>
                <w:color w:val="000000"/>
                <w:sz w:val="20"/>
                <w:szCs w:val="20"/>
                <w:lang w:eastAsia="sk-SK"/>
              </w:rPr>
              <w:t>261 000 000</w:t>
            </w:r>
          </w:p>
        </w:tc>
        <w:tc>
          <w:tcPr>
            <w:tcW w:w="1246" w:type="dxa"/>
            <w:tcBorders>
              <w:top w:val="nil"/>
              <w:left w:val="nil"/>
              <w:bottom w:val="single" w:sz="8" w:space="0" w:color="auto"/>
              <w:right w:val="single" w:sz="8" w:space="0" w:color="auto"/>
            </w:tcBorders>
            <w:shd w:val="clear" w:color="000000" w:fill="A6A6A6"/>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w:t>
            </w:r>
            <w:r>
              <w:rPr>
                <w:rFonts w:ascii="Times New Roman" w:eastAsia="Times New Roman" w:hAnsi="Times New Roman" w:cs="Times New Roman"/>
                <w:b/>
                <w:bCs/>
                <w:color w:val="000000"/>
                <w:sz w:val="20"/>
                <w:szCs w:val="20"/>
                <w:lang w:eastAsia="sk-SK"/>
              </w:rPr>
              <w:t>278 000 000</w:t>
            </w:r>
          </w:p>
        </w:tc>
        <w:tc>
          <w:tcPr>
            <w:tcW w:w="1305" w:type="dxa"/>
            <w:tcBorders>
              <w:top w:val="nil"/>
              <w:left w:val="nil"/>
              <w:bottom w:val="single" w:sz="8" w:space="0" w:color="auto"/>
              <w:right w:val="single" w:sz="8" w:space="0" w:color="auto"/>
            </w:tcBorders>
            <w:shd w:val="clear" w:color="000000" w:fill="A6A6A6"/>
            <w:noWrap/>
            <w:vAlign w:val="center"/>
            <w:hideMark/>
          </w:tcPr>
          <w:p w:rsidR="00A74FE9" w:rsidRPr="007A67C3" w:rsidRDefault="00A74FE9" w:rsidP="00A74FE9">
            <w:pPr>
              <w:spacing w:after="0" w:line="240" w:lineRule="auto"/>
              <w:jc w:val="right"/>
              <w:rPr>
                <w:rFonts w:ascii="Times New Roman" w:eastAsia="Times New Roman" w:hAnsi="Times New Roman" w:cs="Times New Roman"/>
                <w:b/>
                <w:bCs/>
                <w:color w:val="000000"/>
                <w:sz w:val="20"/>
                <w:szCs w:val="20"/>
                <w:lang w:eastAsia="sk-SK"/>
              </w:rPr>
            </w:pPr>
            <w:r w:rsidRPr="007A67C3">
              <w:rPr>
                <w:rFonts w:ascii="Times New Roman" w:eastAsia="Times New Roman" w:hAnsi="Times New Roman" w:cs="Times New Roman"/>
                <w:b/>
                <w:bCs/>
                <w:color w:val="000000"/>
                <w:sz w:val="20"/>
                <w:szCs w:val="20"/>
                <w:lang w:eastAsia="sk-SK"/>
              </w:rPr>
              <w:t>-</w:t>
            </w:r>
            <w:r>
              <w:rPr>
                <w:rFonts w:ascii="Times New Roman" w:eastAsia="Times New Roman" w:hAnsi="Times New Roman" w:cs="Times New Roman"/>
                <w:b/>
                <w:bCs/>
                <w:color w:val="000000"/>
                <w:sz w:val="20"/>
                <w:szCs w:val="20"/>
                <w:lang w:eastAsia="sk-SK"/>
              </w:rPr>
              <w:t>292 000 000</w:t>
            </w:r>
          </w:p>
        </w:tc>
      </w:tr>
    </w:tbl>
    <w:p w:rsidR="00A74FE9" w:rsidRDefault="00A74FE9" w:rsidP="00A74FE9">
      <w:pPr>
        <w:spacing w:after="0" w:line="240" w:lineRule="auto"/>
        <w:ind w:left="-709"/>
        <w:jc w:val="both"/>
        <w:rPr>
          <w:rFonts w:ascii="Times New Roman" w:eastAsia="Times New Roman" w:hAnsi="Times New Roman" w:cs="Times New Roman"/>
          <w:sz w:val="20"/>
          <w:szCs w:val="20"/>
          <w:lang w:eastAsia="sk-SK"/>
        </w:rPr>
      </w:pPr>
    </w:p>
    <w:p w:rsidR="00A74FE9" w:rsidRDefault="00A74FE9" w:rsidP="00A74FE9">
      <w:pPr>
        <w:spacing w:after="0" w:line="240" w:lineRule="auto"/>
        <w:ind w:left="-709"/>
        <w:jc w:val="both"/>
        <w:rPr>
          <w:rFonts w:ascii="Times New Roman" w:eastAsia="Times New Roman" w:hAnsi="Times New Roman" w:cs="Times New Roman"/>
          <w:sz w:val="20"/>
          <w:szCs w:val="20"/>
          <w:lang w:eastAsia="sk-SK"/>
        </w:rPr>
      </w:pPr>
    </w:p>
    <w:p w:rsidR="00A74FE9" w:rsidRDefault="00A74FE9" w:rsidP="00A74FE9">
      <w:pPr>
        <w:spacing w:after="0" w:line="240" w:lineRule="auto"/>
        <w:ind w:left="-709"/>
        <w:jc w:val="both"/>
        <w:rPr>
          <w:rFonts w:ascii="Times New Roman" w:eastAsia="Times New Roman" w:hAnsi="Times New Roman" w:cs="Times New Roman"/>
          <w:sz w:val="20"/>
          <w:szCs w:val="20"/>
          <w:lang w:eastAsia="sk-SK"/>
        </w:rPr>
      </w:pPr>
    </w:p>
    <w:p w:rsidR="00A74FE9" w:rsidRDefault="00A74FE9" w:rsidP="00A74FE9">
      <w:pPr>
        <w:spacing w:after="0" w:line="240" w:lineRule="auto"/>
        <w:ind w:left="-709"/>
        <w:jc w:val="both"/>
        <w:rPr>
          <w:rFonts w:ascii="Times New Roman" w:eastAsia="Times New Roman" w:hAnsi="Times New Roman" w:cs="Times New Roman"/>
          <w:sz w:val="20"/>
          <w:szCs w:val="20"/>
          <w:lang w:eastAsia="sk-SK"/>
        </w:rPr>
      </w:pPr>
    </w:p>
    <w:p w:rsidR="00A74FE9" w:rsidRDefault="00A74FE9" w:rsidP="00A74FE9">
      <w:pPr>
        <w:spacing w:after="0"/>
        <w:rPr>
          <w:rFonts w:ascii="Times New Roman" w:eastAsia="Times New Roman" w:hAnsi="Times New Roman" w:cs="Times New Roman"/>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10773" w:type="dxa"/>
        <w:tblInd w:w="-572" w:type="dxa"/>
        <w:tblCellMar>
          <w:left w:w="70" w:type="dxa"/>
          <w:right w:w="70" w:type="dxa"/>
        </w:tblCellMar>
        <w:tblLook w:val="04A0" w:firstRow="1" w:lastRow="0" w:firstColumn="1" w:lastColumn="0" w:noHBand="0" w:noVBand="1"/>
      </w:tblPr>
      <w:tblGrid>
        <w:gridCol w:w="4536"/>
        <w:gridCol w:w="1560"/>
        <w:gridCol w:w="1559"/>
        <w:gridCol w:w="1417"/>
        <w:gridCol w:w="1701"/>
      </w:tblGrid>
      <w:tr w:rsidR="00A74FE9" w:rsidRPr="007B7470" w:rsidTr="00A74FE9">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2023</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r>
      <w:tr w:rsidR="00A74FE9" w:rsidRPr="007B7470" w:rsidTr="00A74FE9">
        <w:trPr>
          <w:trHeight w:val="300"/>
        </w:trPr>
        <w:tc>
          <w:tcPr>
            <w:tcW w:w="453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560"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559"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701"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A74FE9" w:rsidRPr="007B7470" w:rsidTr="00A74FE9">
        <w:trPr>
          <w:trHeight w:val="300"/>
        </w:trPr>
        <w:tc>
          <w:tcPr>
            <w:tcW w:w="453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560"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559"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701"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A74FE9" w:rsidRPr="007B7470" w:rsidTr="00A74FE9">
        <w:trPr>
          <w:trHeight w:val="300"/>
        </w:trPr>
        <w:tc>
          <w:tcPr>
            <w:tcW w:w="453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560"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559"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701"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A74FE9" w:rsidRPr="007B7470" w:rsidTr="00A74FE9">
        <w:trPr>
          <w:trHeight w:val="300"/>
        </w:trPr>
        <w:tc>
          <w:tcPr>
            <w:tcW w:w="453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560"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559"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701"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A74FE9" w:rsidRPr="007B7470" w:rsidTr="00A74FE9">
        <w:trPr>
          <w:trHeight w:val="300"/>
        </w:trPr>
        <w:tc>
          <w:tcPr>
            <w:tcW w:w="453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560"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559"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701"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A74FE9" w:rsidRPr="007B7470" w:rsidTr="00A74FE9">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r>
              <w:rPr>
                <w:rFonts w:ascii="Times New Roman" w:eastAsia="Times New Roman" w:hAnsi="Times New Roman" w:cs="Times New Roman"/>
                <w:b/>
                <w:bCs/>
                <w:color w:val="000000" w:themeColor="text1"/>
                <w:sz w:val="24"/>
                <w:szCs w:val="24"/>
                <w:lang w:eastAsia="sk-SK"/>
              </w:rPr>
              <w:t xml:space="preserve"> z toho</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r>
    </w:tbl>
    <w:p w:rsidR="00A74FE9" w:rsidRPr="007B7470" w:rsidRDefault="00A74FE9" w:rsidP="00A74FE9">
      <w:pPr>
        <w:spacing w:after="0" w:line="240" w:lineRule="auto"/>
        <w:ind w:left="-709"/>
        <w:jc w:val="both"/>
        <w:rPr>
          <w:rFonts w:ascii="Times New Roman" w:eastAsia="Times New Roman" w:hAnsi="Times New Roman" w:cs="Times New Roman"/>
          <w:sz w:val="20"/>
          <w:szCs w:val="20"/>
          <w:lang w:eastAsia="sk-SK"/>
        </w:rPr>
      </w:pPr>
    </w:p>
    <w:p w:rsidR="00A74FE9" w:rsidRPr="007B7470" w:rsidRDefault="00A74FE9" w:rsidP="00A74FE9">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74FE9" w:rsidRPr="007B7470"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2.2. Popis a charakteristika návrhu</w:t>
      </w:r>
    </w:p>
    <w:p w:rsidR="00A74FE9"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A74FE9" w:rsidRPr="007B7470"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Default="00A74FE9" w:rsidP="00A74FE9">
      <w:pPr>
        <w:spacing w:after="0" w:line="240" w:lineRule="auto"/>
        <w:jc w:val="both"/>
        <w:rPr>
          <w:rFonts w:ascii="Times New Roman" w:hAnsi="Times New Roman" w:cs="Times New Roman"/>
          <w:b/>
          <w:sz w:val="24"/>
          <w:szCs w:val="24"/>
        </w:rPr>
      </w:pPr>
    </w:p>
    <w:p w:rsidR="00A74FE9" w:rsidRPr="00B7614C" w:rsidRDefault="00A74FE9" w:rsidP="00A74F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Odôvodnenie k zákonu č. 580/2004 Z. z.</w:t>
      </w:r>
    </w:p>
    <w:p w:rsidR="00A74FE9" w:rsidRPr="00946750" w:rsidRDefault="00A74FE9" w:rsidP="00A74FE9">
      <w:pPr>
        <w:spacing w:after="0" w:line="240" w:lineRule="auto"/>
        <w:jc w:val="both"/>
        <w:rPr>
          <w:rFonts w:ascii="Times New Roman" w:hAnsi="Times New Roman" w:cs="Times New Roman"/>
          <w:b/>
          <w:sz w:val="24"/>
          <w:szCs w:val="24"/>
        </w:rPr>
      </w:pPr>
      <w:r w:rsidRPr="00946750">
        <w:rPr>
          <w:rFonts w:ascii="Times New Roman" w:hAnsi="Times New Roman" w:cs="Times New Roman"/>
          <w:b/>
          <w:sz w:val="24"/>
          <w:szCs w:val="24"/>
        </w:rPr>
        <w:t>Zvýšenie sadzby pre zamestnávateľa</w:t>
      </w:r>
    </w:p>
    <w:p w:rsidR="00A74FE9" w:rsidRDefault="00A74FE9" w:rsidP="00A74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zvýšiť sadzba poisteného pre </w:t>
      </w:r>
    </w:p>
    <w:p w:rsidR="00A74FE9" w:rsidRDefault="00A74FE9" w:rsidP="00A74FE9">
      <w:pPr>
        <w:pStyle w:val="Odsekzoznamu"/>
        <w:numPr>
          <w:ilvl w:val="0"/>
          <w:numId w:val="7"/>
        </w:numPr>
        <w:spacing w:after="0" w:line="240" w:lineRule="auto"/>
        <w:jc w:val="both"/>
        <w:rPr>
          <w:rFonts w:ascii="Times New Roman" w:hAnsi="Times New Roman"/>
          <w:sz w:val="24"/>
          <w:szCs w:val="24"/>
        </w:rPr>
      </w:pPr>
      <w:r w:rsidRPr="00406562">
        <w:rPr>
          <w:rFonts w:ascii="Times New Roman" w:hAnsi="Times New Roman"/>
          <w:sz w:val="24"/>
          <w:szCs w:val="24"/>
        </w:rPr>
        <w:t>zamestnávateľa z 10% na 11%, ak zamestnávateľ zamestnáva osoby so zdravotným postihnutím, sadzba poistného sa upravuje z 5% na 5,5% z vymeriavaci</w:t>
      </w:r>
      <w:r>
        <w:rPr>
          <w:rFonts w:ascii="Times New Roman" w:hAnsi="Times New Roman"/>
          <w:sz w:val="24"/>
          <w:szCs w:val="24"/>
        </w:rPr>
        <w:t>eho základu podľa § 13 ods. 1,</w:t>
      </w:r>
    </w:p>
    <w:p w:rsidR="00A74FE9" w:rsidRDefault="00A74FE9" w:rsidP="00A74FE9">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samostatne zárobkovo činnú osobu z 14% na 15%, ak ide o samostatne zárobkovo činnú osobu so zdravotným postihnutím z 7% na 7,5% z vymeriavacieho základu,</w:t>
      </w:r>
    </w:p>
    <w:p w:rsidR="00A74FE9" w:rsidRDefault="00A74FE9" w:rsidP="00A74FE9">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tzv. samoplatiteľa zo 14 % na 15 % z vymeriavacieho základu.</w:t>
      </w:r>
    </w:p>
    <w:p w:rsidR="00A74FE9" w:rsidRPr="00406562" w:rsidRDefault="00A74FE9" w:rsidP="00A74FE9">
      <w:pPr>
        <w:pStyle w:val="Odsekzoznamu"/>
        <w:spacing w:after="0" w:line="240" w:lineRule="auto"/>
        <w:jc w:val="both"/>
        <w:rPr>
          <w:rFonts w:ascii="Times New Roman" w:hAnsi="Times New Roman"/>
          <w:sz w:val="24"/>
          <w:szCs w:val="24"/>
        </w:rPr>
      </w:pPr>
    </w:p>
    <w:p w:rsidR="00A74FE9" w:rsidRPr="00946750" w:rsidRDefault="00A74FE9" w:rsidP="00A74FE9">
      <w:pPr>
        <w:spacing w:after="0" w:line="240" w:lineRule="auto"/>
        <w:jc w:val="both"/>
        <w:rPr>
          <w:rFonts w:ascii="Times New Roman" w:hAnsi="Times New Roman" w:cs="Times New Roman"/>
          <w:sz w:val="24"/>
          <w:szCs w:val="24"/>
        </w:rPr>
      </w:pPr>
      <w:r w:rsidRPr="00946750">
        <w:rPr>
          <w:rFonts w:ascii="Times New Roman" w:hAnsi="Times New Roman" w:cs="Times New Roman"/>
          <w:sz w:val="24"/>
          <w:szCs w:val="24"/>
        </w:rPr>
        <w:t>Pri realizácii akejkoľvek zásadnej zmeny v odvodovej povinnosti musia zmeny, spočívajúce v zmene sadzby realizovať vždy k 1. januáru. Hlavným dôvodom je existencia ročného zúčtovania poistného, pri ktorom akákoľvek takáto zmena v priebehu kalendárneho roka do značnej miery výrazne skomplikuje realizáciu ročného zúčtovania poistného.</w:t>
      </w:r>
    </w:p>
    <w:p w:rsidR="00A74FE9" w:rsidRPr="00946750" w:rsidRDefault="00A74FE9" w:rsidP="00A74FE9">
      <w:pPr>
        <w:spacing w:after="0" w:line="240" w:lineRule="auto"/>
        <w:jc w:val="both"/>
        <w:rPr>
          <w:rFonts w:ascii="Times New Roman" w:hAnsi="Times New Roman" w:cs="Times New Roman"/>
          <w:sz w:val="24"/>
          <w:szCs w:val="24"/>
        </w:rPr>
      </w:pPr>
    </w:p>
    <w:p w:rsidR="00A74FE9" w:rsidRDefault="00A74FE9" w:rsidP="00A74FE9">
      <w:pPr>
        <w:spacing w:after="0" w:line="240" w:lineRule="auto"/>
        <w:jc w:val="both"/>
        <w:rPr>
          <w:rFonts w:ascii="Times New Roman" w:hAnsi="Times New Roman" w:cs="Times New Roman"/>
          <w:b/>
          <w:sz w:val="24"/>
          <w:szCs w:val="24"/>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Pr>
          <w:rFonts w:ascii="Times New Roman" w:eastAsia="Times New Roman" w:hAnsi="Times New Roman" w:cs="Times New Roman"/>
          <w:b/>
          <w:sz w:val="24"/>
          <w:szCs w:val="24"/>
          <w:bdr w:val="single" w:sz="4" w:space="0" w:color="auto"/>
          <w:lang w:eastAsia="sk-SK"/>
        </w:rPr>
        <w:t>x</w:t>
      </w: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Pr="007B7470" w:rsidRDefault="00A74FE9" w:rsidP="00A74FE9">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74FE9" w:rsidRPr="007B7470" w:rsidTr="00A74FE9">
        <w:trPr>
          <w:cantSplit/>
          <w:trHeight w:val="70"/>
        </w:trPr>
        <w:tc>
          <w:tcPr>
            <w:tcW w:w="4530" w:type="dxa"/>
            <w:vMerge w:val="restart"/>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A74FE9" w:rsidRPr="007B7470" w:rsidTr="00A74FE9">
        <w:trPr>
          <w:cantSplit/>
          <w:trHeight w:val="70"/>
        </w:trPr>
        <w:tc>
          <w:tcPr>
            <w:tcW w:w="4530" w:type="dxa"/>
            <w:vMerge/>
            <w:shd w:val="clear" w:color="auto" w:fill="BFBFBF" w:themeFill="background1" w:themeFillShade="BF"/>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A74FE9" w:rsidRPr="007B7470" w:rsidTr="00A74FE9">
        <w:trPr>
          <w:trHeight w:val="70"/>
        </w:trPr>
        <w:tc>
          <w:tcPr>
            <w:tcW w:w="4530" w:type="dxa"/>
          </w:tcPr>
          <w:p w:rsidR="00A74FE9" w:rsidRPr="007B7470" w:rsidRDefault="00A74FE9" w:rsidP="00A74FE9">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74FE9" w:rsidRPr="007B7470" w:rsidTr="00A74FE9">
        <w:trPr>
          <w:trHeight w:val="70"/>
        </w:trPr>
        <w:tc>
          <w:tcPr>
            <w:tcW w:w="4530" w:type="dxa"/>
          </w:tcPr>
          <w:p w:rsidR="00A74FE9" w:rsidRPr="007B7470" w:rsidRDefault="00A74FE9" w:rsidP="00A74FE9">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74FE9" w:rsidRPr="007B7470" w:rsidTr="00A74FE9">
        <w:trPr>
          <w:trHeight w:val="70"/>
        </w:trPr>
        <w:tc>
          <w:tcPr>
            <w:tcW w:w="4530" w:type="dxa"/>
          </w:tcPr>
          <w:p w:rsidR="00A74FE9" w:rsidRPr="007B7470" w:rsidRDefault="00A74FE9" w:rsidP="00A74FE9">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2.2.4. Výpočty vplyvov na verejné financie</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p>
    <w:p w:rsidR="00A74FE9" w:rsidRPr="00F37799" w:rsidRDefault="00A74FE9" w:rsidP="00A74FE9">
      <w:pPr>
        <w:pStyle w:val="Nadpis1"/>
        <w:spacing w:before="0" w:line="240" w:lineRule="auto"/>
        <w:rPr>
          <w:rFonts w:ascii="Times New Roman" w:hAnsi="Times New Roman" w:cs="Times New Roman"/>
          <w:b/>
          <w:color w:val="auto"/>
          <w:sz w:val="24"/>
        </w:rPr>
      </w:pPr>
      <w:r w:rsidRPr="00F37799">
        <w:rPr>
          <w:rFonts w:ascii="Times New Roman" w:hAnsi="Times New Roman" w:cs="Times New Roman"/>
          <w:b/>
          <w:color w:val="auto"/>
          <w:sz w:val="24"/>
        </w:rPr>
        <w:t>Odhad dopadu zvýšenia sadzby poistného na verejné zdravotné poistenie za zamestnávateľa z 10% na 11%</w:t>
      </w:r>
      <w:r>
        <w:rPr>
          <w:rFonts w:ascii="Times New Roman" w:hAnsi="Times New Roman" w:cs="Times New Roman"/>
          <w:b/>
          <w:color w:val="auto"/>
          <w:sz w:val="24"/>
        </w:rPr>
        <w:t>, samostatne zárobkovo činné osoby z 14% na 15% a samoplatiteľov z 14% na 15%.</w:t>
      </w:r>
    </w:p>
    <w:p w:rsidR="00A74FE9" w:rsidRPr="00F37799" w:rsidRDefault="00A74FE9" w:rsidP="00A74FE9">
      <w:pPr>
        <w:spacing w:after="0" w:line="240" w:lineRule="auto"/>
        <w:rPr>
          <w:rFonts w:ascii="Times New Roman" w:hAnsi="Times New Roman" w:cs="Times New Roman"/>
        </w:rPr>
      </w:pPr>
    </w:p>
    <w:p w:rsidR="00A74FE9" w:rsidRPr="00F37799" w:rsidRDefault="00A74FE9" w:rsidP="00A74FE9">
      <w:pPr>
        <w:spacing w:after="0" w:line="240" w:lineRule="auto"/>
        <w:jc w:val="both"/>
        <w:rPr>
          <w:rFonts w:ascii="Times New Roman" w:hAnsi="Times New Roman" w:cs="Times New Roman"/>
          <w:sz w:val="24"/>
          <w:szCs w:val="24"/>
        </w:rPr>
      </w:pPr>
      <w:r w:rsidRPr="00F37799">
        <w:rPr>
          <w:rFonts w:ascii="Times New Roman" w:hAnsi="Times New Roman" w:cs="Times New Roman"/>
          <w:sz w:val="24"/>
          <w:szCs w:val="24"/>
        </w:rPr>
        <w:t>Pri simulácii boli použité nasledovné predpoklady:</w:t>
      </w:r>
    </w:p>
    <w:p w:rsidR="00A74FE9" w:rsidRPr="00F37799" w:rsidRDefault="00A74FE9" w:rsidP="00A74FE9">
      <w:pPr>
        <w:pStyle w:val="Odsekzoznamu"/>
        <w:numPr>
          <w:ilvl w:val="0"/>
          <w:numId w:val="23"/>
        </w:numPr>
        <w:spacing w:after="0" w:line="240" w:lineRule="auto"/>
        <w:jc w:val="both"/>
        <w:rPr>
          <w:rFonts w:ascii="Times New Roman" w:hAnsi="Times New Roman"/>
          <w:sz w:val="24"/>
          <w:szCs w:val="24"/>
        </w:rPr>
      </w:pPr>
      <w:r w:rsidRPr="00F37799">
        <w:rPr>
          <w:rFonts w:ascii="Times New Roman" w:hAnsi="Times New Roman"/>
          <w:sz w:val="24"/>
          <w:szCs w:val="24"/>
        </w:rPr>
        <w:t>štruktúra príjmov zdravotných poisťovní od ekonomicky aktívnych osôb za roky 2022 a 2023 ostane zachovaná aj v ďalšom období,</w:t>
      </w:r>
    </w:p>
    <w:p w:rsidR="00A74FE9" w:rsidRPr="00F37799" w:rsidRDefault="00A74FE9" w:rsidP="00A74FE9">
      <w:pPr>
        <w:pStyle w:val="Odsekzoznamu"/>
        <w:numPr>
          <w:ilvl w:val="0"/>
          <w:numId w:val="23"/>
        </w:numPr>
        <w:spacing w:after="0" w:line="240" w:lineRule="auto"/>
        <w:jc w:val="both"/>
        <w:rPr>
          <w:rFonts w:ascii="Times New Roman" w:hAnsi="Times New Roman"/>
          <w:sz w:val="24"/>
          <w:szCs w:val="24"/>
        </w:rPr>
      </w:pPr>
      <w:r w:rsidRPr="00F37799">
        <w:rPr>
          <w:rFonts w:ascii="Times New Roman" w:hAnsi="Times New Roman"/>
          <w:sz w:val="24"/>
          <w:szCs w:val="24"/>
        </w:rPr>
        <w:t xml:space="preserve">štruktúra platiteľov poistného (zamestnanci, samostatne zárobkovo činné osoby, </w:t>
      </w:r>
      <w:r>
        <w:rPr>
          <w:rFonts w:ascii="Times New Roman" w:hAnsi="Times New Roman"/>
          <w:sz w:val="24"/>
          <w:szCs w:val="24"/>
        </w:rPr>
        <w:t xml:space="preserve">samoplatitelia, </w:t>
      </w:r>
      <w:r w:rsidRPr="00F37799">
        <w:rPr>
          <w:rFonts w:ascii="Times New Roman" w:hAnsi="Times New Roman"/>
          <w:sz w:val="24"/>
          <w:szCs w:val="24"/>
        </w:rPr>
        <w:t>poistenci štátu) za roky 2022 a 2023 ostane zachovaná aj v ďalšom období,</w:t>
      </w:r>
    </w:p>
    <w:p w:rsidR="00A74FE9" w:rsidRPr="00F37799" w:rsidRDefault="00A74FE9" w:rsidP="00A74FE9">
      <w:pPr>
        <w:pStyle w:val="Odsekzoznamu"/>
        <w:numPr>
          <w:ilvl w:val="0"/>
          <w:numId w:val="23"/>
        </w:numPr>
        <w:spacing w:after="0" w:line="240" w:lineRule="auto"/>
        <w:jc w:val="both"/>
        <w:rPr>
          <w:rFonts w:ascii="Times New Roman" w:hAnsi="Times New Roman"/>
          <w:sz w:val="24"/>
          <w:szCs w:val="24"/>
        </w:rPr>
      </w:pPr>
      <w:r w:rsidRPr="00F37799">
        <w:rPr>
          <w:rFonts w:ascii="Times New Roman" w:hAnsi="Times New Roman"/>
          <w:sz w:val="24"/>
          <w:szCs w:val="24"/>
        </w:rPr>
        <w:t>opatrenie nebude mať vplyv na mzdovú úroveň v oblasti závislej činnosti (zamestnanci).</w:t>
      </w:r>
    </w:p>
    <w:p w:rsidR="00A74FE9" w:rsidRDefault="00A74FE9" w:rsidP="00A74FE9">
      <w:pPr>
        <w:spacing w:after="0" w:line="240" w:lineRule="auto"/>
        <w:jc w:val="both"/>
        <w:rPr>
          <w:rFonts w:ascii="Times New Roman" w:hAnsi="Times New Roman" w:cs="Times New Roman"/>
          <w:sz w:val="24"/>
          <w:szCs w:val="24"/>
        </w:rPr>
      </w:pPr>
      <w:r w:rsidRPr="00F37799">
        <w:rPr>
          <w:rFonts w:ascii="Times New Roman" w:hAnsi="Times New Roman" w:cs="Times New Roman"/>
          <w:sz w:val="24"/>
          <w:szCs w:val="24"/>
        </w:rPr>
        <w:t>Peňažné hodnoty sú uvádzané v eurách.</w:t>
      </w:r>
    </w:p>
    <w:p w:rsidR="00A74FE9" w:rsidRDefault="00A74FE9" w:rsidP="00A74FE9">
      <w:pPr>
        <w:spacing w:after="0" w:line="240" w:lineRule="auto"/>
        <w:jc w:val="both"/>
        <w:rPr>
          <w:rFonts w:ascii="Times New Roman" w:hAnsi="Times New Roman" w:cs="Times New Roman"/>
          <w:sz w:val="24"/>
          <w:szCs w:val="24"/>
        </w:rPr>
      </w:pPr>
    </w:p>
    <w:p w:rsidR="00A74FE9" w:rsidRPr="002D35F8" w:rsidRDefault="00A74FE9" w:rsidP="00A74FE9">
      <w:pPr>
        <w:spacing w:after="0" w:line="240" w:lineRule="auto"/>
        <w:jc w:val="both"/>
        <w:rPr>
          <w:rFonts w:ascii="Times New Roman" w:hAnsi="Times New Roman" w:cs="Times New Roman"/>
          <w:sz w:val="24"/>
          <w:szCs w:val="24"/>
        </w:rPr>
      </w:pPr>
      <w:r w:rsidRPr="002D35F8">
        <w:rPr>
          <w:rFonts w:ascii="Times New Roman" w:hAnsi="Times New Roman" w:cs="Times New Roman"/>
          <w:sz w:val="24"/>
          <w:szCs w:val="24"/>
        </w:rPr>
        <w:t>Dodatočné zdroje, ktoré prinesie zvýšenie sadzb</w:t>
      </w:r>
      <w:r>
        <w:rPr>
          <w:rFonts w:ascii="Times New Roman" w:hAnsi="Times New Roman" w:cs="Times New Roman"/>
          <w:sz w:val="24"/>
          <w:szCs w:val="24"/>
        </w:rPr>
        <w:t>y poistného na verejné zdravotné</w:t>
      </w:r>
      <w:r w:rsidRPr="002D35F8">
        <w:rPr>
          <w:rFonts w:ascii="Times New Roman" w:hAnsi="Times New Roman" w:cs="Times New Roman"/>
          <w:sz w:val="24"/>
          <w:szCs w:val="24"/>
        </w:rPr>
        <w:t xml:space="preserve"> poistenie o 1% v sume 39</w:t>
      </w:r>
      <w:r>
        <w:rPr>
          <w:rFonts w:ascii="Times New Roman" w:hAnsi="Times New Roman" w:cs="Times New Roman"/>
          <w:sz w:val="24"/>
          <w:szCs w:val="24"/>
        </w:rPr>
        <w:t>9</w:t>
      </w:r>
      <w:r w:rsidRPr="002D35F8">
        <w:rPr>
          <w:rFonts w:ascii="Times New Roman" w:hAnsi="Times New Roman" w:cs="Times New Roman"/>
          <w:sz w:val="24"/>
          <w:szCs w:val="24"/>
        </w:rPr>
        <w:t xml:space="preserve"> mil. eur ročne je však potrebné upraviť (znížiť) </w:t>
      </w:r>
      <w:r>
        <w:rPr>
          <w:rFonts w:ascii="Times New Roman" w:hAnsi="Times New Roman" w:cs="Times New Roman"/>
          <w:sz w:val="24"/>
          <w:szCs w:val="24"/>
        </w:rPr>
        <w:t xml:space="preserve">o výpadok na firemnej dani. </w:t>
      </w:r>
      <w:r w:rsidRPr="002D35F8">
        <w:rPr>
          <w:rFonts w:ascii="Times New Roman" w:hAnsi="Times New Roman" w:cs="Times New Roman"/>
          <w:sz w:val="24"/>
          <w:szCs w:val="24"/>
        </w:rPr>
        <w:t>Predpokladáme negatívny vplyv na výpadok daní DPPO pri 21% dani z príjmov PO pre rok 2024 vo výške 4</w:t>
      </w:r>
      <w:r>
        <w:rPr>
          <w:rFonts w:ascii="Times New Roman" w:hAnsi="Times New Roman" w:cs="Times New Roman"/>
          <w:sz w:val="24"/>
          <w:szCs w:val="24"/>
        </w:rPr>
        <w:t>2</w:t>
      </w:r>
      <w:r w:rsidRPr="002D35F8">
        <w:rPr>
          <w:rFonts w:ascii="Times New Roman" w:hAnsi="Times New Roman" w:cs="Times New Roman"/>
          <w:sz w:val="24"/>
          <w:szCs w:val="24"/>
        </w:rPr>
        <w:t xml:space="preserve"> mil. eur, pre rok 2025 vo výške 44 mil. eur, pre rok 2026 vo výške 46 mil. eur.</w:t>
      </w:r>
    </w:p>
    <w:p w:rsidR="00A74FE9" w:rsidRPr="002D35F8" w:rsidRDefault="00A74FE9" w:rsidP="00A74FE9">
      <w:pPr>
        <w:spacing w:after="0" w:line="240" w:lineRule="auto"/>
        <w:jc w:val="both"/>
        <w:rPr>
          <w:rFonts w:ascii="Times New Roman" w:hAnsi="Times New Roman" w:cs="Times New Roman"/>
          <w:sz w:val="24"/>
          <w:szCs w:val="24"/>
        </w:rPr>
      </w:pPr>
    </w:p>
    <w:p w:rsidR="00A74FE9" w:rsidRPr="002D35F8" w:rsidRDefault="00A74FE9" w:rsidP="00A74FE9">
      <w:pPr>
        <w:spacing w:after="0" w:line="240" w:lineRule="auto"/>
        <w:jc w:val="both"/>
        <w:rPr>
          <w:rFonts w:ascii="Times New Roman" w:hAnsi="Times New Roman" w:cs="Times New Roman"/>
          <w:sz w:val="24"/>
          <w:szCs w:val="24"/>
        </w:rPr>
      </w:pPr>
      <w:r w:rsidRPr="002D35F8">
        <w:rPr>
          <w:rFonts w:ascii="Times New Roman" w:hAnsi="Times New Roman" w:cs="Times New Roman"/>
          <w:sz w:val="24"/>
          <w:szCs w:val="24"/>
        </w:rPr>
        <w:t>Predpokladáme negatívny vplyv na verejnú správu  - z dôvodu vyššieho poistné</w:t>
      </w:r>
      <w:r>
        <w:rPr>
          <w:rFonts w:ascii="Times New Roman" w:hAnsi="Times New Roman" w:cs="Times New Roman"/>
          <w:sz w:val="24"/>
          <w:szCs w:val="24"/>
        </w:rPr>
        <w:t>ho</w:t>
      </w:r>
      <w:r w:rsidRPr="002D35F8">
        <w:rPr>
          <w:rFonts w:ascii="Times New Roman" w:hAnsi="Times New Roman" w:cs="Times New Roman"/>
          <w:sz w:val="24"/>
          <w:szCs w:val="24"/>
        </w:rPr>
        <w:t xml:space="preserve"> 620 pre rok 2024 vo výške 96 mil. eur, pre rok 2025 vo výške 99 mil. eur</w:t>
      </w:r>
      <w:r>
        <w:rPr>
          <w:rFonts w:ascii="Times New Roman" w:hAnsi="Times New Roman" w:cs="Times New Roman"/>
          <w:sz w:val="24"/>
          <w:szCs w:val="24"/>
        </w:rPr>
        <w:t xml:space="preserve"> a</w:t>
      </w:r>
      <w:r w:rsidRPr="002D35F8">
        <w:rPr>
          <w:rFonts w:ascii="Times New Roman" w:hAnsi="Times New Roman" w:cs="Times New Roman"/>
          <w:sz w:val="24"/>
          <w:szCs w:val="24"/>
        </w:rPr>
        <w:t xml:space="preserve"> pre rok 2026 vo výške 102 mil. eur. </w:t>
      </w:r>
    </w:p>
    <w:p w:rsidR="00A74FE9" w:rsidRPr="002D35F8" w:rsidRDefault="00A74FE9" w:rsidP="00A74FE9">
      <w:pPr>
        <w:spacing w:after="0" w:line="240" w:lineRule="auto"/>
        <w:jc w:val="both"/>
        <w:rPr>
          <w:rFonts w:ascii="Times New Roman" w:hAnsi="Times New Roman" w:cs="Times New Roman"/>
          <w:sz w:val="24"/>
          <w:szCs w:val="24"/>
        </w:rPr>
      </w:pPr>
    </w:p>
    <w:p w:rsidR="00A74FE9" w:rsidRPr="002D35F8" w:rsidRDefault="00A74FE9" w:rsidP="00A74FE9">
      <w:pPr>
        <w:spacing w:after="0" w:line="240" w:lineRule="auto"/>
        <w:jc w:val="both"/>
        <w:rPr>
          <w:rFonts w:ascii="Times New Roman" w:hAnsi="Times New Roman" w:cs="Times New Roman"/>
          <w:sz w:val="24"/>
          <w:szCs w:val="24"/>
        </w:rPr>
      </w:pPr>
      <w:r w:rsidRPr="002D35F8">
        <w:rPr>
          <w:rFonts w:ascii="Times New Roman" w:hAnsi="Times New Roman" w:cs="Times New Roman"/>
          <w:sz w:val="24"/>
          <w:szCs w:val="24"/>
        </w:rPr>
        <w:t>Po</w:t>
      </w:r>
      <w:r>
        <w:rPr>
          <w:rFonts w:ascii="Times New Roman" w:hAnsi="Times New Roman" w:cs="Times New Roman"/>
          <w:sz w:val="24"/>
          <w:szCs w:val="24"/>
        </w:rPr>
        <w:t xml:space="preserve"> odpočítaní</w:t>
      </w:r>
      <w:r w:rsidRPr="002D35F8">
        <w:rPr>
          <w:rFonts w:ascii="Times New Roman" w:hAnsi="Times New Roman" w:cs="Times New Roman"/>
          <w:sz w:val="24"/>
          <w:szCs w:val="24"/>
        </w:rPr>
        <w:t xml:space="preserve"> negatívneho vplyvu na verejnú správu z dodatočných zdrojov zo zvýšenia sadzieb poistného na verejné zdravotné poistenie o 1% ide v roku 2024 o netto sumu pre verejné zdravotné poistenie vo výške 261 mil. eur, pre rok 2025 ide o netto sumu vo výške 278 mil.</w:t>
      </w:r>
      <w:r>
        <w:rPr>
          <w:rFonts w:ascii="Times New Roman" w:hAnsi="Times New Roman" w:cs="Times New Roman"/>
          <w:sz w:val="24"/>
          <w:szCs w:val="24"/>
        </w:rPr>
        <w:t xml:space="preserve"> eur a</w:t>
      </w:r>
      <w:r w:rsidRPr="002D35F8">
        <w:rPr>
          <w:rFonts w:ascii="Times New Roman" w:hAnsi="Times New Roman" w:cs="Times New Roman"/>
          <w:sz w:val="24"/>
          <w:szCs w:val="24"/>
        </w:rPr>
        <w:t xml:space="preserve"> pre rok 2026 ide o netto sumu 292 mil. eur.</w:t>
      </w:r>
    </w:p>
    <w:p w:rsidR="00A74FE9" w:rsidRPr="002D35F8" w:rsidRDefault="00A74FE9" w:rsidP="00A74FE9">
      <w:pPr>
        <w:spacing w:after="0" w:line="240" w:lineRule="auto"/>
        <w:jc w:val="both"/>
        <w:rPr>
          <w:rFonts w:ascii="Times New Roman" w:hAnsi="Times New Roman" w:cs="Times New Roman"/>
          <w:sz w:val="24"/>
          <w:szCs w:val="24"/>
        </w:rPr>
      </w:pPr>
    </w:p>
    <w:p w:rsidR="00A74FE9" w:rsidRPr="002E4052" w:rsidRDefault="00A74FE9" w:rsidP="00A74FE9">
      <w:pPr>
        <w:spacing w:after="0" w:line="240" w:lineRule="auto"/>
        <w:jc w:val="both"/>
        <w:rPr>
          <w:rFonts w:ascii="Times New Roman" w:hAnsi="Times New Roman" w:cs="Times New Roman"/>
          <w:sz w:val="24"/>
          <w:szCs w:val="24"/>
        </w:rPr>
      </w:pPr>
      <w:r w:rsidRPr="00743797">
        <w:rPr>
          <w:rFonts w:ascii="Times New Roman" w:hAnsi="Times New Roman" w:cs="Times New Roman"/>
          <w:sz w:val="24"/>
          <w:szCs w:val="24"/>
        </w:rPr>
        <w:t>Dodatočné zdroje získané so zvýšeného poistného budú použité na konsolidáciu nemocníc z dôvodu zamedzenia nového zadlžovania nemocníc.</w:t>
      </w:r>
      <w:r w:rsidRPr="002D35F8">
        <w:rPr>
          <w:rFonts w:ascii="Times New Roman" w:hAnsi="Times New Roman" w:cs="Times New Roman"/>
          <w:sz w:val="24"/>
          <w:szCs w:val="24"/>
        </w:rPr>
        <w:t xml:space="preserve"> </w:t>
      </w:r>
    </w:p>
    <w:p w:rsidR="00A74FE9"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B7470" w:rsidSect="001733E1">
          <w:pgSz w:w="11906" w:h="16838"/>
          <w:pgMar w:top="1440" w:right="1080" w:bottom="1440" w:left="1080" w:header="708" w:footer="708" w:gutter="0"/>
          <w:cols w:space="708"/>
          <w:docGrid w:linePitch="360"/>
        </w:sectPr>
      </w:pPr>
    </w:p>
    <w:p w:rsidR="00A74FE9" w:rsidRPr="007B7470" w:rsidRDefault="00A74FE9" w:rsidP="00A74FE9">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7B7470"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60"/>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single" w:sz="4" w:space="0" w:color="auto"/>
              <w:left w:val="nil"/>
              <w:bottom w:val="single" w:sz="4" w:space="0" w:color="auto"/>
              <w:right w:val="single" w:sz="4" w:space="0" w:color="auto"/>
            </w:tcBorders>
            <w:shd w:val="clear" w:color="auto" w:fill="auto"/>
            <w:vAlign w:val="center"/>
          </w:tcPr>
          <w:p w:rsidR="00A74FE9" w:rsidRPr="00482699" w:rsidRDefault="00A74FE9" w:rsidP="00A74FE9">
            <w:pPr>
              <w:jc w:val="center"/>
              <w:rPr>
                <w:rFonts w:ascii="Times New Roman" w:hAnsi="Times New Roman" w:cs="Times New Roman"/>
              </w:rPr>
            </w:pPr>
            <w:r w:rsidRPr="00AC1E0A">
              <w:rPr>
                <w:rFonts w:ascii="Times New Roman" w:eastAsia="Times New Roman" w:hAnsi="Times New Roman" w:cs="Times New Roman"/>
                <w:bCs/>
                <w:color w:val="000000"/>
                <w:sz w:val="20"/>
                <w:szCs w:val="20"/>
                <w:lang w:eastAsia="sk-SK"/>
              </w:rPr>
              <w:t>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A74FE9" w:rsidRPr="00482699" w:rsidRDefault="00A74FE9" w:rsidP="00A74FE9">
            <w:pPr>
              <w:jc w:val="center"/>
              <w:rPr>
                <w:rFonts w:ascii="Times New Roman" w:hAnsi="Times New Roman" w:cs="Times New Roman"/>
              </w:rPr>
            </w:pPr>
            <w:r w:rsidRPr="00AC1E0A">
              <w:rPr>
                <w:rFonts w:ascii="Times New Roman" w:eastAsia="Times New Roman" w:hAnsi="Times New Roman" w:cs="Times New Roman"/>
                <w:bCs/>
                <w:color w:val="000000"/>
                <w:sz w:val="20"/>
                <w:szCs w:val="20"/>
                <w:lang w:eastAsia="sk-SK"/>
              </w:rPr>
              <w:t>357 000 000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A74FE9" w:rsidRPr="00482699" w:rsidRDefault="00A74FE9" w:rsidP="00A74FE9">
            <w:pPr>
              <w:jc w:val="center"/>
              <w:rPr>
                <w:rFonts w:ascii="Times New Roman" w:hAnsi="Times New Roman" w:cs="Times New Roman"/>
              </w:rPr>
            </w:pPr>
            <w:r w:rsidRPr="00AC1E0A">
              <w:rPr>
                <w:rFonts w:ascii="Times New Roman" w:eastAsia="Times New Roman" w:hAnsi="Times New Roman" w:cs="Times New Roman"/>
                <w:bCs/>
                <w:color w:val="000000"/>
                <w:sz w:val="20"/>
                <w:szCs w:val="20"/>
                <w:lang w:eastAsia="sk-SK"/>
              </w:rPr>
              <w:t>377 000 000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A74FE9" w:rsidRPr="00482699" w:rsidRDefault="00A74FE9" w:rsidP="00A74FE9">
            <w:pPr>
              <w:jc w:val="center"/>
              <w:rPr>
                <w:rFonts w:ascii="Times New Roman" w:hAnsi="Times New Roman" w:cs="Times New Roman"/>
              </w:rPr>
            </w:pPr>
            <w:r w:rsidRPr="00AC1E0A">
              <w:rPr>
                <w:rFonts w:ascii="Times New Roman" w:eastAsia="Times New Roman" w:hAnsi="Times New Roman" w:cs="Times New Roman"/>
                <w:bCs/>
                <w:color w:val="000000"/>
                <w:sz w:val="20"/>
                <w:szCs w:val="20"/>
                <w:lang w:eastAsia="sk-SK"/>
              </w:rPr>
              <w:t>394 000 000</w:t>
            </w:r>
          </w:p>
        </w:tc>
        <w:tc>
          <w:tcPr>
            <w:tcW w:w="3000" w:type="dxa"/>
            <w:tcBorders>
              <w:top w:val="nil"/>
              <w:left w:val="single" w:sz="4" w:space="0" w:color="auto"/>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74FE9" w:rsidRPr="002E4052" w:rsidRDefault="00A74FE9" w:rsidP="00A74FE9">
            <w:pPr>
              <w:jc w:val="center"/>
              <w:rPr>
                <w:rFonts w:ascii="Times New Roman" w:hAnsi="Times New Roman" w:cs="Times New Roman"/>
                <w:b/>
              </w:rPr>
            </w:pPr>
            <w:r w:rsidRPr="009B3767">
              <w:rPr>
                <w:rFonts w:ascii="Times New Roman" w:eastAsia="Times New Roman" w:hAnsi="Times New Roman" w:cs="Times New Roman"/>
                <w:b/>
                <w:bCs/>
                <w:color w:val="000000"/>
                <w:sz w:val="20"/>
                <w:szCs w:val="20"/>
                <w:lang w:eastAsia="sk-SK"/>
              </w:rPr>
              <w:t>0</w:t>
            </w:r>
          </w:p>
        </w:tc>
        <w:tc>
          <w:tcPr>
            <w:tcW w:w="1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2E4052" w:rsidRDefault="00A74FE9" w:rsidP="00A74FE9">
            <w:pPr>
              <w:jc w:val="center"/>
              <w:rPr>
                <w:rFonts w:ascii="Times New Roman" w:hAnsi="Times New Roman" w:cs="Times New Roman"/>
                <w:b/>
              </w:rPr>
            </w:pPr>
            <w:r w:rsidRPr="009B3767">
              <w:rPr>
                <w:rFonts w:ascii="Times New Roman" w:eastAsia="Times New Roman" w:hAnsi="Times New Roman" w:cs="Times New Roman"/>
                <w:b/>
                <w:bCs/>
                <w:color w:val="000000"/>
                <w:sz w:val="20"/>
                <w:szCs w:val="20"/>
                <w:lang w:eastAsia="sk-SK"/>
              </w:rPr>
              <w:t>357 000 000</w:t>
            </w:r>
          </w:p>
        </w:tc>
        <w:tc>
          <w:tcPr>
            <w:tcW w:w="1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2E4052" w:rsidRDefault="00A74FE9" w:rsidP="00A74FE9">
            <w:pPr>
              <w:jc w:val="center"/>
              <w:rPr>
                <w:rFonts w:ascii="Times New Roman" w:hAnsi="Times New Roman" w:cs="Times New Roman"/>
                <w:b/>
              </w:rPr>
            </w:pPr>
            <w:r w:rsidRPr="009B3767">
              <w:rPr>
                <w:rFonts w:ascii="Times New Roman" w:eastAsia="Times New Roman" w:hAnsi="Times New Roman" w:cs="Times New Roman"/>
                <w:b/>
                <w:bCs/>
                <w:color w:val="000000"/>
                <w:sz w:val="20"/>
                <w:szCs w:val="20"/>
                <w:lang w:eastAsia="sk-SK"/>
              </w:rPr>
              <w:t>377 000 000</w:t>
            </w:r>
          </w:p>
        </w:tc>
        <w:tc>
          <w:tcPr>
            <w:tcW w:w="1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2E4052" w:rsidRDefault="00A74FE9" w:rsidP="00A74FE9">
            <w:pPr>
              <w:jc w:val="center"/>
              <w:rPr>
                <w:rFonts w:ascii="Times New Roman" w:hAnsi="Times New Roman" w:cs="Times New Roman"/>
                <w:b/>
              </w:rPr>
            </w:pPr>
            <w:r w:rsidRPr="009B3767">
              <w:rPr>
                <w:rFonts w:ascii="Times New Roman" w:eastAsia="Times New Roman" w:hAnsi="Times New Roman" w:cs="Times New Roman"/>
                <w:b/>
                <w:bCs/>
                <w:color w:val="000000"/>
                <w:sz w:val="20"/>
                <w:szCs w:val="20"/>
                <w:lang w:eastAsia="sk-SK"/>
              </w:rPr>
              <w:t>394 000 000</w:t>
            </w:r>
          </w:p>
        </w:tc>
        <w:tc>
          <w:tcPr>
            <w:tcW w:w="300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7B7470"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8F4B11">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color w:val="000000"/>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color w:val="000000"/>
                <w:sz w:val="20"/>
                <w:szCs w:val="20"/>
                <w:lang w:eastAsia="sk-SK"/>
              </w:rPr>
              <w:t>96 000 000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color w:val="000000"/>
                <w:sz w:val="20"/>
                <w:szCs w:val="20"/>
                <w:lang w:eastAsia="sk-SK"/>
              </w:rPr>
              <w:t>99 000 000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102 000 000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346BE3" w:rsidRDefault="00A74FE9" w:rsidP="00A74FE9">
            <w:pPr>
              <w:rPr>
                <w:rFonts w:ascii="Times New Roman" w:hAnsi="Times New Roman" w:cs="Times New Roman"/>
              </w:rPr>
            </w:pPr>
          </w:p>
        </w:tc>
        <w:tc>
          <w:tcPr>
            <w:tcW w:w="1650" w:type="dxa"/>
            <w:tcBorders>
              <w:top w:val="nil"/>
              <w:left w:val="nil"/>
              <w:bottom w:val="single" w:sz="4" w:space="0" w:color="auto"/>
              <w:right w:val="single" w:sz="4" w:space="0" w:color="auto"/>
            </w:tcBorders>
          </w:tcPr>
          <w:p w:rsidR="00A74FE9" w:rsidRPr="00346BE3" w:rsidRDefault="00A74FE9" w:rsidP="00A74FE9">
            <w:pPr>
              <w:rPr>
                <w:rFonts w:ascii="Times New Roman" w:hAnsi="Times New Roman" w:cs="Times New Roman"/>
              </w:rPr>
            </w:pPr>
          </w:p>
        </w:tc>
        <w:tc>
          <w:tcPr>
            <w:tcW w:w="1540" w:type="dxa"/>
            <w:tcBorders>
              <w:top w:val="nil"/>
              <w:left w:val="nil"/>
              <w:bottom w:val="single" w:sz="4" w:space="0" w:color="auto"/>
              <w:right w:val="single" w:sz="4" w:space="0" w:color="auto"/>
            </w:tcBorders>
          </w:tcPr>
          <w:p w:rsidR="00A74FE9" w:rsidRPr="00346BE3" w:rsidRDefault="00A74FE9" w:rsidP="00A74FE9">
            <w:pPr>
              <w:rPr>
                <w:rFonts w:ascii="Times New Roman" w:hAnsi="Times New Roman" w:cs="Times New Roman"/>
              </w:rPr>
            </w:pPr>
          </w:p>
        </w:tc>
        <w:tc>
          <w:tcPr>
            <w:tcW w:w="1540" w:type="dxa"/>
            <w:tcBorders>
              <w:top w:val="nil"/>
              <w:left w:val="nil"/>
              <w:bottom w:val="single" w:sz="4" w:space="0" w:color="auto"/>
              <w:right w:val="single" w:sz="4" w:space="0" w:color="auto"/>
            </w:tcBorders>
          </w:tcPr>
          <w:p w:rsidR="00A74FE9" w:rsidRPr="00346BE3" w:rsidRDefault="00A74FE9" w:rsidP="00A74FE9">
            <w:pPr>
              <w:rPr>
                <w:rFonts w:ascii="Times New Roman" w:hAnsi="Times New Roman" w:cs="Times New Roman"/>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
                <w:bCs/>
                <w:color w:val="000000"/>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
                <w:bCs/>
                <w:color w:val="000000"/>
                <w:sz w:val="20"/>
                <w:szCs w:val="20"/>
                <w:lang w:eastAsia="sk-SK"/>
              </w:rPr>
              <w:t>96 000 000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
                <w:bCs/>
                <w:color w:val="000000"/>
                <w:sz w:val="20"/>
                <w:szCs w:val="20"/>
                <w:lang w:eastAsia="sk-SK"/>
              </w:rPr>
              <w:t>99 000 000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0"/>
                <w:szCs w:val="20"/>
                <w:lang w:eastAsia="sk-SK"/>
              </w:rPr>
              <w:t>102 000 000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29"/>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single" w:sz="4" w:space="0" w:color="auto"/>
              <w:left w:val="nil"/>
              <w:bottom w:val="single" w:sz="4" w:space="0" w:color="auto"/>
              <w:right w:val="single" w:sz="4" w:space="0" w:color="auto"/>
            </w:tcBorders>
            <w:shd w:val="clear" w:color="auto" w:fill="auto"/>
          </w:tcPr>
          <w:p w:rsidR="00A74FE9" w:rsidRPr="002E4052" w:rsidRDefault="00A74FE9" w:rsidP="00A74FE9">
            <w:pP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A74FE9" w:rsidRPr="002E4052" w:rsidRDefault="00A74FE9" w:rsidP="00A74FE9">
            <w:pP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A74FE9" w:rsidRPr="002E4052" w:rsidRDefault="00A74FE9" w:rsidP="00A74FE9">
            <w:pP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A74FE9" w:rsidRPr="002E4052" w:rsidRDefault="00A74FE9" w:rsidP="00A74FE9">
            <w:pPr>
              <w:rPr>
                <w:rFonts w:ascii="Times New Roman" w:hAnsi="Times New Roman" w:cs="Times New Roman"/>
              </w:rPr>
            </w:pPr>
          </w:p>
        </w:tc>
        <w:tc>
          <w:tcPr>
            <w:tcW w:w="1649" w:type="dxa"/>
            <w:tcBorders>
              <w:top w:val="nil"/>
              <w:left w:val="single" w:sz="4" w:space="0" w:color="auto"/>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000000" w:fill="C0C0C0"/>
            <w:vAlign w:val="center"/>
          </w:tcPr>
          <w:p w:rsidR="00A74FE9" w:rsidRPr="002E4052" w:rsidRDefault="00A74FE9" w:rsidP="00A74FE9">
            <w:pPr>
              <w:jc w:val="right"/>
              <w:rPr>
                <w:rFonts w:ascii="Times New Roman" w:hAnsi="Times New Roman" w:cs="Times New Roman"/>
                <w:b/>
              </w:rPr>
            </w:pPr>
            <w:r>
              <w:rPr>
                <w:rFonts w:ascii="Times New Roman" w:eastAsia="Times New Roman" w:hAnsi="Times New Roman" w:cs="Times New Roman"/>
                <w:b/>
                <w:bCs/>
                <w:color w:val="000000"/>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000000" w:fill="C0C0C0"/>
            <w:vAlign w:val="center"/>
          </w:tcPr>
          <w:p w:rsidR="00A74FE9" w:rsidRPr="002E4052" w:rsidRDefault="00A74FE9" w:rsidP="00A74FE9">
            <w:pPr>
              <w:jc w:val="right"/>
              <w:rPr>
                <w:rFonts w:ascii="Times New Roman" w:hAnsi="Times New Roman" w:cs="Times New Roman"/>
                <w:b/>
              </w:rPr>
            </w:pPr>
            <w:r>
              <w:rPr>
                <w:rFonts w:ascii="Times New Roman" w:eastAsia="Times New Roman" w:hAnsi="Times New Roman" w:cs="Times New Roman"/>
                <w:b/>
                <w:bCs/>
                <w:color w:val="000000"/>
                <w:sz w:val="20"/>
                <w:szCs w:val="20"/>
                <w:lang w:eastAsia="sk-SK"/>
              </w:rPr>
              <w:t>96 000 000</w:t>
            </w:r>
          </w:p>
        </w:tc>
        <w:tc>
          <w:tcPr>
            <w:tcW w:w="1540" w:type="dxa"/>
            <w:tcBorders>
              <w:top w:val="single" w:sz="4" w:space="0" w:color="auto"/>
              <w:left w:val="single" w:sz="4" w:space="0" w:color="auto"/>
              <w:bottom w:val="single" w:sz="4" w:space="0" w:color="auto"/>
              <w:right w:val="single" w:sz="4" w:space="0" w:color="auto"/>
            </w:tcBorders>
            <w:shd w:val="clear" w:color="000000" w:fill="C0C0C0"/>
            <w:vAlign w:val="center"/>
          </w:tcPr>
          <w:p w:rsidR="00A74FE9" w:rsidRPr="002E4052" w:rsidRDefault="00A74FE9" w:rsidP="00A74FE9">
            <w:pPr>
              <w:jc w:val="right"/>
              <w:rPr>
                <w:rFonts w:ascii="Times New Roman" w:hAnsi="Times New Roman" w:cs="Times New Roman"/>
                <w:b/>
              </w:rPr>
            </w:pPr>
            <w:r>
              <w:rPr>
                <w:rFonts w:ascii="Times New Roman" w:eastAsia="Times New Roman" w:hAnsi="Times New Roman" w:cs="Times New Roman"/>
                <w:b/>
                <w:bCs/>
                <w:color w:val="000000"/>
                <w:sz w:val="20"/>
                <w:szCs w:val="20"/>
                <w:lang w:eastAsia="sk-SK"/>
              </w:rPr>
              <w:t>99 000 000</w:t>
            </w:r>
          </w:p>
        </w:tc>
        <w:tc>
          <w:tcPr>
            <w:tcW w:w="1540" w:type="dxa"/>
            <w:tcBorders>
              <w:top w:val="single" w:sz="4" w:space="0" w:color="auto"/>
              <w:left w:val="single" w:sz="4" w:space="0" w:color="auto"/>
              <w:bottom w:val="single" w:sz="4" w:space="0" w:color="auto"/>
              <w:right w:val="single" w:sz="4" w:space="0" w:color="auto"/>
            </w:tcBorders>
            <w:shd w:val="clear" w:color="000000" w:fill="C0C0C0"/>
            <w:vAlign w:val="center"/>
          </w:tcPr>
          <w:p w:rsidR="00A74FE9" w:rsidRPr="002E4052" w:rsidRDefault="00A74FE9" w:rsidP="00A74FE9">
            <w:pPr>
              <w:jc w:val="right"/>
              <w:rPr>
                <w:rFonts w:ascii="Times New Roman" w:hAnsi="Times New Roman" w:cs="Times New Roman"/>
                <w:b/>
              </w:rPr>
            </w:pPr>
            <w:r>
              <w:rPr>
                <w:rFonts w:ascii="Times New Roman" w:eastAsia="Times New Roman" w:hAnsi="Times New Roman" w:cs="Times New Roman"/>
                <w:b/>
                <w:bCs/>
                <w:color w:val="000000"/>
                <w:sz w:val="20"/>
                <w:szCs w:val="20"/>
                <w:lang w:eastAsia="sk-SK"/>
              </w:rPr>
              <w:t>102 000 000</w:t>
            </w:r>
          </w:p>
        </w:tc>
        <w:tc>
          <w:tcPr>
            <w:tcW w:w="16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7B7470"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4FE9" w:rsidRPr="007B7470"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A7489A">
              <w:rPr>
                <w:rFonts w:ascii="Times New Roman" w:eastAsia="Times New Roman" w:hAnsi="Times New Roman" w:cs="Times New Roman"/>
                <w:b/>
                <w:bCs/>
                <w:color w:val="000000" w:themeColor="text1"/>
                <w:sz w:val="20"/>
                <w:szCs w:val="20"/>
                <w:lang w:eastAsia="sk-SK"/>
              </w:rPr>
              <w:t>202</w:t>
            </w:r>
            <w:r>
              <w:rPr>
                <w:rFonts w:ascii="Times New Roman" w:eastAsia="Times New Roman" w:hAnsi="Times New Roman" w:cs="Times New Roman"/>
                <w:b/>
                <w:bCs/>
                <w:color w:val="000000" w:themeColor="text1"/>
                <w:sz w:val="20"/>
                <w:szCs w:val="20"/>
                <w:lang w:eastAsia="sk-SK"/>
              </w:rPr>
              <w:t>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A74FE9" w:rsidRPr="007B7470"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96 000 000</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99 000 000</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102 000 000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0</w:t>
            </w:r>
          </w:p>
        </w:tc>
        <w:tc>
          <w:tcPr>
            <w:tcW w:w="1788"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96 000 000</w:t>
            </w:r>
          </w:p>
        </w:tc>
        <w:tc>
          <w:tcPr>
            <w:tcW w:w="1878" w:type="dxa"/>
            <w:gridSpan w:val="2"/>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99 000 000</w:t>
            </w:r>
          </w:p>
        </w:tc>
        <w:tc>
          <w:tcPr>
            <w:tcW w:w="156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0"/>
                <w:szCs w:val="20"/>
                <w:lang w:eastAsia="sk-SK"/>
              </w:rPr>
              <w:t>102 000 000</w:t>
            </w: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6188" w:type="dxa"/>
            <w:tcBorders>
              <w:top w:val="nil"/>
              <w:left w:val="nil"/>
              <w:bottom w:val="nil"/>
              <w:right w:val="nil"/>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13112" w:type="dxa"/>
            <w:gridSpan w:val="6"/>
            <w:tcBorders>
              <w:top w:val="nil"/>
              <w:left w:val="nil"/>
              <w:bottom w:val="nil"/>
              <w:right w:val="nil"/>
            </w:tcBorders>
            <w:noWrap/>
          </w:tcPr>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10394" w:type="dxa"/>
            <w:gridSpan w:val="4"/>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bl>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rsidR="00A74FE9" w:rsidRPr="007B7470" w:rsidRDefault="00A74FE9" w:rsidP="00A74FE9">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A74FE9" w:rsidRPr="007B7470" w:rsidRDefault="00A74FE9" w:rsidP="00A74FE9">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74FE9" w:rsidRPr="007B7470" w:rsidTr="00A74FE9">
        <w:trPr>
          <w:trHeight w:val="284"/>
        </w:trPr>
        <w:tc>
          <w:tcPr>
            <w:tcW w:w="2943" w:type="dxa"/>
            <w:vMerge w:val="restart"/>
            <w:shd w:val="clear" w:color="auto" w:fill="BFBFBF" w:themeFill="background1" w:themeFillShade="BF"/>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A74FE9" w:rsidRPr="007B7470" w:rsidTr="00A74FE9">
        <w:trPr>
          <w:trHeight w:val="284"/>
        </w:trPr>
        <w:tc>
          <w:tcPr>
            <w:tcW w:w="2943" w:type="dxa"/>
            <w:vMerge/>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vAlign w:val="bottom"/>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A74FE9" w:rsidRPr="001E00B0" w:rsidRDefault="00A74FE9" w:rsidP="00A74FE9">
      <w:pPr>
        <w:spacing w:after="0" w:line="240" w:lineRule="auto"/>
        <w:jc w:val="both"/>
        <w:rPr>
          <w:rFonts w:ascii="Times New Roman" w:eastAsia="Times New Roman" w:hAnsi="Times New Roman" w:cs="Times New Roman"/>
          <w:sz w:val="24"/>
          <w:szCs w:val="24"/>
          <w:lang w:eastAsia="sk-SK"/>
        </w:rPr>
        <w:sectPr w:rsidR="00A74FE9" w:rsidRPr="001E00B0">
          <w:pgSz w:w="16838" w:h="11906" w:orient="landscape"/>
          <w:pgMar w:top="1418" w:right="1418" w:bottom="1418" w:left="1418" w:header="709" w:footer="709" w:gutter="0"/>
          <w:cols w:space="708"/>
          <w:docGrid w:linePitch="360"/>
        </w:sect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w:t>
      </w:r>
      <w:r>
        <w:rPr>
          <w:rFonts w:ascii="Times New Roman" w:eastAsia="Times New Roman" w:hAnsi="Times New Roman" w:cs="Times New Roman"/>
          <w:sz w:val="24"/>
          <w:szCs w:val="24"/>
          <w:lang w:eastAsia="sk-SK"/>
        </w:rPr>
        <w:t xml:space="preserve">a všetkých opatrení súčasne.“  </w:t>
      </w: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A74FE9" w:rsidRDefault="00A74FE9" w:rsidP="00A74FE9">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A74FE9" w:rsidRPr="007D5748" w:rsidRDefault="00A74FE9" w:rsidP="00A74FE9">
      <w:pPr>
        <w:spacing w:after="0" w:line="240" w:lineRule="auto"/>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(Zákon o štátnych sviatkoch)</w:t>
      </w:r>
    </w:p>
    <w:p w:rsidR="00A74FE9" w:rsidRPr="00212894"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212894" w:rsidRDefault="00A74FE9" w:rsidP="00A74FE9">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A74FE9" w:rsidRDefault="00A74FE9" w:rsidP="00A74FE9">
      <w:pPr>
        <w:spacing w:after="0" w:line="240" w:lineRule="auto"/>
        <w:jc w:val="right"/>
        <w:rPr>
          <w:rFonts w:ascii="Times New Roman" w:eastAsia="Times New Roman" w:hAnsi="Times New Roman" w:cs="Times New Roman"/>
          <w:sz w:val="20"/>
          <w:szCs w:val="20"/>
          <w:lang w:eastAsia="sk-SK"/>
        </w:rPr>
      </w:pPr>
    </w:p>
    <w:p w:rsidR="00A74FE9" w:rsidRPr="007D5748" w:rsidRDefault="00A74FE9" w:rsidP="00A74FE9">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74FE9" w:rsidRPr="00074C97" w:rsidTr="00A74FE9">
        <w:trPr>
          <w:cantSplit/>
          <w:trHeight w:val="194"/>
          <w:jc w:val="center"/>
        </w:trPr>
        <w:tc>
          <w:tcPr>
            <w:tcW w:w="4498" w:type="dxa"/>
            <w:vMerge w:val="restart"/>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Vplyvy na rozpočet verejnej správy</w:t>
            </w:r>
          </w:p>
        </w:tc>
        <w:tc>
          <w:tcPr>
            <w:tcW w:w="5523" w:type="dxa"/>
            <w:gridSpan w:val="4"/>
            <w:shd w:val="clear" w:color="auto" w:fill="BFBFBF" w:themeFill="background1" w:themeFillShade="BF"/>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r w:rsidRPr="00074C97">
              <w:rPr>
                <w:rFonts w:ascii="Times New Roman" w:eastAsia="Times New Roman" w:hAnsi="Times New Roman" w:cs="Times New Roman"/>
                <w:b/>
                <w:bCs/>
                <w:sz w:val="24"/>
                <w:szCs w:val="24"/>
                <w:lang w:eastAsia="sk-SK"/>
              </w:rPr>
              <w:t>Vplyv na rozpočet verejnej správy (v eurách)</w:t>
            </w:r>
          </w:p>
        </w:tc>
      </w:tr>
      <w:tr w:rsidR="00A74FE9" w:rsidRPr="00074C97" w:rsidTr="00A74FE9">
        <w:trPr>
          <w:cantSplit/>
          <w:trHeight w:val="70"/>
          <w:jc w:val="center"/>
        </w:trPr>
        <w:tc>
          <w:tcPr>
            <w:tcW w:w="4498" w:type="dxa"/>
            <w:vMerge/>
            <w:vAlign w:val="center"/>
          </w:tcPr>
          <w:p w:rsidR="00A74FE9" w:rsidRPr="00074C97"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2023</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2024</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2025</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rsidR="00A74FE9" w:rsidRPr="00074C97" w:rsidRDefault="00A74FE9" w:rsidP="00A74FE9">
            <w:pPr>
              <w:spacing w:after="0"/>
              <w:jc w:val="center"/>
              <w:rPr>
                <w:rFonts w:ascii="Times New Roman" w:hAnsi="Times New Roman" w:cs="Times New Roman"/>
                <w:b/>
                <w:bCs/>
                <w:color w:val="000000"/>
              </w:rPr>
            </w:pPr>
            <w:r w:rsidRPr="00074C97">
              <w:rPr>
                <w:rFonts w:ascii="Times New Roman" w:hAnsi="Times New Roman" w:cs="Times New Roman"/>
                <w:b/>
                <w:bCs/>
                <w:color w:val="000000"/>
              </w:rPr>
              <w:t>2026</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12 000 000</w:t>
            </w:r>
          </w:p>
        </w:tc>
        <w:tc>
          <w:tcPr>
            <w:tcW w:w="1417" w:type="dxa"/>
            <w:tcBorders>
              <w:top w:val="single" w:sz="8" w:space="0" w:color="auto"/>
              <w:left w:val="nil"/>
              <w:bottom w:val="single" w:sz="8" w:space="0" w:color="auto"/>
              <w:right w:val="single" w:sz="8" w:space="0" w:color="auto"/>
            </w:tcBorders>
            <w:shd w:val="clear" w:color="auto" w:fill="C0C0C0"/>
            <w:vAlign w:val="center"/>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130 000 000</w:t>
            </w:r>
          </w:p>
        </w:tc>
        <w:tc>
          <w:tcPr>
            <w:tcW w:w="1521" w:type="dxa"/>
            <w:tcBorders>
              <w:top w:val="single" w:sz="8" w:space="0" w:color="auto"/>
              <w:left w:val="nil"/>
              <w:bottom w:val="single" w:sz="8" w:space="0" w:color="auto"/>
              <w:right w:val="single" w:sz="8" w:space="0" w:color="auto"/>
            </w:tcBorders>
            <w:shd w:val="clear" w:color="auto" w:fill="C0C0C0"/>
            <w:vAlign w:val="center"/>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130 000 000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5 539 834</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59 220 041</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53 652 226</w:t>
            </w:r>
          </w:p>
        </w:tc>
      </w:tr>
      <w:tr w:rsidR="00A74FE9" w:rsidRPr="00074C97" w:rsidTr="00A74FE9">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5 539 834</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59 220 041</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53 652 226</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 xml:space="preserve">v tom: (111) daň z príjmov fyzických osôb </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256 784</w:t>
            </w:r>
          </w:p>
        </w:tc>
        <w:tc>
          <w:tcPr>
            <w:tcW w:w="1417"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2 559 636</w:t>
            </w:r>
          </w:p>
        </w:tc>
        <w:tc>
          <w:tcPr>
            <w:tcW w:w="1521"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156 818</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(112) daň z príjmov právnických osôb</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124C9A" w:rsidRDefault="00A74FE9" w:rsidP="00A74FE9">
            <w:pPr>
              <w:spacing w:after="0"/>
              <w:jc w:val="right"/>
              <w:rPr>
                <w:rFonts w:ascii="Times New Roman" w:hAnsi="Times New Roman" w:cs="Times New Roman"/>
              </w:rPr>
            </w:pPr>
            <w:r w:rsidRPr="00392892">
              <w:rPr>
                <w:rFonts w:ascii="Times New Roman" w:hAnsi="Times New Roman" w:cs="Times New Roman"/>
              </w:rPr>
              <w:t>1 736 427</w:t>
            </w:r>
          </w:p>
        </w:tc>
        <w:tc>
          <w:tcPr>
            <w:tcW w:w="1417" w:type="dxa"/>
            <w:tcBorders>
              <w:top w:val="nil"/>
              <w:left w:val="nil"/>
              <w:bottom w:val="single" w:sz="8" w:space="0" w:color="auto"/>
              <w:right w:val="single" w:sz="8" w:space="0" w:color="auto"/>
            </w:tcBorders>
            <w:shd w:val="clear" w:color="auto" w:fill="auto"/>
            <w:noWrap/>
          </w:tcPr>
          <w:p w:rsidR="00A74FE9" w:rsidRPr="00124C9A" w:rsidRDefault="00A74FE9" w:rsidP="00A74FE9">
            <w:pPr>
              <w:spacing w:after="0"/>
              <w:jc w:val="right"/>
              <w:rPr>
                <w:rFonts w:ascii="Times New Roman" w:hAnsi="Times New Roman" w:cs="Times New Roman"/>
              </w:rPr>
            </w:pPr>
            <w:r w:rsidRPr="00392892">
              <w:rPr>
                <w:rFonts w:ascii="Times New Roman" w:hAnsi="Times New Roman" w:cs="Times New Roman"/>
              </w:rPr>
              <w:t>15 039 669</w:t>
            </w:r>
          </w:p>
        </w:tc>
        <w:tc>
          <w:tcPr>
            <w:tcW w:w="1521" w:type="dxa"/>
            <w:tcBorders>
              <w:top w:val="nil"/>
              <w:left w:val="nil"/>
              <w:bottom w:val="single" w:sz="8" w:space="0" w:color="auto"/>
              <w:right w:val="single" w:sz="8" w:space="0" w:color="auto"/>
            </w:tcBorders>
            <w:shd w:val="clear" w:color="auto" w:fill="auto"/>
            <w:noWrap/>
          </w:tcPr>
          <w:p w:rsidR="00A74FE9" w:rsidRPr="00124C9A" w:rsidRDefault="00A74FE9" w:rsidP="00A74FE9">
            <w:pPr>
              <w:spacing w:after="0"/>
              <w:jc w:val="right"/>
              <w:rPr>
                <w:rFonts w:ascii="Times New Roman" w:hAnsi="Times New Roman" w:cs="Times New Roman"/>
              </w:rPr>
            </w:pPr>
            <w:r w:rsidRPr="00392892">
              <w:rPr>
                <w:rFonts w:ascii="Times New Roman" w:hAnsi="Times New Roman" w:cs="Times New Roman"/>
              </w:rPr>
              <w:t>13 588 709</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(113) daň z príjmov vyberaná zrážkou</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103 288</w:t>
            </w:r>
          </w:p>
        </w:tc>
        <w:tc>
          <w:tcPr>
            <w:tcW w:w="1417"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944 843</w:t>
            </w:r>
          </w:p>
        </w:tc>
        <w:tc>
          <w:tcPr>
            <w:tcW w:w="1521"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988 021</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(131) daň z pridanej hodnoty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2 707 678</w:t>
            </w:r>
          </w:p>
        </w:tc>
        <w:tc>
          <w:tcPr>
            <w:tcW w:w="1417"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33 481 917</w:t>
            </w:r>
          </w:p>
        </w:tc>
        <w:tc>
          <w:tcPr>
            <w:tcW w:w="1521"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32 839 072</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(132) spotrebné dane</w:t>
            </w:r>
          </w:p>
        </w:tc>
        <w:tc>
          <w:tcPr>
            <w:tcW w:w="1026"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735 658</w:t>
            </w:r>
          </w:p>
        </w:tc>
        <w:tc>
          <w:tcPr>
            <w:tcW w:w="1417"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7 193 976</w:t>
            </w:r>
          </w:p>
        </w:tc>
        <w:tc>
          <w:tcPr>
            <w:tcW w:w="1521"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6 079 607</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E425AF">
              <w:rPr>
                <w:rFonts w:ascii="Times New Roman" w:hAnsi="Times New Roman" w:cs="Times New Roman"/>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898 744</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10 037 220</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12 377 829</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v tom: (112) daň z príjmov fyzických osôb</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898 744</w:t>
            </w:r>
          </w:p>
        </w:tc>
        <w:tc>
          <w:tcPr>
            <w:tcW w:w="1417"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10 037 220</w:t>
            </w:r>
          </w:p>
        </w:tc>
        <w:tc>
          <w:tcPr>
            <w:tcW w:w="1521"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12 377 829</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385 176</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4 301 666</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5 304 784</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v tom: (112) daň z príjmov fyzických osôb</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385 176</w:t>
            </w:r>
          </w:p>
        </w:tc>
        <w:tc>
          <w:tcPr>
            <w:tcW w:w="1417"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4 301 666</w:t>
            </w:r>
          </w:p>
        </w:tc>
        <w:tc>
          <w:tcPr>
            <w:tcW w:w="1521" w:type="dxa"/>
            <w:tcBorders>
              <w:top w:val="nil"/>
              <w:left w:val="nil"/>
              <w:bottom w:val="single" w:sz="8" w:space="0" w:color="auto"/>
              <w:right w:val="single" w:sz="8" w:space="0" w:color="auto"/>
            </w:tcBorders>
            <w:shd w:val="clear" w:color="auto" w:fill="auto"/>
            <w:noWrap/>
          </w:tcPr>
          <w:p w:rsidR="00A74FE9" w:rsidRPr="00E425AF" w:rsidRDefault="00A74FE9" w:rsidP="00A74FE9">
            <w:pPr>
              <w:spacing w:after="0"/>
              <w:jc w:val="right"/>
              <w:rPr>
                <w:rFonts w:ascii="Times New Roman" w:hAnsi="Times New Roman" w:cs="Times New Roman"/>
              </w:rPr>
            </w:pPr>
            <w:r w:rsidRPr="00392892">
              <w:rPr>
                <w:rFonts w:ascii="Times New Roman" w:hAnsi="Times New Roman" w:cs="Times New Roman"/>
              </w:rPr>
              <w:t>5 304 784</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rPr>
                <w:rFonts w:ascii="Times New Roman" w:hAnsi="Times New Roman" w:cs="Times New Roman"/>
                <w:b/>
                <w:bCs/>
                <w:i/>
                <w:iCs/>
                <w:color w:val="000000"/>
              </w:rPr>
            </w:pPr>
            <w:r w:rsidRPr="00E425AF">
              <w:rPr>
                <w:rFonts w:ascii="Times New Roman" w:hAnsi="Times New Roman" w:cs="Times New Roman"/>
                <w:b/>
                <w:bCs/>
                <w:i/>
                <w:iCs/>
                <w:color w:val="000000"/>
              </w:rPr>
              <w:t xml:space="preserve"> - vplyv na Sociálnu poisťovňu</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3 415 023</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37 172 453</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38 573 694</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E425AF" w:rsidRDefault="00A74FE9" w:rsidP="00A74FE9">
            <w:pPr>
              <w:spacing w:after="0"/>
              <w:rPr>
                <w:rFonts w:ascii="Times New Roman" w:hAnsi="Times New Roman" w:cs="Times New Roman"/>
                <w:b/>
                <w:bCs/>
                <w:i/>
                <w:iCs/>
                <w:color w:val="000000"/>
              </w:rPr>
            </w:pPr>
            <w:r w:rsidRPr="61BD6446">
              <w:rPr>
                <w:rFonts w:ascii="Times New Roman" w:hAnsi="Times New Roman" w:cs="Times New Roman"/>
                <w:i/>
                <w:iCs/>
                <w:color w:val="000000" w:themeColor="text1"/>
              </w:rPr>
              <w:t>v tom: (150 okrem 154) poistné</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3 415 023</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37 172 453</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38 573 694</w:t>
            </w:r>
          </w:p>
        </w:tc>
      </w:tr>
      <w:tr w:rsidR="00A74FE9"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Default="00A74FE9" w:rsidP="00A74FE9">
            <w:pPr>
              <w:spacing w:after="0"/>
              <w:rPr>
                <w:rFonts w:ascii="Times New Roman" w:hAnsi="Times New Roman" w:cs="Times New Roman"/>
                <w:b/>
                <w:bCs/>
                <w:i/>
                <w:iCs/>
                <w:color w:val="000000" w:themeColor="text1"/>
              </w:rPr>
            </w:pPr>
            <w:r w:rsidRPr="61BD6446">
              <w:rPr>
                <w:rFonts w:ascii="Times New Roman" w:hAnsi="Times New Roman" w:cs="Times New Roman"/>
                <w:b/>
                <w:bCs/>
                <w:i/>
                <w:iCs/>
                <w:color w:val="000000" w:themeColor="text1"/>
              </w:rPr>
              <w:t xml:space="preserve"> - vplyv na zdravotné poisťovne</w:t>
            </w:r>
          </w:p>
        </w:tc>
        <w:tc>
          <w:tcPr>
            <w:tcW w:w="1026" w:type="dxa"/>
            <w:tcBorders>
              <w:top w:val="nil"/>
              <w:left w:val="nil"/>
              <w:bottom w:val="single" w:sz="8" w:space="0" w:color="auto"/>
              <w:right w:val="single" w:sz="8" w:space="0" w:color="auto"/>
            </w:tcBorders>
            <w:shd w:val="clear" w:color="auto" w:fill="auto"/>
            <w:noWrap/>
            <w:vAlign w:val="center"/>
          </w:tcPr>
          <w:p w:rsidR="00A74FE9"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1 761 223</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19 268 620</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b/>
              </w:rPr>
            </w:pPr>
            <w:r w:rsidRPr="00392892">
              <w:rPr>
                <w:rFonts w:ascii="Times New Roman" w:hAnsi="Times New Roman" w:cs="Times New Roman"/>
                <w:b/>
              </w:rPr>
              <w:t>20 091 468</w:t>
            </w:r>
          </w:p>
        </w:tc>
      </w:tr>
      <w:tr w:rsidR="00A74FE9"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Default="00A74FE9" w:rsidP="00A74FE9">
            <w:pPr>
              <w:spacing w:after="0"/>
              <w:rPr>
                <w:rFonts w:ascii="Times New Roman" w:hAnsi="Times New Roman" w:cs="Times New Roman"/>
                <w:b/>
                <w:bCs/>
                <w:i/>
                <w:iCs/>
                <w:color w:val="000000" w:themeColor="text1"/>
              </w:rPr>
            </w:pPr>
            <w:r w:rsidRPr="61BD6446">
              <w:rPr>
                <w:rFonts w:ascii="Times New Roman" w:hAnsi="Times New Roman" w:cs="Times New Roman"/>
                <w:i/>
                <w:iCs/>
                <w:color w:val="000000" w:themeColor="text1"/>
              </w:rPr>
              <w:t>v tom: (154) poistné</w:t>
            </w:r>
          </w:p>
        </w:tc>
        <w:tc>
          <w:tcPr>
            <w:tcW w:w="1026" w:type="dxa"/>
            <w:tcBorders>
              <w:top w:val="nil"/>
              <w:left w:val="nil"/>
              <w:bottom w:val="single" w:sz="8" w:space="0" w:color="auto"/>
              <w:right w:val="single" w:sz="8" w:space="0" w:color="auto"/>
            </w:tcBorders>
            <w:shd w:val="clear" w:color="auto" w:fill="auto"/>
            <w:noWrap/>
            <w:vAlign w:val="center"/>
          </w:tcPr>
          <w:p w:rsidR="00A74FE9"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1 761 223</w:t>
            </w:r>
          </w:p>
        </w:tc>
        <w:tc>
          <w:tcPr>
            <w:tcW w:w="1417"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19 268 620</w:t>
            </w:r>
          </w:p>
        </w:tc>
        <w:tc>
          <w:tcPr>
            <w:tcW w:w="1521" w:type="dxa"/>
            <w:tcBorders>
              <w:top w:val="nil"/>
              <w:left w:val="nil"/>
              <w:bottom w:val="single" w:sz="8" w:space="0" w:color="auto"/>
              <w:right w:val="single" w:sz="8" w:space="0" w:color="auto"/>
            </w:tcBorders>
            <w:shd w:val="clear" w:color="auto" w:fill="auto"/>
            <w:noWrap/>
          </w:tcPr>
          <w:p w:rsidR="00A74FE9" w:rsidRPr="00392892" w:rsidRDefault="00A74FE9" w:rsidP="00A74FE9">
            <w:pPr>
              <w:spacing w:after="0"/>
              <w:jc w:val="right"/>
              <w:rPr>
                <w:rFonts w:ascii="Times New Roman" w:hAnsi="Times New Roman" w:cs="Times New Roman"/>
              </w:rPr>
            </w:pPr>
            <w:r w:rsidRPr="00392892">
              <w:rPr>
                <w:rFonts w:ascii="Times New Roman" w:hAnsi="Times New Roman" w:cs="Times New Roman"/>
              </w:rPr>
              <w:t>20 091 468</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E425AF">
              <w:rPr>
                <w:rFonts w:ascii="Times New Roman" w:hAnsi="Times New Roman" w:cs="Times New Roman"/>
                <w:b/>
                <w:bCs/>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p>
        </w:tc>
        <w:tc>
          <w:tcPr>
            <w:tcW w:w="1559"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p>
        </w:tc>
        <w:tc>
          <w:tcPr>
            <w:tcW w:w="1417"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p>
        </w:tc>
        <w:tc>
          <w:tcPr>
            <w:tcW w:w="1521"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 </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b/>
                <w:bCs/>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ind w:firstLineChars="100" w:firstLine="220"/>
              <w:rPr>
                <w:rFonts w:ascii="Times New Roman" w:hAnsi="Times New Roman" w:cs="Times New Roman"/>
                <w:i/>
                <w:iCs/>
                <w:color w:val="000000"/>
              </w:rPr>
            </w:pPr>
            <w:r w:rsidRPr="00074C97">
              <w:rPr>
                <w:rFonts w:ascii="Times New Roman" w:hAnsi="Times New Roman" w:cs="Times New Roman"/>
                <w:i/>
                <w:iCs/>
                <w:color w:val="000000"/>
              </w:rPr>
              <w:t>Rozpočtové prostriedky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p>
        </w:tc>
        <w:tc>
          <w:tcPr>
            <w:tcW w:w="1559"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E425AF" w:rsidRDefault="00A74FE9" w:rsidP="00A74FE9">
            <w:pPr>
              <w:spacing w:after="0"/>
              <w:jc w:val="right"/>
              <w:rPr>
                <w:rFonts w:ascii="Times New Roman" w:hAnsi="Times New Roman" w:cs="Times New Roman"/>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EÚ zdroje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i/>
                <w:iCs/>
                <w:color w:val="000000"/>
              </w:rPr>
            </w:pPr>
            <w:r w:rsidRPr="00074C97">
              <w:rPr>
                <w:rFonts w:ascii="Times New Roman" w:hAnsi="Times New Roman" w:cs="Times New Roman"/>
                <w:i/>
                <w:iCs/>
                <w:color w:val="000000"/>
              </w:rPr>
              <w:t xml:space="preserve">    spolufinancovanie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b/>
                <w:bCs/>
                <w:i/>
                <w:iCs/>
                <w:color w:val="000000"/>
              </w:rPr>
            </w:pPr>
            <w:r w:rsidRPr="00074C97">
              <w:rPr>
                <w:rFonts w:ascii="Times New Roman" w:hAnsi="Times New Roman" w:cs="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lastRenderedPageBreak/>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rsidR="00A74FE9" w:rsidRPr="00074C97" w:rsidRDefault="00A74FE9" w:rsidP="00A74FE9">
            <w:pPr>
              <w:spacing w:after="0"/>
              <w:jc w:val="right"/>
              <w:rPr>
                <w:rFonts w:ascii="Times New Roman" w:hAnsi="Times New Roman" w:cs="Times New Roman"/>
                <w:b/>
                <w:bCs/>
                <w:color w:val="000000"/>
              </w:rPr>
            </w:pPr>
          </w:p>
        </w:tc>
        <w:tc>
          <w:tcPr>
            <w:tcW w:w="1559"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A74FE9" w:rsidRPr="00074C97" w:rsidRDefault="00A74FE9" w:rsidP="00A74FE9">
            <w:pPr>
              <w:spacing w:after="0"/>
              <w:rPr>
                <w:rFonts w:ascii="Times New Roman" w:hAnsi="Times New Roman" w:cs="Times New Roman"/>
                <w:color w:val="000000"/>
              </w:rPr>
            </w:pPr>
            <w:r w:rsidRPr="00074C97">
              <w:rPr>
                <w:rFonts w:ascii="Times New Roman" w:hAnsi="Times New Roman" w:cs="Times New Roman"/>
                <w:color w:val="000000"/>
              </w:rPr>
              <w:t>v tom: za každý subjekt verejnej správy / program zvlášť</w:t>
            </w:r>
          </w:p>
        </w:tc>
        <w:tc>
          <w:tcPr>
            <w:tcW w:w="1026" w:type="dxa"/>
            <w:tcBorders>
              <w:top w:val="nil"/>
              <w:left w:val="nil"/>
              <w:bottom w:val="single" w:sz="8" w:space="0" w:color="auto"/>
              <w:right w:val="single" w:sz="8" w:space="0" w:color="auto"/>
            </w:tcBorders>
            <w:shd w:val="clear" w:color="auto" w:fill="auto"/>
            <w:noWrap/>
            <w:vAlign w:val="center"/>
          </w:tcPr>
          <w:p w:rsidR="00A74FE9" w:rsidRPr="00074C97" w:rsidRDefault="00A74FE9" w:rsidP="00A74FE9">
            <w:pPr>
              <w:spacing w:after="0"/>
              <w:jc w:val="right"/>
              <w:rPr>
                <w:rFonts w:ascii="Times New Roman" w:hAnsi="Times New Roman" w:cs="Times New Roman"/>
                <w:color w:val="000000"/>
              </w:rPr>
            </w:pPr>
            <w:r w:rsidRPr="00074C97">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A74FE9" w:rsidRPr="00124C9A" w:rsidRDefault="00A74FE9" w:rsidP="00A74FE9">
            <w:pPr>
              <w:spacing w:after="0"/>
              <w:jc w:val="right"/>
              <w:rPr>
                <w:rFonts w:ascii="Times New Roman" w:hAnsi="Times New Roman" w:cs="Times New Roman"/>
                <w:color w:val="000000"/>
              </w:rPr>
            </w:pPr>
            <w:r w:rsidRPr="00124C9A">
              <w:rPr>
                <w:rFonts w:ascii="Times New Roman" w:hAnsi="Times New Roman" w:cs="Times New Roman"/>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074C97"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rsidR="00A74FE9" w:rsidRPr="00124C9A" w:rsidRDefault="00A74FE9" w:rsidP="00A74FE9">
            <w:pPr>
              <w:spacing w:after="0"/>
              <w:jc w:val="right"/>
              <w:rPr>
                <w:rFonts w:ascii="Times New Roman" w:hAnsi="Times New Roman" w:cs="Times New Roman"/>
                <w:b/>
                <w:bCs/>
                <w:color w:val="000000"/>
              </w:rPr>
            </w:pPr>
            <w:r w:rsidRPr="00124C9A">
              <w:rPr>
                <w:rFonts w:ascii="Times New Roman" w:hAnsi="Times New Roman" w:cs="Times New Roman"/>
                <w:b/>
                <w:bCs/>
                <w:color w:val="000000"/>
              </w:rPr>
              <w:t>0</w:t>
            </w:r>
          </w:p>
        </w:tc>
      </w:tr>
      <w:tr w:rsidR="00A74FE9" w:rsidRPr="00074C97" w:rsidTr="00A74FE9">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rPr>
                <w:rFonts w:ascii="Times New Roman" w:hAnsi="Times New Roman" w:cs="Times New Roman"/>
                <w:b/>
                <w:bCs/>
                <w:color w:val="000000"/>
              </w:rPr>
            </w:pPr>
            <w:r w:rsidRPr="00074C97">
              <w:rPr>
                <w:rFonts w:ascii="Times New Roman" w:hAnsi="Times New Roman" w:cs="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074C97" w:rsidRDefault="00A74FE9" w:rsidP="00A74FE9">
            <w:pPr>
              <w:spacing w:after="0"/>
              <w:jc w:val="right"/>
              <w:rPr>
                <w:rFonts w:ascii="Times New Roman" w:hAnsi="Times New Roman" w:cs="Times New Roman"/>
                <w:b/>
                <w:bCs/>
                <w:color w:val="000000"/>
              </w:rPr>
            </w:pPr>
          </w:p>
        </w:tc>
        <w:tc>
          <w:tcPr>
            <w:tcW w:w="1559"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417"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c>
          <w:tcPr>
            <w:tcW w:w="1521" w:type="dxa"/>
            <w:tcBorders>
              <w:top w:val="nil"/>
              <w:left w:val="nil"/>
              <w:bottom w:val="single" w:sz="8" w:space="0" w:color="auto"/>
              <w:right w:val="single" w:sz="8" w:space="0" w:color="auto"/>
            </w:tcBorders>
            <w:shd w:val="clear" w:color="auto" w:fill="A6A6A6" w:themeFill="background1" w:themeFillShade="A6"/>
            <w:noWrap/>
            <w:vAlign w:val="center"/>
          </w:tcPr>
          <w:p w:rsidR="00A74FE9" w:rsidRPr="00124C9A" w:rsidRDefault="00A74FE9" w:rsidP="00A74FE9">
            <w:pPr>
              <w:spacing w:after="0"/>
              <w:jc w:val="right"/>
              <w:rPr>
                <w:rFonts w:ascii="Times New Roman" w:hAnsi="Times New Roman" w:cs="Times New Roman"/>
                <w:b/>
                <w:bCs/>
                <w:color w:val="000000"/>
              </w:rPr>
            </w:pPr>
            <w:r w:rsidRPr="00074C97">
              <w:rPr>
                <w:rFonts w:ascii="Times New Roman" w:hAnsi="Times New Roman" w:cs="Times New Roman"/>
                <w:b/>
                <w:bCs/>
                <w:color w:val="000000"/>
              </w:rPr>
              <w:t>0</w:t>
            </w:r>
          </w:p>
        </w:tc>
      </w:tr>
    </w:tbl>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rPr>
          <w:rFonts w:ascii="Times New Roman" w:eastAsia="Times New Roman" w:hAnsi="Times New Roman" w:cs="Times New Roman"/>
          <w:b/>
          <w:bCs/>
          <w:sz w:val="24"/>
          <w:szCs w:val="24"/>
          <w:lang w:eastAsia="sk-SK"/>
        </w:rPr>
      </w:pPr>
    </w:p>
    <w:p w:rsidR="00A74FE9" w:rsidRPr="007D5748" w:rsidRDefault="00A74FE9" w:rsidP="00A74FE9">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74FE9" w:rsidRPr="007D5748"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A74FE9" w:rsidRPr="007D5748"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D5748"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jc w:val="both"/>
        <w:rPr>
          <w:rFonts w:ascii="Times New Roman" w:eastAsia="Times New Roman" w:hAnsi="Times New Roman" w:cs="Times New Roman"/>
          <w:sz w:val="24"/>
          <w:szCs w:val="24"/>
          <w:lang w:eastAsia="sk-SK"/>
        </w:rPr>
      </w:pPr>
      <w:r w:rsidRPr="00B7055F">
        <w:rPr>
          <w:rFonts w:ascii="Times New Roman" w:eastAsia="Times New Roman" w:hAnsi="Times New Roman" w:cs="Times New Roman"/>
          <w:sz w:val="24"/>
          <w:szCs w:val="24"/>
          <w:lang w:eastAsia="sk-SK"/>
        </w:rPr>
        <w:t>Slovensko má najväčší počet dní pracovného pokoja v rámci Európskej únie. Na Slovensku je 15 dní pracovného pokoja okrem tých</w:t>
      </w:r>
      <w:r>
        <w:rPr>
          <w:rFonts w:ascii="Times New Roman" w:eastAsia="Times New Roman" w:hAnsi="Times New Roman" w:cs="Times New Roman"/>
          <w:sz w:val="24"/>
          <w:szCs w:val="24"/>
          <w:lang w:eastAsia="sk-SK"/>
        </w:rPr>
        <w:t>,</w:t>
      </w:r>
      <w:r w:rsidRPr="00B7055F">
        <w:rPr>
          <w:rFonts w:ascii="Times New Roman" w:eastAsia="Times New Roman" w:hAnsi="Times New Roman" w:cs="Times New Roman"/>
          <w:sz w:val="24"/>
          <w:szCs w:val="24"/>
          <w:lang w:eastAsia="sk-SK"/>
        </w:rPr>
        <w:t xml:space="preserve"> ktoré pravidelne spadajú na nedeľu. Portugalsko, Španielsko, </w:t>
      </w:r>
      <w:r>
        <w:rPr>
          <w:rFonts w:ascii="Times New Roman" w:eastAsia="Times New Roman" w:hAnsi="Times New Roman" w:cs="Times New Roman"/>
          <w:sz w:val="24"/>
          <w:szCs w:val="24"/>
          <w:lang w:eastAsia="sk-SK"/>
        </w:rPr>
        <w:t>Švédsko a Chorvátsko majú 14 a o</w:t>
      </w:r>
      <w:r w:rsidRPr="00B7055F">
        <w:rPr>
          <w:rFonts w:ascii="Times New Roman" w:eastAsia="Times New Roman" w:hAnsi="Times New Roman" w:cs="Times New Roman"/>
          <w:sz w:val="24"/>
          <w:szCs w:val="24"/>
          <w:lang w:eastAsia="sk-SK"/>
        </w:rPr>
        <w:t xml:space="preserve">statné krajiny ešte menej. Slovensko, podobne ako iné krajiny, čelia zlému demografickému vývoju a každoročne dochádza k poklesu počtu ľudí v práceschopnom veku. Preto </w:t>
      </w:r>
      <w:r>
        <w:rPr>
          <w:rFonts w:ascii="Times New Roman" w:eastAsia="Times New Roman" w:hAnsi="Times New Roman" w:cs="Times New Roman"/>
          <w:sz w:val="24"/>
          <w:szCs w:val="24"/>
          <w:lang w:eastAsia="sk-SK"/>
        </w:rPr>
        <w:t>sa navrhuje</w:t>
      </w:r>
      <w:r w:rsidRPr="00B7055F">
        <w:rPr>
          <w:rFonts w:ascii="Times New Roman" w:eastAsia="Times New Roman" w:hAnsi="Times New Roman" w:cs="Times New Roman"/>
          <w:sz w:val="24"/>
          <w:szCs w:val="24"/>
          <w:lang w:eastAsia="sk-SK"/>
        </w:rPr>
        <w:t xml:space="preserve"> znížiť počet sviatkov na úroveň okolitých krajín. Znamená to pomôcť zvýšiť počet odpracovaných hodín a aj zamestnanosť. Toto štrukturálne opatrenie by sa malo trvalo premietnuť do mierne vyššej mzdy, daňovo-odvodových príjmov z prác</w:t>
      </w:r>
      <w:r>
        <w:rPr>
          <w:rFonts w:ascii="Times New Roman" w:eastAsia="Times New Roman" w:hAnsi="Times New Roman" w:cs="Times New Roman"/>
          <w:sz w:val="24"/>
          <w:szCs w:val="24"/>
          <w:lang w:eastAsia="sk-SK"/>
        </w:rPr>
        <w:t xml:space="preserve">e a následne v celej ekonomike. </w:t>
      </w:r>
      <w:r w:rsidRPr="00B7055F">
        <w:rPr>
          <w:rFonts w:ascii="Times New Roman" w:eastAsia="Times New Roman" w:hAnsi="Times New Roman" w:cs="Times New Roman"/>
          <w:sz w:val="24"/>
          <w:szCs w:val="24"/>
          <w:lang w:eastAsia="sk-SK"/>
        </w:rPr>
        <w:t>Návrh predpokladá zruš</w:t>
      </w:r>
      <w:r>
        <w:rPr>
          <w:rFonts w:ascii="Times New Roman" w:eastAsia="Times New Roman" w:hAnsi="Times New Roman" w:cs="Times New Roman"/>
          <w:sz w:val="24"/>
          <w:szCs w:val="24"/>
          <w:lang w:eastAsia="sk-SK"/>
        </w:rPr>
        <w:t>enie 1.9. ako štátneho sviatku.</w:t>
      </w:r>
    </w:p>
    <w:p w:rsidR="00A74FE9" w:rsidRPr="009714D4"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Pr="007D5748" w:rsidRDefault="00A74FE9" w:rsidP="00A74FE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A74FE9" w:rsidRPr="007D5748" w:rsidRDefault="00A74FE9" w:rsidP="00A74FE9">
      <w:pPr>
        <w:spacing w:after="0" w:line="240" w:lineRule="auto"/>
        <w:rPr>
          <w:rFonts w:ascii="Times New Roman" w:eastAsia="Times New Roman" w:hAnsi="Times New Roman" w:cs="Times New Roman"/>
          <w:sz w:val="24"/>
          <w:szCs w:val="24"/>
          <w:lang w:eastAsia="sk-SK"/>
        </w:rPr>
      </w:pPr>
    </w:p>
    <w:p w:rsidR="00A74FE9"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Default="00A74FE9" w:rsidP="00A74FE9">
      <w:pPr>
        <w:spacing w:after="0" w:line="240" w:lineRule="auto"/>
        <w:jc w:val="both"/>
        <w:rPr>
          <w:rFonts w:ascii="Times New Roman" w:eastAsia="Times New Roman" w:hAnsi="Times New Roman" w:cs="Times New Roman"/>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r w:rsidRPr="61BD6446">
        <w:rPr>
          <w:rFonts w:ascii="Times New Roman" w:eastAsia="Times New Roman" w:hAnsi="Times New Roman" w:cs="Times New Roman"/>
          <w:b/>
          <w:bCs/>
          <w:sz w:val="24"/>
          <w:szCs w:val="24"/>
          <w:lang w:eastAsia="sk-SK"/>
        </w:rPr>
        <w:t>2.2.4. Výpočty vplyvov na verejné financie</w:t>
      </w:r>
    </w:p>
    <w:p w:rsidR="00A74FE9"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392892" w:rsidRDefault="00A74FE9" w:rsidP="00A74FE9">
      <w:pPr>
        <w:jc w:val="both"/>
        <w:rPr>
          <w:rFonts w:ascii="Times New Roman" w:hAnsi="Times New Roman" w:cs="Times New Roman"/>
          <w:b/>
          <w:sz w:val="24"/>
          <w:szCs w:val="24"/>
        </w:rPr>
      </w:pPr>
      <w:r w:rsidRPr="00392892">
        <w:rPr>
          <w:rFonts w:ascii="Times New Roman" w:hAnsi="Times New Roman" w:cs="Times New Roman"/>
          <w:b/>
          <w:sz w:val="24"/>
          <w:szCs w:val="24"/>
        </w:rPr>
        <w:t xml:space="preserve">Podľa našich aj zahraničných odhadov zvyšuje zníženie jedného dňa pracovného pokoja ponuku práce asi o 0,23 %. To by prinieslo do rozpočtu asi 130 mil. eur ročne. </w:t>
      </w:r>
      <w:r w:rsidRPr="003C34DB">
        <w:rPr>
          <w:rFonts w:ascii="Times New Roman" w:hAnsi="Times New Roman" w:cs="Times New Roman"/>
          <w:sz w:val="24"/>
          <w:szCs w:val="24"/>
        </w:rPr>
        <w:t>Makroekonomická simulácia naznačuje, že v prvom roku by bol benefit len na úrovni 12 mil. eur, keďže uvedený sviatok v roku 2024 pripadne na nedeľu.</w:t>
      </w:r>
      <w:r w:rsidRPr="00392892">
        <w:rPr>
          <w:rFonts w:ascii="Times New Roman" w:hAnsi="Times New Roman" w:cs="Times New Roman"/>
          <w:sz w:val="24"/>
          <w:szCs w:val="24"/>
        </w:rPr>
        <w:t xml:space="preserve"> V tento deň budú otvorené obchody (ktoré by inak boli zavreté) a to je efekt s ktorým počítame pri analýzy dopadov na rok 2024. Celkovo je dôležité, aby sa navýšenie odpracovaných hodín prenieslo do vyšších miezd, tým by rozpočet pocítil plný efekt.</w:t>
      </w:r>
      <w:r w:rsidRPr="00392892">
        <w:rPr>
          <w:rFonts w:ascii="Times New Roman" w:hAnsi="Times New Roman" w:cs="Times New Roman"/>
          <w:b/>
          <w:sz w:val="24"/>
          <w:szCs w:val="24"/>
        </w:rPr>
        <w:t xml:space="preserve"> </w:t>
      </w:r>
    </w:p>
    <w:p w:rsidR="00A74FE9" w:rsidRPr="00392892" w:rsidRDefault="00A74FE9" w:rsidP="00A74FE9">
      <w:pPr>
        <w:jc w:val="both"/>
        <w:rPr>
          <w:rFonts w:ascii="Times New Roman" w:hAnsi="Times New Roman" w:cs="Times New Roman"/>
          <w:sz w:val="24"/>
          <w:szCs w:val="24"/>
        </w:rPr>
      </w:pPr>
      <w:r w:rsidRPr="00392892">
        <w:rPr>
          <w:rFonts w:ascii="Times New Roman" w:hAnsi="Times New Roman" w:cs="Times New Roman"/>
          <w:b/>
          <w:sz w:val="24"/>
          <w:szCs w:val="24"/>
        </w:rPr>
        <w:t>Podľa skúsenosti zo zahraničia povedie zníženie počtu dní pracovného pokoja k vyššiemu počtu odpracovaných hodín v ekonomike a teda aj k vyššiemu HDP.</w:t>
      </w:r>
      <w:r w:rsidRPr="00392892">
        <w:rPr>
          <w:rFonts w:ascii="Times New Roman" w:hAnsi="Times New Roman" w:cs="Times New Roman"/>
          <w:sz w:val="24"/>
          <w:szCs w:val="24"/>
        </w:rPr>
        <w:t xml:space="preserve"> Empirický odhad MMF na príklade </w:t>
      </w:r>
      <w:hyperlink r:id="rId58" w:anchor="A001fn03" w:history="1">
        <w:r w:rsidRPr="00392892">
          <w:rPr>
            <w:rStyle w:val="Hypertextovprepojenie"/>
            <w:rFonts w:ascii="Times New Roman" w:hAnsi="Times New Roman" w:cs="Times New Roman"/>
            <w:sz w:val="24"/>
            <w:szCs w:val="24"/>
          </w:rPr>
          <w:t>Dánska</w:t>
        </w:r>
      </w:hyperlink>
      <w:r w:rsidRPr="00392892">
        <w:rPr>
          <w:rStyle w:val="Odkaznapoznmkupodiarou"/>
          <w:rFonts w:ascii="Times New Roman" w:hAnsi="Times New Roman" w:cs="Times New Roman"/>
          <w:sz w:val="24"/>
          <w:szCs w:val="24"/>
        </w:rPr>
        <w:footnoteReference w:id="1"/>
      </w:r>
      <w:r w:rsidRPr="00392892">
        <w:rPr>
          <w:rFonts w:ascii="Times New Roman" w:hAnsi="Times New Roman" w:cs="Times New Roman"/>
          <w:sz w:val="24"/>
          <w:szCs w:val="24"/>
        </w:rPr>
        <w:t xml:space="preserve"> uvádza, že zrušenie jedného sviatku vedie k zvýšeniu ponuky práce o 0,14 až 0,34 percenta. Efekt 0,14 % vychádza z empiricky odmeranej elasticity jedného pracovného dňa na HDP vo výške 0,2 bodu a 2/3 váhy práce v produkčnej funkcii dánskej ekonomiky.</w:t>
      </w:r>
    </w:p>
    <w:p w:rsidR="00A74FE9" w:rsidRPr="00392892" w:rsidRDefault="00A74FE9" w:rsidP="00A74FE9">
      <w:pPr>
        <w:jc w:val="both"/>
        <w:rPr>
          <w:rFonts w:ascii="Times New Roman" w:hAnsi="Times New Roman" w:cs="Times New Roman"/>
          <w:sz w:val="24"/>
          <w:szCs w:val="24"/>
        </w:rPr>
      </w:pPr>
      <w:r w:rsidRPr="00392892">
        <w:rPr>
          <w:rFonts w:ascii="Times New Roman" w:hAnsi="Times New Roman" w:cs="Times New Roman"/>
          <w:b/>
          <w:sz w:val="24"/>
          <w:szCs w:val="24"/>
        </w:rPr>
        <w:t>Empirické odhady na slovenských dátach predikujú pre jeden pracovný deň navyše zvýšenie počtu odpracovaných hodín asi o 0,23 %.</w:t>
      </w:r>
      <w:r w:rsidRPr="00392892">
        <w:rPr>
          <w:rFonts w:ascii="Times New Roman" w:hAnsi="Times New Roman" w:cs="Times New Roman"/>
          <w:sz w:val="24"/>
          <w:szCs w:val="24"/>
        </w:rPr>
        <w:t xml:space="preserve"> Tento odhad je pomerne robustný, keďže je rovnaký pre rôzne typy údajov.</w:t>
      </w:r>
    </w:p>
    <w:p w:rsidR="00A74FE9" w:rsidRPr="00392892" w:rsidRDefault="00A74FE9" w:rsidP="00A74FE9">
      <w:pPr>
        <w:pStyle w:val="Odsekzoznamu"/>
        <w:numPr>
          <w:ilvl w:val="0"/>
          <w:numId w:val="24"/>
        </w:numPr>
        <w:jc w:val="both"/>
        <w:rPr>
          <w:rFonts w:ascii="Times New Roman" w:hAnsi="Times New Roman"/>
          <w:sz w:val="24"/>
          <w:szCs w:val="24"/>
        </w:rPr>
      </w:pPr>
      <w:r w:rsidRPr="00392892">
        <w:rPr>
          <w:rFonts w:ascii="Times New Roman" w:hAnsi="Times New Roman"/>
          <w:sz w:val="24"/>
          <w:szCs w:val="24"/>
        </w:rPr>
        <w:t>V</w:t>
      </w:r>
      <w:r w:rsidRPr="00392892">
        <w:rPr>
          <w:rFonts w:ascii="Times New Roman" w:hAnsi="Times New Roman"/>
          <w:sz w:val="24"/>
          <w:szCs w:val="24"/>
          <w:lang w:eastAsia="sk-SK"/>
        </w:rPr>
        <w:t> rámci sektora priemyselnej výroby sme merali vplyv dodatočného pracovného dňa na celkový počet odpracovaných hodín zamestnancami medzi rokmi 2009 až 2022 na mesačných údajoch. Dodatočný pracovný deň (po zohľadnení efektov jednotlivých kalendárnych rokov a mesiacov) zvýšil v priemere počet odpracovaných hodín asi o 2,4 % v mesiaci, teda asi o 0,2 % ročne. Priemysel by mal byť pritom menej citlivý na počet dní pracovného pokoja, keďže vo veľkých firmách sa pracuje aj počas sviatkov a víkendov.</w:t>
      </w:r>
    </w:p>
    <w:p w:rsidR="00A74FE9" w:rsidRPr="00392892" w:rsidRDefault="00A74FE9" w:rsidP="00A74FE9">
      <w:pPr>
        <w:pStyle w:val="Odsekzoznamu"/>
        <w:numPr>
          <w:ilvl w:val="0"/>
          <w:numId w:val="24"/>
        </w:numPr>
        <w:jc w:val="both"/>
        <w:rPr>
          <w:rFonts w:ascii="Times New Roman" w:hAnsi="Times New Roman"/>
          <w:sz w:val="24"/>
          <w:szCs w:val="24"/>
        </w:rPr>
      </w:pPr>
      <w:r w:rsidRPr="00392892">
        <w:rPr>
          <w:rFonts w:ascii="Times New Roman" w:hAnsi="Times New Roman"/>
          <w:sz w:val="24"/>
          <w:szCs w:val="24"/>
        </w:rPr>
        <w:t>Na celoročných údajoch z jednotlivých sektoro</w:t>
      </w:r>
      <w:r w:rsidRPr="00392892">
        <w:rPr>
          <w:rFonts w:ascii="Times New Roman" w:hAnsi="Times New Roman"/>
          <w:sz w:val="24"/>
          <w:szCs w:val="24"/>
          <w:lang w:eastAsia="sk-SK"/>
        </w:rPr>
        <w:t>v ekonomiky sme odmerali, že dodatočný pracovný deň zvyšuje počet odpracovaných hodín na zamestnanca o 0,23 % (ESA štatistika). Rovnaký efekt sme namerali, ak sme využili údaje o odpracovaných hodinách podľa VZPS štatistiky.</w:t>
      </w:r>
      <w:r w:rsidRPr="00392892">
        <w:rPr>
          <w:rStyle w:val="Odkaznapoznmkupodiarou"/>
          <w:rFonts w:ascii="Times New Roman" w:hAnsi="Times New Roman"/>
          <w:sz w:val="24"/>
          <w:szCs w:val="24"/>
          <w:lang w:eastAsia="sk-SK"/>
        </w:rPr>
        <w:footnoteReference w:id="2"/>
      </w:r>
      <w:r w:rsidRPr="00392892">
        <w:rPr>
          <w:rFonts w:ascii="Times New Roman" w:hAnsi="Times New Roman"/>
          <w:sz w:val="24"/>
          <w:szCs w:val="24"/>
          <w:lang w:eastAsia="sk-SK"/>
        </w:rPr>
        <w:t xml:space="preserve"> </w:t>
      </w:r>
    </w:p>
    <w:p w:rsidR="00A74FE9" w:rsidRPr="00392892" w:rsidRDefault="00A74FE9" w:rsidP="00A74FE9">
      <w:pPr>
        <w:jc w:val="both"/>
        <w:rPr>
          <w:rFonts w:ascii="Times New Roman" w:hAnsi="Times New Roman" w:cs="Times New Roman"/>
          <w:sz w:val="24"/>
          <w:szCs w:val="24"/>
        </w:rPr>
      </w:pPr>
      <w:r w:rsidRPr="00392892">
        <w:rPr>
          <w:rFonts w:ascii="Times New Roman" w:hAnsi="Times New Roman" w:cs="Times New Roman"/>
          <w:b/>
          <w:sz w:val="24"/>
          <w:szCs w:val="24"/>
        </w:rPr>
        <w:t>Celkové HDP by mohlo v dlhom horizonte stúpnuť od 0,1 do 0,23 percenta.</w:t>
      </w:r>
      <w:r w:rsidRPr="00392892">
        <w:rPr>
          <w:rFonts w:ascii="Times New Roman" w:hAnsi="Times New Roman" w:cs="Times New Roman"/>
          <w:sz w:val="24"/>
          <w:szCs w:val="24"/>
        </w:rPr>
        <w:t xml:space="preserve"> Výsledok závisí od predpokladu, koľko dodatočného kapitálu počas dodatočného pracovného dňa vznikne. Ak sa nevytvorí žiaden kapitál, tak HDP stúpne len o váhu práce v produkčnej funkcii slovenskej ekonomiky, t.j. 44% z 0,23 % = 0,1 %. Ak kapitál stúpne podobne ako práca o 0,23 %, tak aj HDP stúpne o 0,23 %. </w:t>
      </w:r>
    </w:p>
    <w:p w:rsidR="00A74FE9" w:rsidRPr="00FA05E5" w:rsidRDefault="00A74FE9" w:rsidP="00A74FE9">
      <w:pPr>
        <w:jc w:val="both"/>
        <w:rPr>
          <w:rFonts w:ascii="Times New Roman" w:hAnsi="Times New Roman" w:cs="Times New Roman"/>
          <w:sz w:val="24"/>
          <w:szCs w:val="24"/>
        </w:rPr>
      </w:pPr>
      <w:r w:rsidRPr="00392892">
        <w:rPr>
          <w:rFonts w:ascii="Times New Roman" w:hAnsi="Times New Roman" w:cs="Times New Roman"/>
          <w:b/>
          <w:sz w:val="24"/>
          <w:szCs w:val="24"/>
        </w:rPr>
        <w:t>V krátkom horizonte však môže byť vplyv nižší ako v dlhom. Záleží tiež na tom, ako rýchlo stúpnu mzdy zamestnancom.</w:t>
      </w:r>
      <w:r w:rsidRPr="00392892">
        <w:rPr>
          <w:rFonts w:ascii="Times New Roman" w:hAnsi="Times New Roman" w:cs="Times New Roman"/>
          <w:sz w:val="24"/>
          <w:szCs w:val="24"/>
        </w:rPr>
        <w:t xml:space="preserve"> Hraničný benefit z opatrenia je spravidla nižší ako priemerný benefit a trh sa prispôsobuje postupne. Niektoré fabriky produkujú už dnes počas sviatkov, SZČO na zmenu pravdepodobne až tak nezareagujú, atď. Aby sme presnejšie odhadli aj krátkodobé vplyvy opatrenia, simulovali sme zvýšenie ponuky práce v prognostickom modeli.</w:t>
      </w:r>
    </w:p>
    <w:p w:rsidR="00A74FE9" w:rsidRPr="008E2CA1" w:rsidRDefault="00A74FE9" w:rsidP="00A74FE9">
      <w:pPr>
        <w:spacing w:after="0" w:line="240" w:lineRule="auto"/>
        <w:jc w:val="both"/>
        <w:rPr>
          <w:rFonts w:ascii="Times New Roman" w:hAnsi="Times New Roman" w:cs="Times New Roman"/>
          <w:sz w:val="24"/>
          <w:szCs w:val="24"/>
        </w:rPr>
      </w:pPr>
      <w:r w:rsidRPr="008E2CA1">
        <w:rPr>
          <w:rFonts w:ascii="Times New Roman" w:hAnsi="Times New Roman" w:cs="Times New Roman"/>
          <w:sz w:val="24"/>
          <w:szCs w:val="24"/>
        </w:rPr>
        <w:lastRenderedPageBreak/>
        <w:t>Makroekonomická simulácia naznačuje, že zníženie jedného dňa pracovného pokoja prináša v prvom roku prínos pre verejné financie v sume asi 12 mil. eur (sviatok pripadne na nedeľu a efekt je len z otvorených obchodov), a v ďalších rokoch asi 130 mil. eur.</w:t>
      </w:r>
    </w:p>
    <w:p w:rsidR="00A74FE9" w:rsidRPr="008E2CA1" w:rsidRDefault="00A74FE9" w:rsidP="00A74FE9">
      <w:pPr>
        <w:spacing w:after="0" w:line="240" w:lineRule="auto"/>
        <w:jc w:val="both"/>
        <w:rPr>
          <w:rFonts w:ascii="Times New Roman" w:hAnsi="Times New Roman" w:cs="Times New Roman"/>
          <w:sz w:val="24"/>
          <w:szCs w:val="24"/>
        </w:rPr>
      </w:pPr>
    </w:p>
    <w:p w:rsidR="00A74FE9" w:rsidRPr="008E2CA1" w:rsidRDefault="00A74FE9" w:rsidP="00A74FE9">
      <w:pPr>
        <w:spacing w:after="0" w:line="240" w:lineRule="auto"/>
        <w:jc w:val="both"/>
        <w:rPr>
          <w:rFonts w:ascii="Times New Roman" w:hAnsi="Times New Roman" w:cs="Times New Roman"/>
          <w:sz w:val="24"/>
          <w:szCs w:val="24"/>
        </w:rPr>
      </w:pPr>
      <w:r w:rsidRPr="008E2CA1">
        <w:rPr>
          <w:rFonts w:ascii="Times New Roman" w:hAnsi="Times New Roman" w:cs="Times New Roman"/>
          <w:sz w:val="24"/>
          <w:szCs w:val="24"/>
        </w:rPr>
        <w:t xml:space="preserve">Uvedené oparenie bude premietnuté priamo do makroekonomickej prognózy cez dodatočný rast odpracovaných hodín, mierne vyššej mzdy a spotreby domácnosti v roku 2024 a 2025. Vplyv na daňové a odvodové príjmy nie je možné priamo vyčísliť cez zmenové tabuľky v rámci Doložky vplyvov ako v prípade napr. zmeny daňovej sadzby. </w:t>
      </w:r>
    </w:p>
    <w:p w:rsidR="00A74FE9" w:rsidRPr="008E2CA1" w:rsidRDefault="00A74FE9" w:rsidP="00A74FE9">
      <w:pPr>
        <w:tabs>
          <w:tab w:val="num" w:pos="1080"/>
        </w:tabs>
        <w:spacing w:after="0" w:line="240" w:lineRule="auto"/>
        <w:jc w:val="both"/>
        <w:rPr>
          <w:rFonts w:ascii="Times New Roman" w:hAnsi="Times New Roman" w:cs="Times New Roman"/>
          <w:sz w:val="24"/>
          <w:szCs w:val="24"/>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D5748" w:rsidSect="001733E1">
          <w:headerReference w:type="even" r:id="rId59"/>
          <w:headerReference w:type="default" r:id="rId60"/>
          <w:footerReference w:type="even" r:id="rId61"/>
          <w:footerReference w:type="default" r:id="rId62"/>
          <w:headerReference w:type="first" r:id="rId63"/>
          <w:footerReference w:type="first" r:id="rId64"/>
          <w:pgSz w:w="11906" w:h="16838"/>
          <w:pgMar w:top="1417" w:right="1417" w:bottom="1276" w:left="1417" w:header="708" w:footer="708" w:gutter="0"/>
          <w:cols w:space="708"/>
          <w:docGrid w:linePitch="360"/>
        </w:sectPr>
      </w:pPr>
    </w:p>
    <w:p w:rsidR="00A74FE9" w:rsidRPr="00A74FE9"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E425AF"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Daňové príjmy (100)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
                <w:bCs/>
                <w:color w:val="000000"/>
              </w:rPr>
            </w:pPr>
            <w:r w:rsidRPr="003C34DB">
              <w:rPr>
                <w:rFonts w:ascii="Times New Roman" w:hAnsi="Times New Roman" w:cs="Times New Roman"/>
                <w:b/>
                <w:bCs/>
                <w:color w:val="000000"/>
              </w:rPr>
              <w:t>12 000 000</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
                <w:bCs/>
                <w:color w:val="000000"/>
              </w:rPr>
            </w:pPr>
            <w:r w:rsidRPr="003C34DB">
              <w:rPr>
                <w:rFonts w:ascii="Times New Roman" w:hAnsi="Times New Roman" w:cs="Times New Roman"/>
                <w:b/>
                <w:bCs/>
                <w:color w:val="000000"/>
              </w:rPr>
              <w:t>130 000 000</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
                <w:bCs/>
                <w:color w:val="000000"/>
              </w:rPr>
            </w:pPr>
            <w:r w:rsidRPr="003C34DB">
              <w:rPr>
                <w:rFonts w:ascii="Times New Roman" w:hAnsi="Times New Roman" w:cs="Times New Roman"/>
                <w:b/>
                <w:bCs/>
                <w:color w:val="000000"/>
              </w:rPr>
              <w:t>130 000 000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 xml:space="preserve">v tom: (111) daň z príjmov fyzických osôb </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1 540 704</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16 898 522</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17 839 431</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(112) daň z príjmov právnických osôb</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1 736 427</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15 039 669</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13 588 709</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(113) daň z príjmov vyberaná zrážkou</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103 288</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944 843</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988 021</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(131) daň z pridanej hodnoty</w:t>
            </w:r>
          </w:p>
        </w:tc>
        <w:tc>
          <w:tcPr>
            <w:tcW w:w="150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2 707 678</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33 481 917</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32 839 072</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Pr>
                <w:rFonts w:ascii="Times New Roman" w:hAnsi="Times New Roman" w:cs="Times New Roman"/>
                <w:i/>
                <w:iCs/>
                <w:color w:val="000000"/>
              </w:rPr>
              <w:t xml:space="preserve">    v tom: (132</w:t>
            </w:r>
            <w:r w:rsidRPr="00E425AF">
              <w:rPr>
                <w:rFonts w:ascii="Times New Roman" w:hAnsi="Times New Roman" w:cs="Times New Roman"/>
                <w:i/>
                <w:iCs/>
                <w:color w:val="000000"/>
              </w:rPr>
              <w:t>) spotrebná daň</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735 658</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7 193 976</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6 079 607</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754934" w:rsidRDefault="00A74FE9" w:rsidP="00A74FE9">
            <w:pPr>
              <w:spacing w:after="0"/>
              <w:rPr>
                <w:rFonts w:ascii="Times New Roman" w:hAnsi="Times New Roman" w:cs="Times New Roman"/>
                <w:b/>
                <w:bCs/>
                <w:color w:val="000000"/>
              </w:rPr>
            </w:pPr>
            <w:r w:rsidRPr="00754934">
              <w:rPr>
                <w:rFonts w:ascii="Times New Roman" w:hAnsi="Times New Roman" w:cs="Times New Roman"/>
                <w:i/>
                <w:iCs/>
                <w:color w:val="000000"/>
              </w:rPr>
              <w:t>v tom: (150) poistné na sociálne odvody</w:t>
            </w:r>
          </w:p>
        </w:tc>
        <w:tc>
          <w:tcPr>
            <w:tcW w:w="1500" w:type="dxa"/>
            <w:tcBorders>
              <w:top w:val="nil"/>
              <w:left w:val="nil"/>
              <w:bottom w:val="single" w:sz="8" w:space="0" w:color="auto"/>
              <w:right w:val="single" w:sz="8" w:space="0" w:color="auto"/>
            </w:tcBorders>
            <w:shd w:val="clear" w:color="auto" w:fill="auto"/>
            <w:vAlign w:val="center"/>
          </w:tcPr>
          <w:p w:rsidR="00A74FE9" w:rsidRPr="00754934" w:rsidRDefault="00A74FE9" w:rsidP="00A74FE9">
            <w:pPr>
              <w:spacing w:after="0"/>
              <w:jc w:val="right"/>
              <w:rPr>
                <w:rFonts w:ascii="Times New Roman" w:hAnsi="Times New Roman" w:cs="Times New Roman"/>
                <w:b/>
                <w:bCs/>
                <w:color w:val="000000"/>
              </w:rPr>
            </w:pPr>
            <w:r w:rsidRPr="00754934">
              <w:rPr>
                <w:rFonts w:ascii="Times New Roman" w:hAnsi="Times New Roman" w:cs="Times New Roman"/>
                <w:color w:val="000000"/>
              </w:rPr>
              <w:t>0</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3 415 023</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37 172 453</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38 573 694</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754934" w:rsidRDefault="00A74FE9" w:rsidP="00A74FE9">
            <w:pPr>
              <w:spacing w:after="0"/>
              <w:rPr>
                <w:rFonts w:ascii="Times New Roman" w:hAnsi="Times New Roman" w:cs="Times New Roman"/>
                <w:b/>
                <w:bCs/>
                <w:color w:val="000000"/>
              </w:rPr>
            </w:pPr>
            <w:r w:rsidRPr="00754934">
              <w:rPr>
                <w:rFonts w:ascii="Times New Roman" w:hAnsi="Times New Roman" w:cs="Times New Roman"/>
                <w:i/>
                <w:iCs/>
                <w:color w:val="000000"/>
              </w:rPr>
              <w:t>v tom: (150) poistné na zdravotné odvody</w:t>
            </w:r>
          </w:p>
        </w:tc>
        <w:tc>
          <w:tcPr>
            <w:tcW w:w="1500" w:type="dxa"/>
            <w:tcBorders>
              <w:top w:val="nil"/>
              <w:left w:val="nil"/>
              <w:bottom w:val="single" w:sz="8" w:space="0" w:color="auto"/>
              <w:right w:val="single" w:sz="8" w:space="0" w:color="auto"/>
            </w:tcBorders>
            <w:shd w:val="clear" w:color="auto" w:fill="auto"/>
            <w:vAlign w:val="center"/>
          </w:tcPr>
          <w:p w:rsidR="00A74FE9" w:rsidRPr="00754934" w:rsidRDefault="00A74FE9" w:rsidP="00A74FE9">
            <w:pPr>
              <w:spacing w:after="0"/>
              <w:jc w:val="right"/>
              <w:rPr>
                <w:rFonts w:ascii="Times New Roman" w:hAnsi="Times New Roman" w:cs="Times New Roman"/>
                <w:b/>
                <w:bCs/>
                <w:color w:val="000000"/>
              </w:rPr>
            </w:pPr>
            <w:r w:rsidRPr="00754934">
              <w:rPr>
                <w:rFonts w:ascii="Times New Roman" w:hAnsi="Times New Roman" w:cs="Times New Roman"/>
                <w:color w:val="000000"/>
              </w:rPr>
              <w:t> </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1 761 223</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19 268 620</w:t>
            </w:r>
          </w:p>
        </w:tc>
        <w:tc>
          <w:tcPr>
            <w:tcW w:w="1500" w:type="dxa"/>
            <w:tcBorders>
              <w:top w:val="nil"/>
              <w:left w:val="nil"/>
              <w:bottom w:val="single" w:sz="8" w:space="0" w:color="auto"/>
              <w:right w:val="single" w:sz="8" w:space="0" w:color="auto"/>
            </w:tcBorders>
            <w:shd w:val="clear" w:color="auto" w:fill="auto"/>
            <w:vAlign w:val="center"/>
          </w:tcPr>
          <w:p w:rsidR="00A74FE9" w:rsidRPr="003C34DB" w:rsidRDefault="00A74FE9" w:rsidP="00A74FE9">
            <w:pPr>
              <w:spacing w:after="0"/>
              <w:ind w:hanging="143"/>
              <w:jc w:val="right"/>
              <w:rPr>
                <w:rFonts w:ascii="Times New Roman" w:hAnsi="Times New Roman" w:cs="Times New Roman"/>
                <w:bCs/>
                <w:color w:val="000000"/>
              </w:rPr>
            </w:pPr>
            <w:r w:rsidRPr="003C34DB">
              <w:rPr>
                <w:rFonts w:ascii="Times New Roman" w:hAnsi="Times New Roman" w:cs="Times New Roman"/>
                <w:bCs/>
                <w:color w:val="000000"/>
              </w:rPr>
              <w:t>20 091 468</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Nedaňové príjmy (200)</w:t>
            </w:r>
            <w:r w:rsidRPr="00E425AF">
              <w:rPr>
                <w:rFonts w:ascii="Times New Roman" w:hAnsi="Times New Roman" w:cs="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center"/>
              <w:rPr>
                <w:rFonts w:ascii="Times New Roman" w:hAnsi="Times New Roman" w:cs="Times New Roman"/>
                <w:b/>
                <w:bCs/>
                <w:color w:val="000000"/>
              </w:rPr>
            </w:pPr>
          </w:p>
        </w:tc>
        <w:tc>
          <w:tcPr>
            <w:tcW w:w="1500" w:type="dxa"/>
            <w:tcBorders>
              <w:top w:val="nil"/>
              <w:left w:val="nil"/>
              <w:bottom w:val="single" w:sz="8" w:space="0" w:color="auto"/>
              <w:right w:val="single" w:sz="8" w:space="0" w:color="auto"/>
            </w:tcBorders>
            <w:shd w:val="clear" w:color="000000" w:fill="BFBFBF"/>
            <w:vAlign w:val="center"/>
          </w:tcPr>
          <w:p w:rsidR="00A74FE9" w:rsidRPr="00124C9A" w:rsidRDefault="00A74FE9" w:rsidP="00A74FE9">
            <w:pPr>
              <w:spacing w:after="0"/>
              <w:ind w:hanging="143"/>
              <w:jc w:val="right"/>
              <w:rPr>
                <w:rFonts w:ascii="Times New Roman" w:hAnsi="Times New Roman" w:cs="Times New Roman"/>
                <w:b/>
                <w:bCs/>
                <w:color w:val="000000"/>
              </w:rPr>
            </w:pPr>
            <w:r w:rsidRPr="003C34DB">
              <w:rPr>
                <w:rFonts w:ascii="Times New Roman" w:hAnsi="Times New Roman" w:cs="Times New Roman"/>
                <w:b/>
                <w:bCs/>
                <w:color w:val="000000"/>
              </w:rPr>
              <w:t>12 000 000</w:t>
            </w:r>
          </w:p>
        </w:tc>
        <w:tc>
          <w:tcPr>
            <w:tcW w:w="1500" w:type="dxa"/>
            <w:tcBorders>
              <w:top w:val="nil"/>
              <w:left w:val="nil"/>
              <w:bottom w:val="single" w:sz="8" w:space="0" w:color="auto"/>
              <w:right w:val="single" w:sz="8" w:space="0" w:color="auto"/>
            </w:tcBorders>
            <w:shd w:val="clear" w:color="000000" w:fill="BFBFBF"/>
            <w:vAlign w:val="center"/>
          </w:tcPr>
          <w:p w:rsidR="00A74FE9" w:rsidRPr="00124C9A" w:rsidRDefault="00A74FE9" w:rsidP="00A74FE9">
            <w:pPr>
              <w:spacing w:after="0"/>
              <w:ind w:hanging="143"/>
              <w:jc w:val="right"/>
              <w:rPr>
                <w:rFonts w:ascii="Times New Roman" w:hAnsi="Times New Roman" w:cs="Times New Roman"/>
                <w:b/>
                <w:bCs/>
                <w:color w:val="000000"/>
              </w:rPr>
            </w:pPr>
            <w:r w:rsidRPr="003C34DB">
              <w:rPr>
                <w:rFonts w:ascii="Times New Roman" w:hAnsi="Times New Roman" w:cs="Times New Roman"/>
                <w:b/>
                <w:bCs/>
                <w:color w:val="000000"/>
              </w:rPr>
              <w:t>130 000 000</w:t>
            </w:r>
          </w:p>
        </w:tc>
        <w:tc>
          <w:tcPr>
            <w:tcW w:w="1500" w:type="dxa"/>
            <w:tcBorders>
              <w:top w:val="nil"/>
              <w:left w:val="nil"/>
              <w:bottom w:val="single" w:sz="8" w:space="0" w:color="auto"/>
              <w:right w:val="single" w:sz="8" w:space="0" w:color="auto"/>
            </w:tcBorders>
            <w:shd w:val="clear" w:color="000000" w:fill="BFBFBF"/>
            <w:vAlign w:val="center"/>
          </w:tcPr>
          <w:p w:rsidR="00A74FE9" w:rsidRPr="00124C9A" w:rsidRDefault="00A74FE9" w:rsidP="00A74FE9">
            <w:pPr>
              <w:spacing w:after="0"/>
              <w:ind w:hanging="143"/>
              <w:jc w:val="right"/>
              <w:rPr>
                <w:rFonts w:ascii="Times New Roman" w:hAnsi="Times New Roman" w:cs="Times New Roman"/>
                <w:b/>
                <w:bCs/>
                <w:color w:val="000000"/>
              </w:rPr>
            </w:pPr>
            <w:r w:rsidRPr="003C34DB">
              <w:rPr>
                <w:rFonts w:ascii="Times New Roman" w:hAnsi="Times New Roman" w:cs="Times New Roman"/>
                <w:b/>
                <w:bCs/>
                <w:color w:val="000000"/>
              </w:rPr>
              <w:t>130 000 000</w:t>
            </w:r>
          </w:p>
        </w:tc>
        <w:tc>
          <w:tcPr>
            <w:tcW w:w="300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A74FE9"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p>
    <w:p w:rsidR="00A74FE9" w:rsidRPr="007D5748"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Default="00A74FE9" w:rsidP="00A74FE9">
      <w:pP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br w:type="page"/>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74FE9" w:rsidRPr="00295129"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obcí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Vplyv na rozpočet obcí</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poznámka</w:t>
            </w:r>
          </w:p>
        </w:tc>
      </w:tr>
      <w:tr w:rsidR="00A74FE9" w:rsidRPr="00295129"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2026</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Daňové príjmy (100)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898 744</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10 037 220</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12 377 829</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295129">
              <w:rPr>
                <w:rFonts w:ascii="Times New Roman" w:eastAsia="Times New Roman" w:hAnsi="Times New Roman" w:cs="Times New Roman"/>
                <w:i/>
                <w:iCs/>
                <w:color w:val="000000"/>
                <w:sz w:val="24"/>
                <w:szCs w:val="24"/>
                <w:lang w:eastAsia="sk-SK"/>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9B3767">
              <w:rPr>
                <w:rFonts w:ascii="Times New Roman" w:eastAsia="Times New Roman" w:hAnsi="Times New Roman" w:cs="Times New Roman"/>
                <w:bCs/>
                <w:color w:val="000000"/>
                <w:sz w:val="24"/>
                <w:szCs w:val="24"/>
                <w:lang w:eastAsia="sk-SK"/>
              </w:rPr>
              <w:t>898 744</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9B3767">
              <w:rPr>
                <w:rFonts w:ascii="Times New Roman" w:eastAsia="Times New Roman" w:hAnsi="Times New Roman" w:cs="Times New Roman"/>
                <w:bCs/>
                <w:color w:val="000000"/>
                <w:sz w:val="24"/>
                <w:szCs w:val="24"/>
                <w:lang w:eastAsia="sk-SK"/>
              </w:rPr>
              <w:t>10 037 220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9B3767">
              <w:rPr>
                <w:rFonts w:ascii="Times New Roman" w:eastAsia="Times New Roman" w:hAnsi="Times New Roman" w:cs="Times New Roman"/>
                <w:bCs/>
                <w:color w:val="000000"/>
                <w:sz w:val="24"/>
                <w:szCs w:val="24"/>
                <w:lang w:eastAsia="sk-SK"/>
              </w:rPr>
              <w:t>12 377 829</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Nedaňové príjmy (200)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Dopad na príjmy obcí</w:t>
            </w:r>
          </w:p>
        </w:tc>
        <w:tc>
          <w:tcPr>
            <w:tcW w:w="1540" w:type="dxa"/>
            <w:tcBorders>
              <w:top w:val="nil"/>
              <w:left w:val="nil"/>
              <w:bottom w:val="single" w:sz="8" w:space="0" w:color="auto"/>
              <w:right w:val="single" w:sz="8" w:space="0" w:color="auto"/>
            </w:tcBorders>
            <w:shd w:val="clear" w:color="000000" w:fill="BFBFBF"/>
            <w:vAlign w:val="center"/>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000000" w:fill="BFBFBF"/>
            <w:vAlign w:val="center"/>
          </w:tcPr>
          <w:p w:rsidR="00A74FE9" w:rsidRPr="00F40E15"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898 744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F40E15"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10 037 220</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F40E15"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12 377 829</w:t>
            </w:r>
          </w:p>
        </w:tc>
        <w:tc>
          <w:tcPr>
            <w:tcW w:w="1720" w:type="dxa"/>
            <w:tcBorders>
              <w:top w:val="nil"/>
              <w:left w:val="nil"/>
              <w:bottom w:val="single" w:sz="8" w:space="0" w:color="auto"/>
              <w:right w:val="single" w:sz="8" w:space="0" w:color="auto"/>
            </w:tcBorders>
            <w:shd w:val="clear" w:color="000000" w:fill="BFBFBF"/>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bl>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74FE9" w:rsidRPr="00295129"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lastRenderedPageBreak/>
              <w:t>Príjmy vyšších územných celkov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Vplyv na rozpočet vyšších územných celkov</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poznámka</w:t>
            </w:r>
          </w:p>
        </w:tc>
      </w:tr>
      <w:tr w:rsidR="00A74FE9" w:rsidRPr="00295129"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2026</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Daňové príjmy (100)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385 176</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4 301 666</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5 304 784</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295129">
              <w:rPr>
                <w:rFonts w:ascii="Times New Roman" w:eastAsia="Times New Roman" w:hAnsi="Times New Roman" w:cs="Times New Roman"/>
                <w:i/>
                <w:iCs/>
                <w:color w:val="000000"/>
                <w:sz w:val="24"/>
                <w:szCs w:val="24"/>
                <w:lang w:eastAsia="sk-SK"/>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Cs/>
                <w:color w:val="000000"/>
                <w:sz w:val="24"/>
                <w:szCs w:val="24"/>
                <w:lang w:eastAsia="sk-SK"/>
              </w:rPr>
            </w:pPr>
            <w:r w:rsidRPr="00F40E15">
              <w:rPr>
                <w:rFonts w:ascii="Times New Roman" w:eastAsia="Times New Roman" w:hAnsi="Times New Roman" w:cs="Times New Roman"/>
                <w:bCs/>
                <w:color w:val="000000"/>
                <w:sz w:val="24"/>
                <w:szCs w:val="24"/>
                <w:lang w:eastAsia="sk-SK"/>
              </w:rPr>
              <w:t>385 176</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Cs/>
                <w:color w:val="000000"/>
                <w:sz w:val="24"/>
                <w:szCs w:val="24"/>
                <w:lang w:eastAsia="sk-SK"/>
              </w:rPr>
            </w:pPr>
            <w:r w:rsidRPr="00F40E15">
              <w:rPr>
                <w:rFonts w:ascii="Times New Roman" w:eastAsia="Times New Roman" w:hAnsi="Times New Roman" w:cs="Times New Roman"/>
                <w:bCs/>
                <w:color w:val="000000"/>
                <w:sz w:val="24"/>
                <w:szCs w:val="24"/>
                <w:lang w:eastAsia="sk-SK"/>
              </w:rPr>
              <w:t>4 301 666</w:t>
            </w:r>
          </w:p>
        </w:tc>
        <w:tc>
          <w:tcPr>
            <w:tcW w:w="1740" w:type="dxa"/>
            <w:tcBorders>
              <w:top w:val="nil"/>
              <w:left w:val="nil"/>
              <w:bottom w:val="single" w:sz="8" w:space="0" w:color="auto"/>
              <w:right w:val="single" w:sz="8" w:space="0" w:color="auto"/>
            </w:tcBorders>
            <w:shd w:val="clear" w:color="auto" w:fill="auto"/>
            <w:vAlign w:val="center"/>
            <w:hideMark/>
          </w:tcPr>
          <w:p w:rsidR="00A74FE9" w:rsidRPr="00F40E15" w:rsidRDefault="00A74FE9" w:rsidP="00A74FE9">
            <w:pPr>
              <w:spacing w:after="0" w:line="240" w:lineRule="auto"/>
              <w:jc w:val="right"/>
              <w:rPr>
                <w:rFonts w:ascii="Times New Roman" w:eastAsia="Times New Roman" w:hAnsi="Times New Roman" w:cs="Times New Roman"/>
                <w:bCs/>
                <w:color w:val="000000"/>
                <w:sz w:val="24"/>
                <w:szCs w:val="24"/>
                <w:lang w:eastAsia="sk-SK"/>
              </w:rPr>
            </w:pPr>
            <w:r w:rsidRPr="00F40E15">
              <w:rPr>
                <w:rFonts w:ascii="Times New Roman" w:eastAsia="Times New Roman" w:hAnsi="Times New Roman" w:cs="Times New Roman"/>
                <w:bCs/>
                <w:color w:val="000000"/>
                <w:sz w:val="24"/>
                <w:szCs w:val="24"/>
                <w:lang w:eastAsia="sk-SK"/>
              </w:rPr>
              <w:t>5 304 784</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Nedaňové príjmy (200)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Dopad na príjmy vyšších územných celkov</w:t>
            </w: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F40E15"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385 176</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F40E15"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4 301 666</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F40E15"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F40E15">
              <w:rPr>
                <w:rFonts w:ascii="Times New Roman" w:eastAsia="Times New Roman" w:hAnsi="Times New Roman" w:cs="Times New Roman"/>
                <w:b/>
                <w:bCs/>
                <w:color w:val="000000"/>
                <w:sz w:val="24"/>
                <w:szCs w:val="24"/>
                <w:lang w:eastAsia="sk-SK"/>
              </w:rPr>
              <w:t>5 304 784</w:t>
            </w:r>
          </w:p>
        </w:tc>
        <w:tc>
          <w:tcPr>
            <w:tcW w:w="1720" w:type="dxa"/>
            <w:tcBorders>
              <w:top w:val="nil"/>
              <w:left w:val="nil"/>
              <w:bottom w:val="single" w:sz="8" w:space="0" w:color="auto"/>
              <w:right w:val="single" w:sz="8" w:space="0" w:color="auto"/>
            </w:tcBorders>
            <w:shd w:val="clear" w:color="000000" w:fill="BFBFBF"/>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bl>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rPr>
          <w:rFonts w:ascii="Times New Roman" w:eastAsia="Times New Roman" w:hAnsi="Times New Roman" w:cs="Times New Roman"/>
          <w:bCs/>
          <w:sz w:val="24"/>
          <w:szCs w:val="24"/>
          <w:lang w:eastAsia="sk-SK"/>
        </w:rPr>
      </w:pPr>
    </w:p>
    <w:p w:rsidR="00A74FE9" w:rsidRDefault="00A74FE9" w:rsidP="00A74FE9">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74FE9" w:rsidRPr="00295129"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lastRenderedPageBreak/>
              <w:t>Príjmy zdravotných poisťovní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Vplyv na rozpočet zdravotných poisťovní</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poznámka</w:t>
            </w:r>
          </w:p>
        </w:tc>
      </w:tr>
      <w:tr w:rsidR="00A74FE9" w:rsidRPr="00295129"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2026</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Daňové príjmy (100)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9B3767">
              <w:rPr>
                <w:rFonts w:ascii="Times New Roman" w:eastAsia="Times New Roman" w:hAnsi="Times New Roman" w:cs="Times New Roman"/>
                <w:b/>
                <w:bCs/>
                <w:color w:val="000000"/>
                <w:sz w:val="24"/>
                <w:szCs w:val="24"/>
                <w:lang w:eastAsia="sk-SK"/>
              </w:rPr>
              <w:t>1 761 223</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9B3767">
              <w:rPr>
                <w:rFonts w:ascii="Times New Roman" w:eastAsia="Times New Roman" w:hAnsi="Times New Roman" w:cs="Times New Roman"/>
                <w:b/>
                <w:bCs/>
                <w:color w:val="000000"/>
                <w:sz w:val="24"/>
                <w:szCs w:val="24"/>
                <w:lang w:eastAsia="sk-SK"/>
              </w:rPr>
              <w:t>19 268 620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9B3767">
              <w:rPr>
                <w:rFonts w:ascii="Times New Roman" w:eastAsia="Times New Roman" w:hAnsi="Times New Roman" w:cs="Times New Roman"/>
                <w:b/>
                <w:bCs/>
                <w:color w:val="000000"/>
                <w:sz w:val="24"/>
                <w:szCs w:val="24"/>
                <w:lang w:eastAsia="sk-SK"/>
              </w:rPr>
              <w:t>20 091 468</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295129">
              <w:rPr>
                <w:rFonts w:ascii="Times New Roman" w:eastAsia="Times New Roman" w:hAnsi="Times New Roman" w:cs="Times New Roman"/>
                <w:i/>
                <w:iCs/>
                <w:color w:val="000000"/>
                <w:sz w:val="24"/>
                <w:szCs w:val="24"/>
                <w:lang w:eastAsia="sk-SK"/>
              </w:rPr>
              <w:t>v tom: (154) poistné na zdravotné odvody</w:t>
            </w:r>
          </w:p>
        </w:tc>
        <w:tc>
          <w:tcPr>
            <w:tcW w:w="15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9B3767">
              <w:rPr>
                <w:rFonts w:ascii="Times New Roman" w:eastAsia="Times New Roman" w:hAnsi="Times New Roman" w:cs="Times New Roman"/>
                <w:bCs/>
                <w:color w:val="000000"/>
                <w:sz w:val="24"/>
                <w:szCs w:val="24"/>
                <w:lang w:eastAsia="sk-SK"/>
              </w:rPr>
              <w:t>1 761 223</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9B3767">
              <w:rPr>
                <w:rFonts w:ascii="Times New Roman" w:eastAsia="Times New Roman" w:hAnsi="Times New Roman" w:cs="Times New Roman"/>
                <w:bCs/>
                <w:color w:val="000000"/>
                <w:sz w:val="24"/>
                <w:szCs w:val="24"/>
                <w:lang w:eastAsia="sk-SK"/>
              </w:rPr>
              <w:t>19 268 620</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9B3767">
              <w:rPr>
                <w:rFonts w:ascii="Times New Roman" w:eastAsia="Times New Roman" w:hAnsi="Times New Roman" w:cs="Times New Roman"/>
                <w:bCs/>
                <w:color w:val="000000"/>
                <w:sz w:val="24"/>
                <w:szCs w:val="24"/>
                <w:lang w:eastAsia="sk-SK"/>
              </w:rPr>
              <w:t>20 091 468</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Nedaňové príjmy (200)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Dopad na príjmy zdravotných poisťovní</w:t>
            </w: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
                <w:bCs/>
                <w:color w:val="000000"/>
                <w:sz w:val="24"/>
                <w:szCs w:val="24"/>
                <w:lang w:eastAsia="sk-SK"/>
              </w:rPr>
              <w:t>0</w:t>
            </w:r>
            <w:r w:rsidRPr="00295129">
              <w:rPr>
                <w:rFonts w:ascii="Times New Roman" w:eastAsia="Times New Roman" w:hAnsi="Times New Roman" w:cs="Times New Roman"/>
                <w:b/>
                <w:bCs/>
                <w:color w:val="000000"/>
                <w:sz w:val="24"/>
                <w:szCs w:val="24"/>
                <w:lang w:eastAsia="sk-SK"/>
              </w:rPr>
              <w:t xml:space="preserve">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9B3767">
              <w:rPr>
                <w:rFonts w:ascii="Times New Roman" w:eastAsia="Times New Roman" w:hAnsi="Times New Roman" w:cs="Times New Roman"/>
                <w:b/>
                <w:bCs/>
                <w:color w:val="000000"/>
                <w:sz w:val="24"/>
                <w:szCs w:val="24"/>
                <w:lang w:eastAsia="sk-SK"/>
              </w:rPr>
              <w:t>1 761 223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9B3767">
              <w:rPr>
                <w:rFonts w:ascii="Times New Roman" w:eastAsia="Times New Roman" w:hAnsi="Times New Roman" w:cs="Times New Roman"/>
                <w:b/>
                <w:bCs/>
                <w:color w:val="000000"/>
                <w:sz w:val="24"/>
                <w:szCs w:val="24"/>
                <w:lang w:eastAsia="sk-SK"/>
              </w:rPr>
              <w:t>19 268 620</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9B3767">
              <w:rPr>
                <w:rFonts w:ascii="Times New Roman" w:eastAsia="Times New Roman" w:hAnsi="Times New Roman" w:cs="Times New Roman"/>
                <w:b/>
                <w:bCs/>
                <w:color w:val="000000"/>
                <w:sz w:val="24"/>
                <w:szCs w:val="24"/>
                <w:lang w:eastAsia="sk-SK"/>
              </w:rPr>
              <w:t>20 091 468</w:t>
            </w:r>
          </w:p>
        </w:tc>
        <w:tc>
          <w:tcPr>
            <w:tcW w:w="1720" w:type="dxa"/>
            <w:tcBorders>
              <w:top w:val="nil"/>
              <w:left w:val="nil"/>
              <w:bottom w:val="single" w:sz="8" w:space="0" w:color="auto"/>
              <w:right w:val="single" w:sz="8" w:space="0" w:color="auto"/>
            </w:tcBorders>
            <w:shd w:val="clear" w:color="000000" w:fill="BFBFBF"/>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bl>
    <w:p w:rsidR="00A74FE9" w:rsidRDefault="00A74FE9" w:rsidP="00A74FE9">
      <w:pPr>
        <w:rPr>
          <w:rFonts w:ascii="Times New Roman" w:eastAsia="Times New Roman" w:hAnsi="Times New Roman" w:cs="Times New Roman"/>
          <w:bCs/>
          <w:sz w:val="24"/>
          <w:szCs w:val="24"/>
          <w:lang w:eastAsia="sk-SK"/>
        </w:rPr>
      </w:pPr>
    </w:p>
    <w:p w:rsidR="00A74FE9" w:rsidRDefault="00A74FE9" w:rsidP="00A74FE9">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74FE9" w:rsidRPr="00295129" w:rsidTr="00A74FE9">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lastRenderedPageBreak/>
              <w:t xml:space="preserve">Príjmy </w:t>
            </w:r>
            <w:r>
              <w:rPr>
                <w:rFonts w:ascii="Times New Roman" w:eastAsia="Times New Roman" w:hAnsi="Times New Roman" w:cs="Times New Roman"/>
                <w:b/>
                <w:bCs/>
                <w:color w:val="000000"/>
                <w:sz w:val="24"/>
                <w:szCs w:val="24"/>
                <w:lang w:eastAsia="sk-SK"/>
              </w:rPr>
              <w:t>Sociálnej poisťovne</w:t>
            </w:r>
            <w:r w:rsidRPr="00295129">
              <w:rPr>
                <w:rFonts w:ascii="Times New Roman" w:eastAsia="Times New Roman" w:hAnsi="Times New Roman" w:cs="Times New Roman"/>
                <w:b/>
                <w:bCs/>
                <w:color w:val="000000"/>
                <w:sz w:val="24"/>
                <w:szCs w:val="24"/>
                <w:lang w:eastAsia="sk-SK"/>
              </w:rPr>
              <w:t xml:space="preserve">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Vplyv na rozpočet zdravotných poisťovní</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poznámka</w:t>
            </w:r>
          </w:p>
        </w:tc>
      </w:tr>
      <w:tr w:rsidR="00A74FE9" w:rsidRPr="00295129" w:rsidTr="00A74FE9">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2026</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Daňové príjmy (100)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842A44"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842A44">
              <w:rPr>
                <w:rFonts w:ascii="Times New Roman" w:eastAsia="Times New Roman" w:hAnsi="Times New Roman" w:cs="Times New Roman"/>
                <w:b/>
                <w:bCs/>
                <w:color w:val="000000"/>
                <w:sz w:val="24"/>
                <w:szCs w:val="24"/>
                <w:lang w:eastAsia="sk-SK"/>
              </w:rPr>
              <w:t>3 415 023</w:t>
            </w:r>
          </w:p>
        </w:tc>
        <w:tc>
          <w:tcPr>
            <w:tcW w:w="1740" w:type="dxa"/>
            <w:tcBorders>
              <w:top w:val="nil"/>
              <w:left w:val="nil"/>
              <w:bottom w:val="single" w:sz="8" w:space="0" w:color="auto"/>
              <w:right w:val="single" w:sz="8" w:space="0" w:color="auto"/>
            </w:tcBorders>
            <w:shd w:val="clear" w:color="auto" w:fill="auto"/>
            <w:vAlign w:val="center"/>
            <w:hideMark/>
          </w:tcPr>
          <w:p w:rsidR="00A74FE9" w:rsidRPr="00842A44"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842A44">
              <w:rPr>
                <w:rFonts w:ascii="Times New Roman" w:eastAsia="Times New Roman" w:hAnsi="Times New Roman" w:cs="Times New Roman"/>
                <w:b/>
                <w:bCs/>
                <w:color w:val="000000"/>
                <w:sz w:val="24"/>
                <w:szCs w:val="24"/>
                <w:lang w:eastAsia="sk-SK"/>
              </w:rPr>
              <w:t>37 172 453</w:t>
            </w:r>
          </w:p>
        </w:tc>
        <w:tc>
          <w:tcPr>
            <w:tcW w:w="1740" w:type="dxa"/>
            <w:tcBorders>
              <w:top w:val="nil"/>
              <w:left w:val="nil"/>
              <w:bottom w:val="single" w:sz="8" w:space="0" w:color="auto"/>
              <w:right w:val="single" w:sz="8" w:space="0" w:color="auto"/>
            </w:tcBorders>
            <w:shd w:val="clear" w:color="auto" w:fill="auto"/>
            <w:vAlign w:val="center"/>
            <w:hideMark/>
          </w:tcPr>
          <w:p w:rsidR="00A74FE9" w:rsidRPr="00842A44"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842A44">
              <w:rPr>
                <w:rFonts w:ascii="Times New Roman" w:eastAsia="Times New Roman" w:hAnsi="Times New Roman" w:cs="Times New Roman"/>
                <w:b/>
                <w:bCs/>
                <w:color w:val="000000"/>
                <w:sz w:val="24"/>
                <w:szCs w:val="24"/>
                <w:lang w:eastAsia="sk-SK"/>
              </w:rPr>
              <w:t>38 573 694</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ind w:firstLineChars="100" w:firstLine="240"/>
              <w:rPr>
                <w:rFonts w:ascii="Times New Roman" w:eastAsia="Times New Roman" w:hAnsi="Times New Roman" w:cs="Times New Roman"/>
                <w:i/>
                <w:iCs/>
                <w:color w:val="000000"/>
                <w:sz w:val="24"/>
                <w:szCs w:val="24"/>
                <w:lang w:eastAsia="sk-SK"/>
              </w:rPr>
            </w:pPr>
            <w:r w:rsidRPr="00842A44">
              <w:rPr>
                <w:rFonts w:ascii="Times New Roman" w:eastAsia="Times New Roman" w:hAnsi="Times New Roman" w:cs="Times New Roman"/>
                <w:i/>
                <w:iCs/>
                <w:color w:val="000000"/>
                <w:sz w:val="24"/>
                <w:szCs w:val="24"/>
                <w:lang w:eastAsia="sk-SK"/>
              </w:rPr>
              <w:t>v tom: (150 okrem 154) poistné</w:t>
            </w:r>
          </w:p>
        </w:tc>
        <w:tc>
          <w:tcPr>
            <w:tcW w:w="154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jc w:val="right"/>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842A44" w:rsidRDefault="00A74FE9" w:rsidP="00A74FE9">
            <w:pPr>
              <w:spacing w:after="0" w:line="240" w:lineRule="auto"/>
              <w:jc w:val="right"/>
              <w:rPr>
                <w:rFonts w:ascii="Times New Roman" w:eastAsia="Times New Roman" w:hAnsi="Times New Roman" w:cs="Times New Roman"/>
                <w:bCs/>
                <w:color w:val="000000"/>
                <w:sz w:val="24"/>
                <w:szCs w:val="24"/>
                <w:lang w:eastAsia="sk-SK"/>
              </w:rPr>
            </w:pPr>
            <w:r w:rsidRPr="00842A44">
              <w:rPr>
                <w:rFonts w:ascii="Times New Roman" w:eastAsia="Times New Roman" w:hAnsi="Times New Roman" w:cs="Times New Roman"/>
                <w:bCs/>
                <w:color w:val="000000"/>
                <w:sz w:val="24"/>
                <w:szCs w:val="24"/>
                <w:lang w:eastAsia="sk-SK"/>
              </w:rPr>
              <w:t>3 415 023</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842A44" w:rsidRDefault="00A74FE9" w:rsidP="00A74FE9">
            <w:pPr>
              <w:spacing w:after="0" w:line="240" w:lineRule="auto"/>
              <w:jc w:val="right"/>
              <w:rPr>
                <w:rFonts w:ascii="Times New Roman" w:eastAsia="Times New Roman" w:hAnsi="Times New Roman" w:cs="Times New Roman"/>
                <w:bCs/>
                <w:color w:val="000000"/>
                <w:sz w:val="24"/>
                <w:szCs w:val="24"/>
                <w:lang w:eastAsia="sk-SK"/>
              </w:rPr>
            </w:pPr>
            <w:r w:rsidRPr="00842A44">
              <w:rPr>
                <w:rFonts w:ascii="Times New Roman" w:eastAsia="Times New Roman" w:hAnsi="Times New Roman" w:cs="Times New Roman"/>
                <w:bCs/>
                <w:color w:val="000000"/>
                <w:sz w:val="24"/>
                <w:szCs w:val="24"/>
                <w:lang w:eastAsia="sk-SK"/>
              </w:rPr>
              <w:t>37 172 453</w:t>
            </w:r>
          </w:p>
        </w:tc>
        <w:tc>
          <w:tcPr>
            <w:tcW w:w="1740" w:type="dxa"/>
            <w:tcBorders>
              <w:top w:val="nil"/>
              <w:left w:val="nil"/>
              <w:bottom w:val="single" w:sz="8" w:space="0" w:color="auto"/>
              <w:right w:val="single" w:sz="8" w:space="0" w:color="auto"/>
            </w:tcBorders>
            <w:shd w:val="clear" w:color="auto" w:fill="auto"/>
            <w:noWrap/>
            <w:vAlign w:val="center"/>
            <w:hideMark/>
          </w:tcPr>
          <w:p w:rsidR="00A74FE9" w:rsidRPr="00842A44" w:rsidRDefault="00A74FE9" w:rsidP="00A74FE9">
            <w:pPr>
              <w:spacing w:after="0" w:line="240" w:lineRule="auto"/>
              <w:jc w:val="right"/>
              <w:rPr>
                <w:rFonts w:ascii="Times New Roman" w:eastAsia="Times New Roman" w:hAnsi="Times New Roman" w:cs="Times New Roman"/>
                <w:bCs/>
                <w:color w:val="000000"/>
                <w:sz w:val="24"/>
                <w:szCs w:val="24"/>
                <w:lang w:eastAsia="sk-SK"/>
              </w:rPr>
            </w:pPr>
            <w:r w:rsidRPr="00842A44">
              <w:rPr>
                <w:rFonts w:ascii="Times New Roman" w:eastAsia="Times New Roman" w:hAnsi="Times New Roman" w:cs="Times New Roman"/>
                <w:bCs/>
                <w:color w:val="000000"/>
                <w:sz w:val="24"/>
                <w:szCs w:val="24"/>
                <w:lang w:eastAsia="sk-SK"/>
              </w:rPr>
              <w:t>38 573 694</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Nedaňové príjmy (200)</w:t>
            </w:r>
            <w:r w:rsidRPr="00295129">
              <w:rPr>
                <w:rFonts w:ascii="Times New Roman" w:eastAsia="Times New Roman" w:hAnsi="Times New Roman" w:cs="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right"/>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r w:rsidR="00A74FE9" w:rsidRPr="00295129" w:rsidTr="00A74FE9">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Dopad na príjmy zdravotných poisťovní</w:t>
            </w:r>
          </w:p>
        </w:tc>
        <w:tc>
          <w:tcPr>
            <w:tcW w:w="1540" w:type="dxa"/>
            <w:tcBorders>
              <w:top w:val="nil"/>
              <w:left w:val="nil"/>
              <w:bottom w:val="single" w:sz="8" w:space="0" w:color="auto"/>
              <w:right w:val="single" w:sz="8" w:space="0" w:color="auto"/>
            </w:tcBorders>
            <w:shd w:val="clear" w:color="000000" w:fill="BFBFBF"/>
            <w:vAlign w:val="center"/>
            <w:hideMark/>
          </w:tcPr>
          <w:p w:rsidR="00A74FE9" w:rsidRPr="00295129"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295129">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
                <w:bCs/>
                <w:color w:val="000000"/>
                <w:sz w:val="24"/>
                <w:szCs w:val="24"/>
                <w:lang w:eastAsia="sk-SK"/>
              </w:rPr>
              <w:t>0</w:t>
            </w:r>
            <w:r w:rsidRPr="00295129">
              <w:rPr>
                <w:rFonts w:ascii="Times New Roman" w:eastAsia="Times New Roman" w:hAnsi="Times New Roman" w:cs="Times New Roman"/>
                <w:b/>
                <w:bCs/>
                <w:color w:val="000000"/>
                <w:sz w:val="24"/>
                <w:szCs w:val="24"/>
                <w:lang w:eastAsia="sk-SK"/>
              </w:rPr>
              <w:t xml:space="preserve">     </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842A44"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842A44">
              <w:rPr>
                <w:rFonts w:ascii="Times New Roman" w:eastAsia="Times New Roman" w:hAnsi="Times New Roman" w:cs="Times New Roman"/>
                <w:b/>
                <w:bCs/>
                <w:color w:val="000000"/>
                <w:sz w:val="24"/>
                <w:szCs w:val="24"/>
                <w:lang w:eastAsia="sk-SK"/>
              </w:rPr>
              <w:t>3 415 023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842A44"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842A44">
              <w:rPr>
                <w:rFonts w:ascii="Times New Roman" w:eastAsia="Times New Roman" w:hAnsi="Times New Roman" w:cs="Times New Roman"/>
                <w:b/>
                <w:bCs/>
                <w:color w:val="000000"/>
                <w:sz w:val="24"/>
                <w:szCs w:val="24"/>
                <w:lang w:eastAsia="sk-SK"/>
              </w:rPr>
              <w:t>37 172 453</w:t>
            </w:r>
          </w:p>
        </w:tc>
        <w:tc>
          <w:tcPr>
            <w:tcW w:w="1740" w:type="dxa"/>
            <w:tcBorders>
              <w:top w:val="nil"/>
              <w:left w:val="nil"/>
              <w:bottom w:val="single" w:sz="8" w:space="0" w:color="auto"/>
              <w:right w:val="single" w:sz="8" w:space="0" w:color="auto"/>
            </w:tcBorders>
            <w:shd w:val="clear" w:color="000000" w:fill="BFBFBF"/>
            <w:vAlign w:val="center"/>
            <w:hideMark/>
          </w:tcPr>
          <w:p w:rsidR="00A74FE9" w:rsidRPr="00842A44"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sidRPr="00842A44">
              <w:rPr>
                <w:rFonts w:ascii="Times New Roman" w:eastAsia="Times New Roman" w:hAnsi="Times New Roman" w:cs="Times New Roman"/>
                <w:b/>
                <w:bCs/>
                <w:color w:val="000000"/>
                <w:sz w:val="24"/>
                <w:szCs w:val="24"/>
                <w:lang w:eastAsia="sk-SK"/>
              </w:rPr>
              <w:t>38 573 694</w:t>
            </w:r>
          </w:p>
        </w:tc>
        <w:tc>
          <w:tcPr>
            <w:tcW w:w="1720" w:type="dxa"/>
            <w:tcBorders>
              <w:top w:val="nil"/>
              <w:left w:val="nil"/>
              <w:bottom w:val="single" w:sz="8" w:space="0" w:color="auto"/>
              <w:right w:val="single" w:sz="8" w:space="0" w:color="auto"/>
            </w:tcBorders>
            <w:shd w:val="clear" w:color="000000" w:fill="BFBFBF"/>
            <w:noWrap/>
            <w:vAlign w:val="center"/>
            <w:hideMark/>
          </w:tcPr>
          <w:p w:rsidR="00A74FE9" w:rsidRPr="00295129" w:rsidRDefault="00A74FE9" w:rsidP="00A74FE9">
            <w:pPr>
              <w:spacing w:after="0" w:line="240" w:lineRule="auto"/>
              <w:rPr>
                <w:rFonts w:ascii="Times New Roman" w:eastAsia="Times New Roman" w:hAnsi="Times New Roman" w:cs="Times New Roman"/>
                <w:color w:val="000000"/>
                <w:sz w:val="24"/>
                <w:szCs w:val="24"/>
                <w:lang w:eastAsia="sk-SK"/>
              </w:rPr>
            </w:pPr>
            <w:r w:rsidRPr="00295129">
              <w:rPr>
                <w:rFonts w:ascii="Times New Roman" w:eastAsia="Times New Roman" w:hAnsi="Times New Roman" w:cs="Times New Roman"/>
                <w:color w:val="000000"/>
                <w:sz w:val="24"/>
                <w:szCs w:val="24"/>
                <w:lang w:eastAsia="sk-SK"/>
              </w:rPr>
              <w:t> </w:t>
            </w:r>
          </w:p>
        </w:tc>
      </w:tr>
    </w:tbl>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p w:rsidR="00A74FE9" w:rsidRPr="007D5748"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D5748" w:rsidRDefault="00A74FE9" w:rsidP="00A74FE9">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74FE9" w:rsidRPr="00E425AF" w:rsidTr="00A74FE9">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2022</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2023</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2024</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A74FE9" w:rsidRPr="00E425AF" w:rsidRDefault="00A74FE9" w:rsidP="00A74FE9">
            <w:pPr>
              <w:spacing w:after="100" w:afterAutospacing="1"/>
              <w:jc w:val="center"/>
              <w:rPr>
                <w:rFonts w:ascii="Times New Roman" w:hAnsi="Times New Roman" w:cs="Times New Roman"/>
                <w:b/>
                <w:bCs/>
                <w:color w:val="000000"/>
              </w:rPr>
            </w:pPr>
            <w:r w:rsidRPr="00E425AF">
              <w:rPr>
                <w:rFonts w:ascii="Times New Roman" w:hAnsi="Times New Roman" w:cs="Times New Roman"/>
                <w:b/>
                <w:bCs/>
                <w:color w:val="000000"/>
              </w:rPr>
              <w:t>2025</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100" w:afterAutospacing="1"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Tovary a služby (630)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Bežné transfery (640)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Splácanie úrokov a ostatné platby súvisiace s  úverom, pôžičkou, návratnou finančnou výpomocou a finančným prenájmom (650)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Obstarávanie kapitálových aktív (710)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ind w:firstLineChars="100" w:firstLine="220"/>
              <w:rPr>
                <w:rFonts w:ascii="Times New Roman" w:hAnsi="Times New Roman" w:cs="Times New Roman"/>
                <w:i/>
                <w:iCs/>
                <w:color w:val="000000"/>
              </w:rPr>
            </w:pPr>
            <w:r w:rsidRPr="00E425AF">
              <w:rPr>
                <w:rFonts w:ascii="Times New Roman" w:hAnsi="Times New Roman" w:cs="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color w:val="000000"/>
              </w:rPr>
            </w:pPr>
            <w:r w:rsidRPr="00E425AF">
              <w:rPr>
                <w:rFonts w:ascii="Times New Roman" w:hAnsi="Times New Roman" w:cs="Times New Roman"/>
                <w:color w:val="000000"/>
              </w:rPr>
              <w:t xml:space="preserve">  Kapitálové transfery (720)</w:t>
            </w:r>
            <w:r w:rsidRPr="00E425AF">
              <w:rPr>
                <w:rFonts w:ascii="Times New Roman" w:hAnsi="Times New Roman" w:cs="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000000" w:fill="FFFF99"/>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000000" w:fill="FFFF99"/>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2220" w:type="dxa"/>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p>
        </w:tc>
        <w:tc>
          <w:tcPr>
            <w:tcW w:w="1701" w:type="dxa"/>
            <w:tcBorders>
              <w:top w:val="nil"/>
              <w:left w:val="nil"/>
              <w:bottom w:val="single" w:sz="8" w:space="0" w:color="auto"/>
              <w:right w:val="single" w:sz="8" w:space="0" w:color="auto"/>
            </w:tcBorders>
            <w:shd w:val="clear" w:color="000000" w:fill="BFBFBF"/>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1630" w:type="dxa"/>
            <w:tcBorders>
              <w:top w:val="nil"/>
              <w:left w:val="nil"/>
              <w:bottom w:val="single" w:sz="8" w:space="0" w:color="auto"/>
              <w:right w:val="single" w:sz="8" w:space="0" w:color="auto"/>
            </w:tcBorders>
            <w:shd w:val="clear" w:color="000000" w:fill="BFBFBF"/>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1540" w:type="dxa"/>
            <w:tcBorders>
              <w:top w:val="nil"/>
              <w:left w:val="nil"/>
              <w:bottom w:val="single" w:sz="8" w:space="0" w:color="auto"/>
              <w:right w:val="single" w:sz="8" w:space="0" w:color="auto"/>
            </w:tcBorders>
            <w:shd w:val="clear" w:color="000000" w:fill="BFBFBF"/>
            <w:vAlign w:val="center"/>
          </w:tcPr>
          <w:p w:rsidR="00A74FE9" w:rsidRPr="00F40E15" w:rsidRDefault="00A74FE9" w:rsidP="00A74FE9">
            <w:pPr>
              <w:spacing w:after="0"/>
              <w:jc w:val="right"/>
              <w:rPr>
                <w:rFonts w:ascii="Times New Roman" w:hAnsi="Times New Roman" w:cs="Times New Roman"/>
                <w:b/>
                <w:bCs/>
                <w:color w:val="000000"/>
              </w:rPr>
            </w:pPr>
            <w:r w:rsidRPr="00F40E15">
              <w:rPr>
                <w:rFonts w:ascii="Times New Roman" w:hAnsi="Times New Roman" w:cs="Times New Roman"/>
                <w:b/>
                <w:color w:val="00000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bl>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rsidR="00A74FE9" w:rsidRPr="007D5748"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D5748"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A74FE9" w:rsidRPr="007D5748"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74FE9" w:rsidRPr="00E425AF"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E425AF" w:rsidRDefault="00A74FE9" w:rsidP="00A74FE9">
            <w:pPr>
              <w:spacing w:after="0" w:line="240" w:lineRule="auto"/>
              <w:jc w:val="center"/>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poznámka</w:t>
            </w:r>
          </w:p>
        </w:tc>
      </w:tr>
      <w:tr w:rsidR="00A74FE9" w:rsidRPr="00E425AF"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2022</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2023</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2024</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jc w:val="center"/>
              <w:rPr>
                <w:rFonts w:ascii="Times New Roman" w:hAnsi="Times New Roman" w:cs="Times New Roman"/>
                <w:b/>
                <w:bCs/>
                <w:color w:val="000000"/>
              </w:rPr>
            </w:pPr>
            <w:r w:rsidRPr="00E425AF">
              <w:rPr>
                <w:rFonts w:ascii="Times New Roman" w:hAnsi="Times New Roman" w:cs="Times New Roman"/>
                <w:b/>
                <w:bCs/>
                <w:color w:val="000000"/>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E425AF" w:rsidRDefault="00A74FE9" w:rsidP="00A74FE9">
            <w:pPr>
              <w:spacing w:after="0" w:line="240" w:lineRule="auto"/>
              <w:rPr>
                <w:rFonts w:ascii="Times New Roman" w:eastAsia="Times New Roman" w:hAnsi="Times New Roman" w:cs="Times New Roman"/>
                <w:b/>
                <w:bCs/>
                <w:color w:val="FFFFFF"/>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b/>
                <w:bCs/>
                <w:color w:val="000000"/>
              </w:rPr>
            </w:pPr>
            <w:r w:rsidRPr="00E425AF">
              <w:rPr>
                <w:rFonts w:ascii="Times New Roman" w:hAnsi="Times New Roman" w:cs="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 </w:t>
            </w:r>
          </w:p>
        </w:tc>
      </w:tr>
      <w:tr w:rsidR="00A74FE9" w:rsidRPr="00E425AF" w:rsidTr="00A74FE9">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rPr>
                <w:rFonts w:ascii="Times New Roman" w:hAnsi="Times New Roman" w:cs="Times New Roman"/>
                <w:b/>
                <w:bCs/>
                <w:color w:val="000000"/>
              </w:rPr>
            </w:pPr>
            <w:r w:rsidRPr="00E425AF">
              <w:rPr>
                <w:rFonts w:ascii="Times New Roman" w:hAnsi="Times New Roman" w:cs="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85" w:type="dxa"/>
            <w:gridSpan w:val="2"/>
            <w:tcBorders>
              <w:top w:val="nil"/>
              <w:left w:val="nil"/>
              <w:bottom w:val="single" w:sz="8" w:space="0" w:color="auto"/>
              <w:right w:val="nil"/>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A74FE9" w:rsidRPr="00E425AF" w:rsidRDefault="00A74FE9" w:rsidP="00A74FE9">
            <w:pPr>
              <w:spacing w:after="0"/>
              <w:jc w:val="right"/>
              <w:rPr>
                <w:rFonts w:ascii="Times New Roman" w:hAnsi="Times New Roman" w:cs="Times New Roman"/>
                <w:color w:val="000000"/>
              </w:rPr>
            </w:pPr>
            <w:r w:rsidRPr="00E425AF">
              <w:rPr>
                <w:rFonts w:ascii="Times New Roman" w:hAnsi="Times New Roman" w:cs="Times New Roman"/>
                <w:color w:val="000000"/>
              </w:rPr>
              <w:t>0</w:t>
            </w:r>
          </w:p>
        </w:tc>
        <w:tc>
          <w:tcPr>
            <w:tcW w:w="1620" w:type="dxa"/>
            <w:gridSpan w:val="2"/>
            <w:tcBorders>
              <w:top w:val="nil"/>
              <w:left w:val="nil"/>
              <w:bottom w:val="single" w:sz="4" w:space="0" w:color="auto"/>
              <w:right w:val="single" w:sz="4" w:space="0" w:color="auto"/>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 </w:t>
            </w:r>
          </w:p>
        </w:tc>
      </w:tr>
      <w:tr w:rsidR="00A74FE9" w:rsidRPr="00E425AF" w:rsidTr="00A74FE9">
        <w:trPr>
          <w:trHeight w:val="255"/>
        </w:trPr>
        <w:tc>
          <w:tcPr>
            <w:tcW w:w="618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6188" w:type="dxa"/>
            <w:tcBorders>
              <w:top w:val="nil"/>
              <w:left w:val="nil"/>
              <w:bottom w:val="nil"/>
              <w:right w:val="nil"/>
            </w:tcBorders>
          </w:tcPr>
          <w:p w:rsidR="00A74FE9" w:rsidRPr="00E425AF" w:rsidRDefault="00A74FE9" w:rsidP="00A74FE9">
            <w:pPr>
              <w:spacing w:after="0" w:line="240" w:lineRule="auto"/>
              <w:rPr>
                <w:rFonts w:ascii="Times New Roman" w:eastAsia="Times New Roman" w:hAnsi="Times New Roman" w:cs="Times New Roman"/>
                <w:b/>
                <w:bCs/>
                <w:lang w:eastAsia="sk-SK"/>
              </w:rPr>
            </w:pPr>
            <w:r w:rsidRPr="00E425AF">
              <w:rPr>
                <w:rFonts w:ascii="Times New Roman" w:eastAsia="Times New Roman" w:hAnsi="Times New Roman" w:cs="Times New Roman"/>
                <w:b/>
                <w:bCs/>
                <w:lang w:eastAsia="sk-SK"/>
              </w:rPr>
              <w:t>Poznámky:</w:t>
            </w:r>
          </w:p>
        </w:tc>
        <w:tc>
          <w:tcPr>
            <w:tcW w:w="169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65"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85"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978"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3814" w:type="dxa"/>
            <w:gridSpan w:val="6"/>
            <w:tcBorders>
              <w:top w:val="nil"/>
              <w:left w:val="nil"/>
              <w:bottom w:val="nil"/>
              <w:right w:val="nil"/>
            </w:tcBorders>
            <w:noWrap/>
          </w:tcPr>
          <w:p w:rsidR="00A74FE9" w:rsidRPr="00E425AF" w:rsidRDefault="00A74FE9" w:rsidP="00A74FE9">
            <w:pPr>
              <w:tabs>
                <w:tab w:val="num" w:pos="1080"/>
              </w:tabs>
              <w:spacing w:after="0" w:line="240" w:lineRule="auto"/>
              <w:jc w:val="both"/>
              <w:rPr>
                <w:rFonts w:ascii="Times New Roman" w:eastAsia="Times New Roman" w:hAnsi="Times New Roman" w:cs="Times New Roman"/>
                <w:bCs/>
                <w:lang w:eastAsia="sk-SK"/>
              </w:rPr>
            </w:pPr>
            <w:r w:rsidRPr="00E425AF">
              <w:rPr>
                <w:rFonts w:ascii="Times New Roman" w:eastAsia="Times New Roman" w:hAnsi="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r w:rsidR="00A74FE9" w:rsidRPr="00E425AF" w:rsidTr="00A74FE9">
        <w:trPr>
          <w:trHeight w:val="255"/>
        </w:trPr>
        <w:tc>
          <w:tcPr>
            <w:tcW w:w="10394" w:type="dxa"/>
            <w:gridSpan w:val="4"/>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r w:rsidRPr="00E425AF">
              <w:rPr>
                <w:rFonts w:ascii="Times New Roman" w:eastAsia="Times New Roman" w:hAnsi="Times New Roman" w:cs="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2608" w:type="dxa"/>
            <w:gridSpan w:val="2"/>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c>
          <w:tcPr>
            <w:tcW w:w="990" w:type="dxa"/>
            <w:tcBorders>
              <w:top w:val="nil"/>
              <w:left w:val="nil"/>
              <w:bottom w:val="nil"/>
              <w:right w:val="nil"/>
            </w:tcBorders>
            <w:noWrap/>
            <w:vAlign w:val="bottom"/>
          </w:tcPr>
          <w:p w:rsidR="00A74FE9" w:rsidRPr="00E425AF" w:rsidRDefault="00A74FE9" w:rsidP="00A74FE9">
            <w:pPr>
              <w:spacing w:after="0" w:line="240" w:lineRule="auto"/>
              <w:rPr>
                <w:rFonts w:ascii="Times New Roman" w:eastAsia="Times New Roman" w:hAnsi="Times New Roman" w:cs="Times New Roman"/>
                <w:lang w:eastAsia="sk-SK"/>
              </w:rPr>
            </w:pPr>
          </w:p>
        </w:tc>
      </w:tr>
    </w:tbl>
    <w:p w:rsidR="00A74FE9" w:rsidRDefault="00A74FE9" w:rsidP="00A74FE9">
      <w:pPr>
        <w:spacing w:after="0" w:line="240" w:lineRule="auto"/>
      </w:pPr>
    </w:p>
    <w:p w:rsidR="00A74FE9" w:rsidRPr="00A738C0" w:rsidRDefault="00A74FE9" w:rsidP="00A74FE9">
      <w:pPr>
        <w:spacing w:after="0" w:line="240" w:lineRule="auto"/>
        <w:rPr>
          <w:color w:val="000000" w:themeColor="text1"/>
        </w:rPr>
      </w:pPr>
    </w:p>
    <w:p w:rsidR="00A74FE9" w:rsidRDefault="00A74FE9" w:rsidP="00A74FE9">
      <w:pPr>
        <w:spacing w:after="0"/>
        <w:rPr>
          <w:rFonts w:ascii="Times New Roman" w:eastAsia="Times New Roman" w:hAnsi="Times New Roman" w:cs="Times New Roman"/>
          <w:bCs/>
          <w:sz w:val="18"/>
          <w:szCs w:val="20"/>
          <w:lang w:eastAsia="sk-SK"/>
        </w:rPr>
      </w:pPr>
    </w:p>
    <w:p w:rsidR="00A74FE9" w:rsidRDefault="00A74FE9" w:rsidP="00A74FE9">
      <w:pPr>
        <w:spacing w:after="0"/>
        <w:rPr>
          <w:rFonts w:ascii="Times New Roman" w:eastAsia="Times New Roman" w:hAnsi="Times New Roman" w:cs="Times New Roman"/>
          <w:bCs/>
          <w:sz w:val="18"/>
          <w:szCs w:val="20"/>
          <w:lang w:eastAsia="sk-SK"/>
        </w:rPr>
        <w:sectPr w:rsidR="00A74FE9" w:rsidSect="001733E1">
          <w:headerReference w:type="even" r:id="rId65"/>
          <w:headerReference w:type="default" r:id="rId66"/>
          <w:footerReference w:type="even" r:id="rId67"/>
          <w:footerReference w:type="default" r:id="rId68"/>
          <w:headerReference w:type="first" r:id="rId69"/>
          <w:footerReference w:type="first" r:id="rId70"/>
          <w:pgSz w:w="16838" w:h="11906" w:orient="landscape"/>
          <w:pgMar w:top="1418" w:right="1418" w:bottom="1418" w:left="1276" w:header="709" w:footer="709" w:gutter="0"/>
          <w:cols w:space="708"/>
          <w:docGrid w:linePitch="360"/>
        </w:sectPr>
      </w:pPr>
    </w:p>
    <w:p w:rsidR="00A74FE9" w:rsidRDefault="00A74FE9" w:rsidP="00A74FE9">
      <w:pPr>
        <w:spacing w:after="0"/>
        <w:rPr>
          <w:rFonts w:ascii="Times New Roman" w:eastAsia="Times New Roman" w:hAnsi="Times New Roman" w:cs="Times New Roman"/>
          <w:bCs/>
          <w:sz w:val="18"/>
          <w:szCs w:val="20"/>
          <w:lang w:eastAsia="sk-SK"/>
        </w:rPr>
      </w:pP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(Zákon o RTVS)</w:t>
      </w:r>
    </w:p>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A74FE9" w:rsidRPr="007B7470" w:rsidRDefault="00A74FE9" w:rsidP="00A74FE9">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345"/>
        <w:gridCol w:w="1345"/>
        <w:gridCol w:w="1345"/>
        <w:gridCol w:w="1346"/>
      </w:tblGrid>
      <w:tr w:rsidR="00A74FE9" w:rsidRPr="0085765F" w:rsidTr="00A74FE9">
        <w:trPr>
          <w:cantSplit/>
          <w:trHeight w:val="194"/>
          <w:jc w:val="center"/>
        </w:trPr>
        <w:tc>
          <w:tcPr>
            <w:tcW w:w="4820" w:type="dxa"/>
            <w:vMerge w:val="restart"/>
            <w:shd w:val="clear" w:color="auto" w:fill="BFBFBF" w:themeFill="background1" w:themeFillShade="BF"/>
            <w:vAlign w:val="center"/>
          </w:tcPr>
          <w:p w:rsidR="00A74FE9" w:rsidRPr="0085765F" w:rsidRDefault="00A74FE9" w:rsidP="00A74FE9">
            <w:pPr>
              <w:spacing w:after="0" w:line="240" w:lineRule="auto"/>
              <w:jc w:val="center"/>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Vplyvy na rozpočet verejnej správy</w:t>
            </w:r>
          </w:p>
        </w:tc>
        <w:tc>
          <w:tcPr>
            <w:tcW w:w="5381" w:type="dxa"/>
            <w:gridSpan w:val="4"/>
            <w:shd w:val="clear" w:color="auto" w:fill="BFBFBF" w:themeFill="background1" w:themeFillShade="BF"/>
            <w:vAlign w:val="center"/>
          </w:tcPr>
          <w:p w:rsidR="00A74FE9" w:rsidRPr="0085765F" w:rsidRDefault="00A74FE9" w:rsidP="00A74FE9">
            <w:pPr>
              <w:spacing w:after="0" w:line="240" w:lineRule="auto"/>
              <w:jc w:val="center"/>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Vplyv na rozpočet verejnej správy (v eurách)</w:t>
            </w:r>
          </w:p>
        </w:tc>
      </w:tr>
      <w:tr w:rsidR="00A74FE9" w:rsidRPr="0085765F" w:rsidTr="00A74FE9">
        <w:trPr>
          <w:cantSplit/>
          <w:trHeight w:val="70"/>
          <w:jc w:val="center"/>
        </w:trPr>
        <w:tc>
          <w:tcPr>
            <w:tcW w:w="4820" w:type="dxa"/>
            <w:vMerge/>
            <w:shd w:val="clear" w:color="auto" w:fill="BFBFBF" w:themeFill="background1" w:themeFillShade="BF"/>
            <w:vAlign w:val="center"/>
          </w:tcPr>
          <w:p w:rsidR="00A74FE9" w:rsidRPr="0085765F" w:rsidRDefault="00A74FE9" w:rsidP="00A74FE9">
            <w:pPr>
              <w:spacing w:after="0" w:line="240" w:lineRule="auto"/>
              <w:jc w:val="center"/>
              <w:rPr>
                <w:rFonts w:ascii="Times New Roman" w:eastAsia="Times New Roman" w:hAnsi="Times New Roman" w:cs="Times New Roman"/>
                <w:b/>
                <w:bCs/>
                <w:lang w:eastAsia="sk-SK"/>
              </w:rPr>
            </w:pPr>
          </w:p>
        </w:tc>
        <w:tc>
          <w:tcPr>
            <w:tcW w:w="1345" w:type="dxa"/>
            <w:shd w:val="clear" w:color="auto" w:fill="BFBFBF" w:themeFill="background1" w:themeFillShade="BF"/>
            <w:vAlign w:val="center"/>
          </w:tcPr>
          <w:p w:rsidR="00A74FE9" w:rsidRPr="0085765F" w:rsidRDefault="00A74FE9" w:rsidP="00A74FE9">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2023</w:t>
            </w:r>
          </w:p>
        </w:tc>
        <w:tc>
          <w:tcPr>
            <w:tcW w:w="1345" w:type="dxa"/>
            <w:shd w:val="clear" w:color="auto" w:fill="BFBFBF" w:themeFill="background1" w:themeFillShade="BF"/>
            <w:vAlign w:val="center"/>
          </w:tcPr>
          <w:p w:rsidR="00A74FE9" w:rsidRPr="0085765F" w:rsidRDefault="00A74FE9" w:rsidP="00A74FE9">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2024</w:t>
            </w:r>
          </w:p>
        </w:tc>
        <w:tc>
          <w:tcPr>
            <w:tcW w:w="1345" w:type="dxa"/>
            <w:shd w:val="clear" w:color="auto" w:fill="BFBFBF" w:themeFill="background1" w:themeFillShade="BF"/>
            <w:vAlign w:val="center"/>
          </w:tcPr>
          <w:p w:rsidR="00A74FE9" w:rsidRPr="0085765F" w:rsidRDefault="00A74FE9" w:rsidP="00A74FE9">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2025</w:t>
            </w:r>
          </w:p>
        </w:tc>
        <w:tc>
          <w:tcPr>
            <w:tcW w:w="1346" w:type="dxa"/>
            <w:shd w:val="clear" w:color="auto" w:fill="BFBFBF" w:themeFill="background1" w:themeFillShade="BF"/>
            <w:vAlign w:val="center"/>
          </w:tcPr>
          <w:p w:rsidR="00A74FE9" w:rsidRPr="0085765F" w:rsidRDefault="00A74FE9" w:rsidP="00A74FE9">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2026</w:t>
            </w:r>
          </w:p>
        </w:tc>
      </w:tr>
      <w:tr w:rsidR="00A74FE9" w:rsidRPr="0085765F" w:rsidTr="00A74FE9">
        <w:trPr>
          <w:trHeight w:val="456"/>
          <w:jc w:val="center"/>
        </w:trPr>
        <w:tc>
          <w:tcPr>
            <w:tcW w:w="4820" w:type="dxa"/>
            <w:shd w:val="clear" w:color="auto" w:fill="C0C0C0"/>
            <w:noWrap/>
            <w:vAlign w:val="center"/>
          </w:tcPr>
          <w:p w:rsidR="00A74FE9" w:rsidRPr="0085765F" w:rsidRDefault="00A74FE9" w:rsidP="00A74FE9">
            <w:pPr>
              <w:spacing w:after="0" w:line="240" w:lineRule="auto"/>
              <w:rPr>
                <w:rFonts w:ascii="Times New Roman" w:eastAsia="Times New Roman" w:hAnsi="Times New Roman" w:cs="Times New Roman"/>
                <w:lang w:eastAsia="sk-SK"/>
              </w:rPr>
            </w:pPr>
            <w:r w:rsidRPr="0085765F">
              <w:rPr>
                <w:rFonts w:ascii="Times New Roman" w:eastAsia="Times New Roman" w:hAnsi="Times New Roman" w:cs="Times New Roman"/>
                <w:b/>
                <w:bCs/>
                <w:lang w:eastAsia="sk-SK"/>
              </w:rPr>
              <w:t>Príjmy verejnej správy celkom</w:t>
            </w:r>
          </w:p>
        </w:tc>
        <w:tc>
          <w:tcPr>
            <w:tcW w:w="1345" w:type="dxa"/>
            <w:shd w:val="clear" w:color="auto" w:fill="C0C0C0"/>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C0C0C0"/>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hAnsi="Times New Roman" w:cs="Times New Roman"/>
                <w:b/>
              </w:rPr>
              <w:t>-54 834 041</w:t>
            </w:r>
          </w:p>
        </w:tc>
        <w:tc>
          <w:tcPr>
            <w:tcW w:w="1345" w:type="dxa"/>
            <w:shd w:val="clear" w:color="auto" w:fill="C0C0C0"/>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hAnsi="Times New Roman" w:cs="Times New Roman"/>
                <w:b/>
              </w:rPr>
              <w:t>-59 871 456</w:t>
            </w:r>
          </w:p>
        </w:tc>
        <w:tc>
          <w:tcPr>
            <w:tcW w:w="1346" w:type="dxa"/>
            <w:shd w:val="clear" w:color="auto" w:fill="C0C0C0"/>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hAnsi="Times New Roman" w:cs="Times New Roman"/>
                <w:b/>
              </w:rPr>
              <w:t>-63 747 172</w:t>
            </w:r>
          </w:p>
        </w:tc>
      </w:tr>
      <w:tr w:rsidR="00A74FE9" w:rsidRPr="0085765F" w:rsidTr="00A74FE9">
        <w:trPr>
          <w:trHeight w:val="132"/>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v tom: za každý subjekt verejnej správy zvlášť</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xml:space="preserve">z toho:  </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ŠR</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ind w:left="259"/>
              <w:rPr>
                <w:rFonts w:ascii="Times New Roman" w:eastAsia="Times New Roman" w:hAnsi="Times New Roman" w:cs="Times New Roman"/>
                <w:b/>
                <w:bCs/>
                <w:i/>
                <w:iCs/>
                <w:lang w:eastAsia="sk-SK"/>
              </w:rPr>
            </w:pPr>
            <w:r w:rsidRPr="0085765F">
              <w:rPr>
                <w:rFonts w:ascii="Times New Roman" w:eastAsia="Times New Roman" w:hAnsi="Times New Roman" w:cs="Times New Roman"/>
                <w:bCs/>
                <w:i/>
                <w:iCs/>
                <w:lang w:eastAsia="sk-SK"/>
              </w:rPr>
              <w:t>Rozpočtové prostriedky</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ind w:left="259"/>
              <w:rPr>
                <w:rFonts w:ascii="Times New Roman" w:eastAsia="Times New Roman" w:hAnsi="Times New Roman" w:cs="Times New Roman"/>
                <w:bCs/>
                <w:i/>
                <w:iCs/>
                <w:lang w:eastAsia="sk-SK"/>
              </w:rPr>
            </w:pPr>
            <w:r w:rsidRPr="0085765F">
              <w:rPr>
                <w:rFonts w:ascii="Times New Roman" w:eastAsia="Times New Roman" w:hAnsi="Times New Roman" w:cs="Times New Roman"/>
                <w:bCs/>
                <w:i/>
                <w:iCs/>
                <w:lang w:eastAsia="sk-SK"/>
              </w:rPr>
              <w:t>EÚ zdroje</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obce</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vyššie územné celky</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ostatné subjekty verejnej správy (RTVS)</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hAnsi="Times New Roman" w:cs="Times New Roman"/>
              </w:rPr>
              <w:t>-54 834 041</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hAnsi="Times New Roman" w:cs="Times New Roman"/>
              </w:rPr>
              <w:t>-59 871 456</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hAnsi="Times New Roman" w:cs="Times New Roman"/>
              </w:rPr>
              <w:t>-63 747 172</w:t>
            </w:r>
          </w:p>
        </w:tc>
      </w:tr>
      <w:tr w:rsidR="00A74FE9" w:rsidRPr="0085765F" w:rsidTr="00A74FE9">
        <w:trPr>
          <w:trHeight w:val="380"/>
          <w:jc w:val="center"/>
        </w:trPr>
        <w:tc>
          <w:tcPr>
            <w:tcW w:w="4820" w:type="dxa"/>
            <w:shd w:val="clear" w:color="auto" w:fill="C0C0C0"/>
            <w:noWrap/>
            <w:vAlign w:val="center"/>
          </w:tcPr>
          <w:p w:rsidR="00A74FE9" w:rsidRPr="0085765F" w:rsidRDefault="00A74FE9" w:rsidP="00A74FE9">
            <w:pPr>
              <w:spacing w:after="0" w:line="240" w:lineRule="auto"/>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Výdavky verejnej správy celkom</w:t>
            </w:r>
          </w:p>
        </w:tc>
        <w:tc>
          <w:tcPr>
            <w:tcW w:w="1345" w:type="dxa"/>
            <w:shd w:val="clear" w:color="auto" w:fill="C0C0C0"/>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C0C0C0"/>
            <w:noWrap/>
            <w:vAlign w:val="center"/>
          </w:tcPr>
          <w:p w:rsidR="00A74FE9" w:rsidRPr="0085765F" w:rsidRDefault="00A74FE9" w:rsidP="00A74FE9">
            <w:pPr>
              <w:rPr>
                <w:rFonts w:ascii="Times New Roman" w:hAnsi="Times New Roman" w:cs="Times New Roman"/>
                <w:b/>
              </w:rPr>
            </w:pPr>
            <w:r w:rsidRPr="0085765F">
              <w:rPr>
                <w:rFonts w:ascii="Times New Roman" w:hAnsi="Times New Roman" w:cs="Times New Roman"/>
                <w:b/>
              </w:rPr>
              <w:t>-</w:t>
            </w:r>
            <w:r>
              <w:rPr>
                <w:rFonts w:ascii="Times New Roman" w:hAnsi="Times New Roman" w:cs="Times New Roman"/>
                <w:b/>
              </w:rPr>
              <w:t>109</w:t>
            </w:r>
            <w:r w:rsidRPr="0085765F">
              <w:rPr>
                <w:rFonts w:ascii="Times New Roman" w:hAnsi="Times New Roman" w:cs="Times New Roman"/>
                <w:b/>
              </w:rPr>
              <w:t xml:space="preserve"> </w:t>
            </w:r>
            <w:r>
              <w:rPr>
                <w:rFonts w:ascii="Times New Roman" w:hAnsi="Times New Roman" w:cs="Times New Roman"/>
                <w:b/>
              </w:rPr>
              <w:t>668</w:t>
            </w:r>
            <w:r w:rsidRPr="0085765F">
              <w:rPr>
                <w:rFonts w:ascii="Times New Roman" w:hAnsi="Times New Roman" w:cs="Times New Roman"/>
                <w:b/>
              </w:rPr>
              <w:t xml:space="preserve"> </w:t>
            </w:r>
            <w:r>
              <w:rPr>
                <w:rFonts w:ascii="Times New Roman" w:hAnsi="Times New Roman" w:cs="Times New Roman"/>
                <w:b/>
              </w:rPr>
              <w:t>082</w:t>
            </w:r>
          </w:p>
        </w:tc>
        <w:tc>
          <w:tcPr>
            <w:tcW w:w="1345" w:type="dxa"/>
            <w:shd w:val="clear" w:color="auto" w:fill="C0C0C0"/>
            <w:noWrap/>
            <w:vAlign w:val="center"/>
          </w:tcPr>
          <w:p w:rsidR="00A74FE9" w:rsidRPr="0085765F" w:rsidRDefault="00A74FE9" w:rsidP="00A74FE9">
            <w:pPr>
              <w:rPr>
                <w:rFonts w:ascii="Times New Roman" w:hAnsi="Times New Roman" w:cs="Times New Roman"/>
                <w:b/>
              </w:rPr>
            </w:pPr>
            <w:r w:rsidRPr="0085765F">
              <w:rPr>
                <w:rFonts w:ascii="Times New Roman" w:hAnsi="Times New Roman" w:cs="Times New Roman"/>
                <w:b/>
              </w:rPr>
              <w:t>-</w:t>
            </w:r>
            <w:r>
              <w:rPr>
                <w:rFonts w:ascii="Times New Roman" w:hAnsi="Times New Roman" w:cs="Times New Roman"/>
                <w:b/>
              </w:rPr>
              <w:t>11</w:t>
            </w:r>
            <w:r w:rsidRPr="0085765F">
              <w:rPr>
                <w:rFonts w:ascii="Times New Roman" w:hAnsi="Times New Roman" w:cs="Times New Roman"/>
                <w:b/>
              </w:rPr>
              <w:t xml:space="preserve">9 </w:t>
            </w:r>
            <w:r>
              <w:rPr>
                <w:rFonts w:ascii="Times New Roman" w:hAnsi="Times New Roman" w:cs="Times New Roman"/>
                <w:b/>
              </w:rPr>
              <w:t>742</w:t>
            </w:r>
            <w:r w:rsidRPr="0085765F">
              <w:rPr>
                <w:rFonts w:ascii="Times New Roman" w:hAnsi="Times New Roman" w:cs="Times New Roman"/>
                <w:b/>
              </w:rPr>
              <w:t xml:space="preserve"> </w:t>
            </w:r>
            <w:r>
              <w:rPr>
                <w:rFonts w:ascii="Times New Roman" w:hAnsi="Times New Roman" w:cs="Times New Roman"/>
                <w:b/>
              </w:rPr>
              <w:t>912</w:t>
            </w:r>
          </w:p>
        </w:tc>
        <w:tc>
          <w:tcPr>
            <w:tcW w:w="1346" w:type="dxa"/>
            <w:shd w:val="clear" w:color="auto" w:fill="C0C0C0"/>
            <w:noWrap/>
            <w:vAlign w:val="center"/>
          </w:tcPr>
          <w:p w:rsidR="00A74FE9" w:rsidRPr="0085765F" w:rsidRDefault="00A74FE9" w:rsidP="00A74FE9">
            <w:pPr>
              <w:rPr>
                <w:rFonts w:ascii="Times New Roman" w:hAnsi="Times New Roman" w:cs="Times New Roman"/>
                <w:b/>
              </w:rPr>
            </w:pPr>
            <w:r w:rsidRPr="0085765F">
              <w:rPr>
                <w:rFonts w:ascii="Times New Roman" w:hAnsi="Times New Roman" w:cs="Times New Roman"/>
                <w:b/>
              </w:rPr>
              <w:t>-</w:t>
            </w:r>
            <w:r>
              <w:rPr>
                <w:rFonts w:ascii="Times New Roman" w:hAnsi="Times New Roman" w:cs="Times New Roman"/>
                <w:b/>
              </w:rPr>
              <w:t>127</w:t>
            </w:r>
            <w:r w:rsidRPr="0085765F">
              <w:rPr>
                <w:rFonts w:ascii="Times New Roman" w:hAnsi="Times New Roman" w:cs="Times New Roman"/>
                <w:b/>
              </w:rPr>
              <w:t xml:space="preserve"> </w:t>
            </w:r>
            <w:r>
              <w:rPr>
                <w:rFonts w:ascii="Times New Roman" w:hAnsi="Times New Roman" w:cs="Times New Roman"/>
                <w:b/>
              </w:rPr>
              <w:t>494 344</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v tom: za každý subjekt verejnej správy / program zvlášť</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xml:space="preserve">z toho: </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ŠR</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-54 834 041</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-59 871 456</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-63 747 172</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ind w:left="259"/>
              <w:rPr>
                <w:rFonts w:ascii="Times New Roman" w:eastAsia="Times New Roman" w:hAnsi="Times New Roman" w:cs="Times New Roman"/>
                <w:b/>
                <w:bCs/>
                <w:i/>
                <w:iCs/>
                <w:lang w:eastAsia="sk-SK"/>
              </w:rPr>
            </w:pPr>
            <w:r w:rsidRPr="0085765F">
              <w:rPr>
                <w:rFonts w:ascii="Times New Roman" w:eastAsia="Times New Roman" w:hAnsi="Times New Roman" w:cs="Times New Roman"/>
                <w:bCs/>
                <w:i/>
                <w:iCs/>
                <w:lang w:eastAsia="sk-SK"/>
              </w:rPr>
              <w:t>Rozpočtové prostriedky (MK SR)</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-54 834 041</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-59 871 456</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-63 747 172</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Cs/>
                <w:i/>
                <w:iCs/>
                <w:lang w:eastAsia="sk-SK"/>
              </w:rPr>
            </w:pPr>
            <w:r w:rsidRPr="0085765F">
              <w:rPr>
                <w:rFonts w:ascii="Times New Roman" w:eastAsia="Times New Roman" w:hAnsi="Times New Roman" w:cs="Times New Roman"/>
                <w:bCs/>
                <w:i/>
                <w:iCs/>
                <w:lang w:eastAsia="sk-SK"/>
              </w:rPr>
              <w:t xml:space="preserve">    EÚ zdroje</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Cs/>
                <w:i/>
                <w:iCs/>
                <w:lang w:eastAsia="sk-SK"/>
              </w:rPr>
            </w:pPr>
            <w:r w:rsidRPr="0085765F">
              <w:rPr>
                <w:rFonts w:ascii="Times New Roman" w:eastAsia="Times New Roman" w:hAnsi="Times New Roman" w:cs="Times New Roman"/>
                <w:bCs/>
                <w:i/>
                <w:iCs/>
                <w:lang w:eastAsia="sk-SK"/>
              </w:rPr>
              <w:t xml:space="preserve">    spolufinancovanie</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obce</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ind w:left="203"/>
              <w:rPr>
                <w:rFonts w:ascii="Times New Roman" w:eastAsia="Times New Roman" w:hAnsi="Times New Roman" w:cs="Times New Roman"/>
                <w:bCs/>
                <w:i/>
                <w:iCs/>
                <w:lang w:eastAsia="sk-SK"/>
              </w:rPr>
            </w:pPr>
            <w:r w:rsidRPr="0085765F">
              <w:rPr>
                <w:rFonts w:ascii="Times New Roman" w:eastAsia="Times New Roman" w:hAnsi="Times New Roman" w:cs="Times New Roman"/>
                <w:bCs/>
                <w:i/>
                <w:iCs/>
                <w:lang w:eastAsia="sk-SK"/>
              </w:rPr>
              <w:t xml:space="preserve">z toho vplyv nových úloh v zmysle ods. 2 Čl. 6 ústavného zákona č. 493/2011 Z. z. </w:t>
            </w:r>
          </w:p>
          <w:p w:rsidR="00A74FE9" w:rsidRPr="0085765F" w:rsidRDefault="00A74FE9" w:rsidP="00A74FE9">
            <w:pPr>
              <w:spacing w:after="0" w:line="240" w:lineRule="auto"/>
              <w:ind w:left="203"/>
              <w:rPr>
                <w:rFonts w:ascii="Times New Roman" w:eastAsia="Times New Roman" w:hAnsi="Times New Roman" w:cs="Times New Roman"/>
                <w:b/>
                <w:bCs/>
                <w:i/>
                <w:iCs/>
                <w:lang w:eastAsia="sk-SK"/>
              </w:rPr>
            </w:pPr>
            <w:r w:rsidRPr="0085765F">
              <w:rPr>
                <w:rFonts w:ascii="Times New Roman" w:eastAsia="Times New Roman" w:hAnsi="Times New Roman" w:cs="Times New Roman"/>
                <w:bCs/>
                <w:i/>
                <w:iCs/>
                <w:lang w:eastAsia="sk-SK"/>
              </w:rPr>
              <w:t>o rozpočtovej zodpovednosti</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vyššie územné celky</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125"/>
          <w:jc w:val="center"/>
        </w:trPr>
        <w:tc>
          <w:tcPr>
            <w:tcW w:w="4820" w:type="dxa"/>
            <w:noWrap/>
            <w:vAlign w:val="center"/>
          </w:tcPr>
          <w:p w:rsidR="00A74FE9" w:rsidRPr="0085765F" w:rsidRDefault="00A74FE9" w:rsidP="00A74FE9">
            <w:pPr>
              <w:spacing w:after="0" w:line="240" w:lineRule="auto"/>
              <w:ind w:left="203"/>
              <w:rPr>
                <w:rFonts w:ascii="Times New Roman" w:eastAsia="Times New Roman" w:hAnsi="Times New Roman" w:cs="Times New Roman"/>
                <w:bCs/>
                <w:i/>
                <w:iCs/>
                <w:lang w:eastAsia="sk-SK"/>
              </w:rPr>
            </w:pPr>
            <w:r w:rsidRPr="0085765F">
              <w:rPr>
                <w:rFonts w:ascii="Times New Roman" w:eastAsia="Times New Roman" w:hAnsi="Times New Roman" w:cs="Times New Roman"/>
                <w:bCs/>
                <w:i/>
                <w:iCs/>
                <w:lang w:eastAsia="sk-SK"/>
              </w:rPr>
              <w:t xml:space="preserve">z toho vplyv nových úloh v zmysle ods. 2 Čl. 6 ústavného zákona č. 493/2011 Z. z. </w:t>
            </w:r>
          </w:p>
          <w:p w:rsidR="00A74FE9" w:rsidRPr="0085765F" w:rsidRDefault="00A74FE9" w:rsidP="00A74FE9">
            <w:pPr>
              <w:spacing w:after="0" w:line="240" w:lineRule="auto"/>
              <w:ind w:left="203"/>
              <w:rPr>
                <w:rFonts w:ascii="Times New Roman" w:eastAsia="Times New Roman" w:hAnsi="Times New Roman" w:cs="Times New Roman"/>
                <w:b/>
                <w:bCs/>
                <w:i/>
                <w:iCs/>
                <w:lang w:eastAsia="sk-SK"/>
              </w:rPr>
            </w:pPr>
            <w:r w:rsidRPr="0085765F">
              <w:rPr>
                <w:rFonts w:ascii="Times New Roman" w:eastAsia="Times New Roman" w:hAnsi="Times New Roman" w:cs="Times New Roman"/>
                <w:bCs/>
                <w:i/>
                <w:iCs/>
                <w:lang w:eastAsia="sk-SK"/>
              </w:rPr>
              <w:t>o rozpočtovej zodpovednosti</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lang w:eastAsia="sk-SK"/>
              </w:rPr>
            </w:pPr>
            <w:r w:rsidRPr="0085765F">
              <w:rPr>
                <w:rFonts w:ascii="Times New Roman" w:eastAsia="Times New Roman" w:hAnsi="Times New Roman" w:cs="Times New Roman"/>
                <w:b/>
                <w:bCs/>
                <w:i/>
                <w:iCs/>
                <w:lang w:eastAsia="sk-SK"/>
              </w:rPr>
              <w:t>- vplyv na ostatné subjekty verejnej správy</w:t>
            </w:r>
            <w:r>
              <w:rPr>
                <w:rFonts w:ascii="Times New Roman" w:eastAsia="Times New Roman" w:hAnsi="Times New Roman" w:cs="Times New Roman"/>
                <w:b/>
                <w:bCs/>
                <w:i/>
                <w:iCs/>
                <w:lang w:eastAsia="sk-SK"/>
              </w:rPr>
              <w:t xml:space="preserve"> (RTVS)</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hAnsi="Times New Roman" w:cs="Times New Roman"/>
              </w:rPr>
            </w:pPr>
            <w:r w:rsidRPr="0085765F">
              <w:rPr>
                <w:rFonts w:ascii="Times New Roman" w:hAnsi="Times New Roman" w:cs="Times New Roman"/>
              </w:rPr>
              <w:t>-54 834 041</w:t>
            </w:r>
          </w:p>
        </w:tc>
        <w:tc>
          <w:tcPr>
            <w:tcW w:w="1345" w:type="dxa"/>
            <w:noWrap/>
            <w:vAlign w:val="center"/>
          </w:tcPr>
          <w:p w:rsidR="00A74FE9" w:rsidRPr="0085765F" w:rsidRDefault="00A74FE9" w:rsidP="00A74FE9">
            <w:pPr>
              <w:spacing w:after="0" w:line="240" w:lineRule="auto"/>
              <w:jc w:val="right"/>
              <w:rPr>
                <w:rFonts w:ascii="Times New Roman" w:hAnsi="Times New Roman" w:cs="Times New Roman"/>
              </w:rPr>
            </w:pPr>
            <w:r w:rsidRPr="0085765F">
              <w:rPr>
                <w:rFonts w:ascii="Times New Roman" w:hAnsi="Times New Roman" w:cs="Times New Roman"/>
              </w:rPr>
              <w:t>-59 871 456</w:t>
            </w:r>
          </w:p>
        </w:tc>
        <w:tc>
          <w:tcPr>
            <w:tcW w:w="1346" w:type="dxa"/>
            <w:noWrap/>
            <w:vAlign w:val="center"/>
          </w:tcPr>
          <w:p w:rsidR="00A74FE9" w:rsidRPr="0085765F" w:rsidRDefault="00A74FE9" w:rsidP="00A74FE9">
            <w:pPr>
              <w:spacing w:after="0" w:line="240" w:lineRule="auto"/>
              <w:jc w:val="right"/>
              <w:rPr>
                <w:rFonts w:ascii="Times New Roman" w:hAnsi="Times New Roman" w:cs="Times New Roman"/>
              </w:rPr>
            </w:pPr>
            <w:r w:rsidRPr="0085765F">
              <w:rPr>
                <w:rFonts w:ascii="Times New Roman" w:hAnsi="Times New Roman" w:cs="Times New Roman"/>
              </w:rPr>
              <w:t>-63 747 172</w:t>
            </w:r>
          </w:p>
        </w:tc>
      </w:tr>
      <w:tr w:rsidR="00A74FE9" w:rsidRPr="0085765F" w:rsidTr="00A74FE9">
        <w:trPr>
          <w:trHeight w:val="70"/>
          <w:jc w:val="center"/>
        </w:trPr>
        <w:tc>
          <w:tcPr>
            <w:tcW w:w="4820" w:type="dxa"/>
            <w:shd w:val="clear" w:color="auto" w:fill="BFBFBF" w:themeFill="background1" w:themeFillShade="BF"/>
            <w:noWrap/>
            <w:vAlign w:val="center"/>
          </w:tcPr>
          <w:p w:rsidR="00A74FE9" w:rsidRPr="0085765F" w:rsidRDefault="00A74FE9" w:rsidP="00A74FE9">
            <w:pPr>
              <w:spacing w:after="0" w:line="240" w:lineRule="auto"/>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 xml:space="preserve">Vplyv na počet zamestnancov </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6"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ŠR</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obce</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vyššie územné celky</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ostatné subjekty verejnej správy</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shd w:val="clear" w:color="auto" w:fill="BFBFBF" w:themeFill="background1" w:themeFillShade="BF"/>
            <w:noWrap/>
            <w:vAlign w:val="center"/>
          </w:tcPr>
          <w:p w:rsidR="00A74FE9" w:rsidRPr="0085765F" w:rsidRDefault="00A74FE9" w:rsidP="00A74FE9">
            <w:pPr>
              <w:spacing w:after="0" w:line="240" w:lineRule="auto"/>
              <w:rPr>
                <w:rFonts w:ascii="Times New Roman" w:eastAsia="Times New Roman" w:hAnsi="Times New Roman" w:cs="Times New Roman"/>
                <w:b/>
                <w:lang w:eastAsia="sk-SK"/>
              </w:rPr>
            </w:pPr>
            <w:r w:rsidRPr="0085765F">
              <w:rPr>
                <w:rFonts w:ascii="Times New Roman" w:eastAsia="Times New Roman" w:hAnsi="Times New Roman" w:cs="Times New Roman"/>
                <w:b/>
                <w:lang w:eastAsia="sk-SK"/>
              </w:rPr>
              <w:t>Vplyv na mzdové výdavky</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lang w:eastAsia="sk-SK"/>
              </w:rPr>
            </w:pPr>
            <w:r w:rsidRPr="0085765F">
              <w:rPr>
                <w:rFonts w:ascii="Times New Roman" w:eastAsia="Times New Roman" w:hAnsi="Times New Roman" w:cs="Times New Roman"/>
                <w:b/>
                <w:lang w:eastAsia="sk-SK"/>
              </w:rPr>
              <w:t>0</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lang w:eastAsia="sk-SK"/>
              </w:rPr>
            </w:pPr>
            <w:r w:rsidRPr="0085765F">
              <w:rPr>
                <w:rFonts w:ascii="Times New Roman" w:eastAsia="Times New Roman" w:hAnsi="Times New Roman" w:cs="Times New Roman"/>
                <w:b/>
                <w:lang w:eastAsia="sk-SK"/>
              </w:rPr>
              <w:t>0</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lang w:eastAsia="sk-SK"/>
              </w:rPr>
            </w:pPr>
            <w:r w:rsidRPr="0085765F">
              <w:rPr>
                <w:rFonts w:ascii="Times New Roman" w:eastAsia="Times New Roman" w:hAnsi="Times New Roman" w:cs="Times New Roman"/>
                <w:b/>
                <w:lang w:eastAsia="sk-SK"/>
              </w:rPr>
              <w:t>0</w:t>
            </w:r>
          </w:p>
        </w:tc>
        <w:tc>
          <w:tcPr>
            <w:tcW w:w="1346"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lang w:eastAsia="sk-SK"/>
              </w:rPr>
            </w:pPr>
            <w:r w:rsidRPr="0085765F">
              <w:rPr>
                <w:rFonts w:ascii="Times New Roman" w:eastAsia="Times New Roman" w:hAnsi="Times New Roman" w:cs="Times New Roman"/>
                <w:b/>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ŠR</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obce</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i/>
                <w:iCs/>
                <w:lang w:eastAsia="sk-SK"/>
              </w:rPr>
            </w:pPr>
            <w:r w:rsidRPr="0085765F">
              <w:rPr>
                <w:rFonts w:ascii="Times New Roman" w:eastAsia="Times New Roman" w:hAnsi="Times New Roman" w:cs="Times New Roman"/>
                <w:b/>
                <w:bCs/>
                <w:i/>
                <w:iCs/>
                <w:lang w:eastAsia="sk-SK"/>
              </w:rPr>
              <w:t>- vplyv na vyššie územné celky</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b/>
                <w:bCs/>
                <w:lang w:eastAsia="sk-SK"/>
              </w:rPr>
            </w:pPr>
            <w:r w:rsidRPr="0085765F">
              <w:rPr>
                <w:rFonts w:ascii="Times New Roman" w:eastAsia="Times New Roman" w:hAnsi="Times New Roman" w:cs="Times New Roman"/>
                <w:b/>
                <w:bCs/>
                <w:i/>
                <w:iCs/>
                <w:lang w:eastAsia="sk-SK"/>
              </w:rPr>
              <w:t>- vplyv na ostatné subjekty verejnej správy</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b/>
                <w:bCs/>
                <w:iCs/>
                <w:lang w:eastAsia="sk-SK"/>
              </w:rPr>
            </w:pPr>
            <w:r w:rsidRPr="0085765F">
              <w:rPr>
                <w:rFonts w:ascii="Times New Roman" w:eastAsia="Times New Roman" w:hAnsi="Times New Roman" w:cs="Times New Roman"/>
                <w:b/>
                <w:bCs/>
                <w:iCs/>
                <w:lang w:eastAsia="sk-SK"/>
              </w:rPr>
              <w:t>0</w:t>
            </w:r>
          </w:p>
        </w:tc>
      </w:tr>
      <w:tr w:rsidR="00A74FE9" w:rsidRPr="0085765F" w:rsidTr="00A74FE9">
        <w:trPr>
          <w:trHeight w:val="70"/>
          <w:jc w:val="center"/>
        </w:trPr>
        <w:tc>
          <w:tcPr>
            <w:tcW w:w="4820" w:type="dxa"/>
            <w:shd w:val="clear" w:color="auto" w:fill="C0C0C0"/>
            <w:noWrap/>
            <w:vAlign w:val="center"/>
          </w:tcPr>
          <w:p w:rsidR="00A74FE9" w:rsidRPr="0085765F" w:rsidRDefault="00A74FE9" w:rsidP="00A74FE9">
            <w:pPr>
              <w:spacing w:after="0" w:line="240" w:lineRule="auto"/>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Financovanie zabezpečené v rozpočte</w:t>
            </w:r>
          </w:p>
        </w:tc>
        <w:tc>
          <w:tcPr>
            <w:tcW w:w="1345" w:type="dxa"/>
            <w:shd w:val="clear" w:color="auto" w:fill="C0C0C0"/>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C0C0C0"/>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C0C0C0"/>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6" w:type="dxa"/>
            <w:shd w:val="clear" w:color="auto" w:fill="C0C0C0"/>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r>
      <w:tr w:rsidR="00A74FE9" w:rsidRPr="0085765F" w:rsidTr="00A74FE9">
        <w:trPr>
          <w:trHeight w:val="70"/>
          <w:jc w:val="center"/>
        </w:trPr>
        <w:tc>
          <w:tcPr>
            <w:tcW w:w="4820" w:type="dxa"/>
            <w:noWrap/>
            <w:vAlign w:val="center"/>
          </w:tcPr>
          <w:p w:rsidR="00A74FE9" w:rsidRPr="0085765F" w:rsidRDefault="00A74FE9" w:rsidP="00A74FE9">
            <w:pPr>
              <w:spacing w:after="0" w:line="240" w:lineRule="auto"/>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v tom: za každý subjekt verejnej správy / program zvlášť</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5"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c>
          <w:tcPr>
            <w:tcW w:w="1346" w:type="dxa"/>
            <w:noWrap/>
            <w:vAlign w:val="center"/>
          </w:tcPr>
          <w:p w:rsidR="00A74FE9" w:rsidRPr="0085765F" w:rsidRDefault="00A74FE9" w:rsidP="00A74FE9">
            <w:pPr>
              <w:spacing w:after="0" w:line="240" w:lineRule="auto"/>
              <w:jc w:val="right"/>
              <w:rPr>
                <w:rFonts w:ascii="Times New Roman" w:eastAsia="Times New Roman" w:hAnsi="Times New Roman" w:cs="Times New Roman"/>
                <w:lang w:eastAsia="sk-SK"/>
              </w:rPr>
            </w:pPr>
            <w:r w:rsidRPr="0085765F">
              <w:rPr>
                <w:rFonts w:ascii="Times New Roman" w:eastAsia="Times New Roman" w:hAnsi="Times New Roman" w:cs="Times New Roman"/>
                <w:lang w:eastAsia="sk-SK"/>
              </w:rPr>
              <w:t>0</w:t>
            </w:r>
          </w:p>
        </w:tc>
      </w:tr>
      <w:tr w:rsidR="00A74FE9" w:rsidRPr="0085765F" w:rsidTr="00A74FE9">
        <w:trPr>
          <w:trHeight w:val="70"/>
          <w:jc w:val="center"/>
        </w:trPr>
        <w:tc>
          <w:tcPr>
            <w:tcW w:w="4820" w:type="dxa"/>
            <w:shd w:val="clear" w:color="auto" w:fill="BFBFBF" w:themeFill="background1" w:themeFillShade="BF"/>
            <w:noWrap/>
            <w:vAlign w:val="center"/>
          </w:tcPr>
          <w:p w:rsidR="00A74FE9" w:rsidRPr="0085765F" w:rsidRDefault="00A74FE9" w:rsidP="00A74FE9">
            <w:pPr>
              <w:spacing w:after="0" w:line="240" w:lineRule="auto"/>
              <w:rPr>
                <w:rFonts w:ascii="Times New Roman" w:eastAsia="Times New Roman" w:hAnsi="Times New Roman" w:cs="Times New Roman"/>
                <w:b/>
                <w:lang w:eastAsia="sk-SK"/>
              </w:rPr>
            </w:pPr>
            <w:r w:rsidRPr="0085765F">
              <w:rPr>
                <w:rFonts w:ascii="Times New Roman" w:eastAsia="Times New Roman" w:hAnsi="Times New Roman" w:cs="Times New Roman"/>
                <w:b/>
                <w:lang w:eastAsia="sk-SK"/>
              </w:rPr>
              <w:t>Iné ako rozpočtové zdroje</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6" w:type="dxa"/>
            <w:shd w:val="clear" w:color="auto" w:fill="BFBFBF" w:themeFill="background1" w:themeFillShade="BF"/>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r>
      <w:tr w:rsidR="00A74FE9" w:rsidRPr="0085765F" w:rsidTr="00A74FE9">
        <w:trPr>
          <w:trHeight w:val="70"/>
          <w:jc w:val="center"/>
        </w:trPr>
        <w:tc>
          <w:tcPr>
            <w:tcW w:w="4820" w:type="dxa"/>
            <w:shd w:val="clear" w:color="auto" w:fill="A6A6A6" w:themeFill="background1" w:themeFillShade="A6"/>
            <w:noWrap/>
            <w:vAlign w:val="center"/>
          </w:tcPr>
          <w:p w:rsidR="00A74FE9" w:rsidRPr="0085765F" w:rsidRDefault="00A74FE9" w:rsidP="00A74FE9">
            <w:pPr>
              <w:spacing w:after="0" w:line="240" w:lineRule="auto"/>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Rozpočtovo nekrytý vplyv</w:t>
            </w:r>
            <w:r>
              <w:rPr>
                <w:rFonts w:ascii="Times New Roman" w:eastAsia="Times New Roman" w:hAnsi="Times New Roman" w:cs="Times New Roman"/>
                <w:b/>
                <w:bCs/>
                <w:lang w:eastAsia="sk-SK"/>
              </w:rPr>
              <w:t xml:space="preserve"> (+)</w:t>
            </w:r>
            <w:r w:rsidRPr="0085765F">
              <w:rPr>
                <w:rFonts w:ascii="Times New Roman" w:eastAsia="Times New Roman" w:hAnsi="Times New Roman" w:cs="Times New Roman"/>
                <w:b/>
                <w:bCs/>
                <w:lang w:eastAsia="sk-SK"/>
              </w:rPr>
              <w:t xml:space="preserve"> / úspora</w:t>
            </w:r>
            <w:r>
              <w:rPr>
                <w:rFonts w:ascii="Times New Roman" w:eastAsia="Times New Roman" w:hAnsi="Times New Roman" w:cs="Times New Roman"/>
                <w:b/>
                <w:bCs/>
                <w:lang w:eastAsia="sk-SK"/>
              </w:rPr>
              <w:t xml:space="preserve"> (-)</w:t>
            </w:r>
          </w:p>
        </w:tc>
        <w:tc>
          <w:tcPr>
            <w:tcW w:w="1345" w:type="dxa"/>
            <w:shd w:val="clear" w:color="auto" w:fill="A6A6A6" w:themeFill="background1" w:themeFillShade="A6"/>
            <w:noWrap/>
            <w:vAlign w:val="center"/>
          </w:tcPr>
          <w:p w:rsidR="00A74FE9" w:rsidRPr="0085765F" w:rsidRDefault="00A74FE9" w:rsidP="00A74FE9">
            <w:pPr>
              <w:spacing w:after="0" w:line="240" w:lineRule="auto"/>
              <w:jc w:val="right"/>
              <w:rPr>
                <w:rFonts w:ascii="Times New Roman" w:eastAsia="Times New Roman" w:hAnsi="Times New Roman" w:cs="Times New Roman"/>
                <w:b/>
                <w:bCs/>
                <w:lang w:eastAsia="sk-SK"/>
              </w:rPr>
            </w:pPr>
            <w:r w:rsidRPr="0085765F">
              <w:rPr>
                <w:rFonts w:ascii="Times New Roman" w:eastAsia="Times New Roman" w:hAnsi="Times New Roman" w:cs="Times New Roman"/>
                <w:b/>
                <w:bCs/>
                <w:lang w:eastAsia="sk-SK"/>
              </w:rPr>
              <w:t>0</w:t>
            </w:r>
          </w:p>
        </w:tc>
        <w:tc>
          <w:tcPr>
            <w:tcW w:w="1345" w:type="dxa"/>
            <w:shd w:val="clear" w:color="auto" w:fill="A6A6A6" w:themeFill="background1" w:themeFillShade="A6"/>
            <w:noWrap/>
            <w:vAlign w:val="center"/>
          </w:tcPr>
          <w:p w:rsidR="00A74FE9" w:rsidRPr="000B02D8" w:rsidRDefault="00A74FE9" w:rsidP="00A74FE9">
            <w:pPr>
              <w:spacing w:after="0" w:line="240" w:lineRule="auto"/>
              <w:jc w:val="right"/>
              <w:rPr>
                <w:rFonts w:ascii="Times New Roman" w:hAnsi="Times New Roman" w:cs="Times New Roman"/>
                <w:b/>
              </w:rPr>
            </w:pPr>
            <w:r w:rsidRPr="000B02D8">
              <w:rPr>
                <w:rFonts w:ascii="Times New Roman" w:hAnsi="Times New Roman" w:cs="Times New Roman"/>
                <w:b/>
              </w:rPr>
              <w:t>-54 834 041</w:t>
            </w:r>
          </w:p>
        </w:tc>
        <w:tc>
          <w:tcPr>
            <w:tcW w:w="1345" w:type="dxa"/>
            <w:shd w:val="clear" w:color="auto" w:fill="A6A6A6" w:themeFill="background1" w:themeFillShade="A6"/>
            <w:noWrap/>
            <w:vAlign w:val="center"/>
          </w:tcPr>
          <w:p w:rsidR="00A74FE9" w:rsidRPr="000B02D8" w:rsidRDefault="00A74FE9" w:rsidP="00A74FE9">
            <w:pPr>
              <w:spacing w:after="0" w:line="240" w:lineRule="auto"/>
              <w:jc w:val="right"/>
              <w:rPr>
                <w:rFonts w:ascii="Times New Roman" w:hAnsi="Times New Roman" w:cs="Times New Roman"/>
                <w:b/>
              </w:rPr>
            </w:pPr>
            <w:r w:rsidRPr="000B02D8">
              <w:rPr>
                <w:rFonts w:ascii="Times New Roman" w:hAnsi="Times New Roman" w:cs="Times New Roman"/>
                <w:b/>
              </w:rPr>
              <w:t>-59 871 456</w:t>
            </w:r>
          </w:p>
        </w:tc>
        <w:tc>
          <w:tcPr>
            <w:tcW w:w="1346" w:type="dxa"/>
            <w:shd w:val="clear" w:color="auto" w:fill="A6A6A6" w:themeFill="background1" w:themeFillShade="A6"/>
            <w:noWrap/>
            <w:vAlign w:val="center"/>
          </w:tcPr>
          <w:p w:rsidR="00A74FE9" w:rsidRPr="000B02D8" w:rsidRDefault="00A74FE9" w:rsidP="00A74FE9">
            <w:pPr>
              <w:spacing w:after="0" w:line="240" w:lineRule="auto"/>
              <w:jc w:val="right"/>
              <w:rPr>
                <w:rFonts w:ascii="Times New Roman" w:hAnsi="Times New Roman" w:cs="Times New Roman"/>
                <w:b/>
              </w:rPr>
            </w:pPr>
            <w:r w:rsidRPr="000B02D8">
              <w:rPr>
                <w:rFonts w:ascii="Times New Roman" w:hAnsi="Times New Roman" w:cs="Times New Roman"/>
                <w:b/>
              </w:rPr>
              <w:t>-63 747 172</w:t>
            </w:r>
          </w:p>
        </w:tc>
      </w:tr>
    </w:tbl>
    <w:p w:rsidR="00A74FE9" w:rsidRDefault="00A74FE9" w:rsidP="00A74FE9">
      <w:pPr>
        <w:spacing w:after="0"/>
        <w:rPr>
          <w:rFonts w:ascii="Times New Roman" w:eastAsia="Times New Roman" w:hAnsi="Times New Roman" w:cs="Times New Roman"/>
          <w:bCs/>
          <w:sz w:val="20"/>
          <w:szCs w:val="20"/>
          <w:lang w:eastAsia="sk-SK"/>
        </w:rPr>
      </w:pPr>
    </w:p>
    <w:p w:rsidR="00A74FE9" w:rsidRDefault="00A74FE9" w:rsidP="00A74FE9">
      <w:pPr>
        <w:spacing w:after="0"/>
        <w:rPr>
          <w:rFonts w:ascii="Times New Roman" w:eastAsia="Times New Roman" w:hAnsi="Times New Roman" w:cs="Times New Roman"/>
          <w:bCs/>
          <w:sz w:val="20"/>
          <w:szCs w:val="20"/>
          <w:lang w:eastAsia="sk-SK"/>
        </w:rPr>
      </w:pPr>
    </w:p>
    <w:p w:rsidR="00A74FE9" w:rsidRPr="007B7470" w:rsidRDefault="00A74FE9" w:rsidP="00A74FE9">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10065" w:type="dxa"/>
        <w:tblInd w:w="-431" w:type="dxa"/>
        <w:tblLayout w:type="fixed"/>
        <w:tblCellMar>
          <w:left w:w="70" w:type="dxa"/>
          <w:right w:w="70" w:type="dxa"/>
        </w:tblCellMar>
        <w:tblLook w:val="04A0" w:firstRow="1" w:lastRow="0" w:firstColumn="1" w:lastColumn="0" w:noHBand="0" w:noVBand="1"/>
      </w:tblPr>
      <w:tblGrid>
        <w:gridCol w:w="4821"/>
        <w:gridCol w:w="1134"/>
        <w:gridCol w:w="1370"/>
        <w:gridCol w:w="1370"/>
        <w:gridCol w:w="1370"/>
      </w:tblGrid>
      <w:tr w:rsidR="00A74FE9" w:rsidRPr="007B7470" w:rsidTr="00A74FE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2023</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r w:rsidRPr="00557CC2">
              <w:rPr>
                <w:rFonts w:ascii="Times New Roman" w:eastAsia="Times New Roman" w:hAnsi="Times New Roman" w:cs="Times New Roman"/>
                <w:b/>
                <w:color w:val="000000"/>
                <w:lang w:eastAsia="sk-SK"/>
              </w:rPr>
              <w:t>0</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b/>
              </w:rPr>
            </w:pPr>
            <w:r w:rsidRPr="00557CC2">
              <w:rPr>
                <w:rFonts w:ascii="Times New Roman" w:hAnsi="Times New Roman" w:cs="Times New Roman"/>
                <w:b/>
              </w:rPr>
              <w:t>-54 834 041</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b/>
              </w:rPr>
            </w:pPr>
            <w:r w:rsidRPr="00557CC2">
              <w:rPr>
                <w:rFonts w:ascii="Times New Roman" w:hAnsi="Times New Roman" w:cs="Times New Roman"/>
                <w:b/>
              </w:rPr>
              <w:t>-59 871 456</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b/>
              </w:rPr>
            </w:pPr>
            <w:r w:rsidRPr="00557CC2">
              <w:rPr>
                <w:rFonts w:ascii="Times New Roman" w:hAnsi="Times New Roman" w:cs="Times New Roman"/>
                <w:b/>
              </w:rPr>
              <w:t>-63 747 172</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Pr>
                <w:rFonts w:ascii="Times New Roman" w:eastAsia="Times New Roman" w:hAnsi="Times New Roman" w:cs="Times New Roman"/>
                <w:color w:val="000000" w:themeColor="text1"/>
                <w:sz w:val="24"/>
                <w:szCs w:val="24"/>
                <w:lang w:eastAsia="sk-SK"/>
              </w:rPr>
              <w:t>RTVS</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jc w:val="center"/>
              <w:rPr>
                <w:rFonts w:ascii="Times New Roman" w:eastAsia="Times New Roman" w:hAnsi="Times New Roman" w:cs="Times New Roman"/>
                <w:color w:val="000000"/>
                <w:lang w:eastAsia="sk-SK"/>
              </w:rPr>
            </w:pPr>
            <w:r w:rsidRPr="00557CC2">
              <w:rPr>
                <w:rFonts w:ascii="Times New Roman" w:eastAsia="Times New Roman" w:hAnsi="Times New Roman" w:cs="Times New Roman"/>
                <w:color w:val="000000"/>
                <w:lang w:eastAsia="sk-SK"/>
              </w:rPr>
              <w:t>0</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rPr>
            </w:pPr>
            <w:r w:rsidRPr="00557CC2">
              <w:rPr>
                <w:rFonts w:ascii="Times New Roman" w:hAnsi="Times New Roman" w:cs="Times New Roman"/>
              </w:rPr>
              <w:t>-54 834 041</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rPr>
            </w:pPr>
            <w:r w:rsidRPr="00557CC2">
              <w:rPr>
                <w:rFonts w:ascii="Times New Roman" w:hAnsi="Times New Roman" w:cs="Times New Roman"/>
              </w:rPr>
              <w:t>-59 871 456</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rPr>
            </w:pPr>
            <w:r w:rsidRPr="00557CC2">
              <w:rPr>
                <w:rFonts w:ascii="Times New Roman" w:hAnsi="Times New Roman" w:cs="Times New Roman"/>
              </w:rPr>
              <w:t>-63 747 172</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rPr>
                <w:rFonts w:ascii="Times New Roman" w:eastAsia="Times New Roman" w:hAnsi="Times New Roman" w:cs="Times New Roman"/>
                <w:color w:val="000000"/>
                <w:lang w:eastAsia="sk-SK"/>
              </w:rPr>
            </w:pPr>
            <w:r w:rsidRPr="00557CC2">
              <w:rPr>
                <w:rFonts w:ascii="Times New Roman" w:eastAsia="Times New Roman" w:hAnsi="Times New Roman" w:cs="Times New Roman"/>
                <w:color w:val="000000"/>
                <w:lang w:eastAsia="sk-SK"/>
              </w:rPr>
              <w:t> </w:t>
            </w:r>
          </w:p>
        </w:tc>
        <w:tc>
          <w:tcPr>
            <w:tcW w:w="1370"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rPr>
                <w:rFonts w:ascii="Times New Roman" w:eastAsia="Times New Roman" w:hAnsi="Times New Roman" w:cs="Times New Roman"/>
                <w:color w:val="000000"/>
                <w:lang w:eastAsia="sk-SK"/>
              </w:rPr>
            </w:pPr>
            <w:r w:rsidRPr="00557CC2">
              <w:rPr>
                <w:rFonts w:ascii="Times New Roman" w:eastAsia="Times New Roman" w:hAnsi="Times New Roman" w:cs="Times New Roman"/>
                <w:color w:val="000000"/>
                <w:lang w:eastAsia="sk-SK"/>
              </w:rPr>
              <w:t> </w:t>
            </w:r>
          </w:p>
        </w:tc>
        <w:tc>
          <w:tcPr>
            <w:tcW w:w="1370"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rPr>
                <w:rFonts w:ascii="Times New Roman" w:eastAsia="Times New Roman" w:hAnsi="Times New Roman" w:cs="Times New Roman"/>
                <w:color w:val="000000"/>
                <w:lang w:eastAsia="sk-SK"/>
              </w:rPr>
            </w:pPr>
            <w:r w:rsidRPr="00557CC2">
              <w:rPr>
                <w:rFonts w:ascii="Times New Roman" w:eastAsia="Times New Roman" w:hAnsi="Times New Roman" w:cs="Times New Roman"/>
                <w:color w:val="000000"/>
                <w:lang w:eastAsia="sk-SK"/>
              </w:rPr>
              <w:t> </w:t>
            </w:r>
          </w:p>
        </w:tc>
        <w:tc>
          <w:tcPr>
            <w:tcW w:w="1370"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rPr>
                <w:rFonts w:ascii="Times New Roman" w:eastAsia="Times New Roman" w:hAnsi="Times New Roman" w:cs="Times New Roman"/>
                <w:color w:val="000000"/>
                <w:lang w:eastAsia="sk-SK"/>
              </w:rPr>
            </w:pPr>
            <w:r w:rsidRPr="00557CC2">
              <w:rPr>
                <w:rFonts w:ascii="Times New Roman" w:eastAsia="Times New Roman" w:hAnsi="Times New Roman" w:cs="Times New Roman"/>
                <w:color w:val="000000"/>
                <w:lang w:eastAsia="sk-SK"/>
              </w:rPr>
              <w:t> </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r w:rsidRPr="00557CC2">
              <w:rPr>
                <w:rFonts w:ascii="Times New Roman" w:eastAsia="Times New Roman" w:hAnsi="Times New Roman" w:cs="Times New Roman"/>
                <w:b/>
                <w:color w:val="000000"/>
                <w:lang w:eastAsia="sk-SK"/>
              </w:rPr>
              <w:t>0</w:t>
            </w:r>
          </w:p>
        </w:tc>
        <w:tc>
          <w:tcPr>
            <w:tcW w:w="1370"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r w:rsidRPr="00557CC2">
              <w:rPr>
                <w:rFonts w:ascii="Times New Roman" w:eastAsia="Times New Roman" w:hAnsi="Times New Roman" w:cs="Times New Roman"/>
                <w:b/>
                <w:color w:val="000000"/>
                <w:lang w:eastAsia="sk-SK"/>
              </w:rPr>
              <w:t>0</w:t>
            </w:r>
          </w:p>
        </w:tc>
        <w:tc>
          <w:tcPr>
            <w:tcW w:w="1370"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r w:rsidRPr="00557CC2">
              <w:rPr>
                <w:rFonts w:ascii="Times New Roman" w:eastAsia="Times New Roman" w:hAnsi="Times New Roman" w:cs="Times New Roman"/>
                <w:b/>
                <w:color w:val="000000"/>
                <w:lang w:eastAsia="sk-SK"/>
              </w:rPr>
              <w:t>0</w:t>
            </w:r>
          </w:p>
        </w:tc>
        <w:tc>
          <w:tcPr>
            <w:tcW w:w="1370"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r w:rsidRPr="00557CC2">
              <w:rPr>
                <w:rFonts w:ascii="Times New Roman" w:eastAsia="Times New Roman" w:hAnsi="Times New Roman" w:cs="Times New Roman"/>
                <w:b/>
                <w:color w:val="000000"/>
                <w:lang w:eastAsia="sk-SK"/>
              </w:rPr>
              <w:t>0</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r w:rsidRPr="00557CC2">
              <w:rPr>
                <w:rFonts w:ascii="Times New Roman" w:eastAsia="Times New Roman" w:hAnsi="Times New Roman" w:cs="Times New Roman"/>
                <w:b/>
                <w:color w:val="000000"/>
                <w:lang w:eastAsia="sk-SK"/>
              </w:rPr>
              <w:t>0</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rPr>
            </w:pPr>
            <w:r w:rsidRPr="00557CC2">
              <w:rPr>
                <w:rFonts w:ascii="Times New Roman" w:hAnsi="Times New Roman" w:cs="Times New Roman"/>
              </w:rPr>
              <w:t>-54 834 041</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rPr>
            </w:pPr>
            <w:r w:rsidRPr="00557CC2">
              <w:rPr>
                <w:rFonts w:ascii="Times New Roman" w:hAnsi="Times New Roman" w:cs="Times New Roman"/>
              </w:rPr>
              <w:t>-59 871 456</w:t>
            </w:r>
          </w:p>
        </w:tc>
        <w:tc>
          <w:tcPr>
            <w:tcW w:w="1370" w:type="dxa"/>
            <w:tcBorders>
              <w:top w:val="nil"/>
              <w:left w:val="nil"/>
              <w:bottom w:val="single" w:sz="4" w:space="0" w:color="auto"/>
              <w:right w:val="single" w:sz="4" w:space="0" w:color="auto"/>
            </w:tcBorders>
            <w:shd w:val="clear" w:color="auto" w:fill="auto"/>
            <w:noWrap/>
            <w:hideMark/>
          </w:tcPr>
          <w:p w:rsidR="00A74FE9" w:rsidRPr="00557CC2" w:rsidRDefault="00A74FE9" w:rsidP="00A74FE9">
            <w:pPr>
              <w:rPr>
                <w:rFonts w:ascii="Times New Roman" w:hAnsi="Times New Roman" w:cs="Times New Roman"/>
              </w:rPr>
            </w:pPr>
            <w:r w:rsidRPr="00557CC2">
              <w:rPr>
                <w:rFonts w:ascii="Times New Roman" w:hAnsi="Times New Roman" w:cs="Times New Roman"/>
              </w:rPr>
              <w:t>-63 747 172</w:t>
            </w:r>
          </w:p>
        </w:tc>
      </w:tr>
      <w:tr w:rsidR="00A74FE9" w:rsidRPr="007B7470" w:rsidTr="00A74FE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A74FE9" w:rsidRPr="00557CC2" w:rsidRDefault="00A74FE9" w:rsidP="00A74FE9">
            <w:pPr>
              <w:spacing w:after="0" w:line="240" w:lineRule="auto"/>
              <w:jc w:val="center"/>
              <w:rPr>
                <w:rFonts w:ascii="Times New Roman" w:eastAsia="Times New Roman" w:hAnsi="Times New Roman" w:cs="Times New Roman"/>
                <w:b/>
                <w:color w:val="000000"/>
                <w:lang w:eastAsia="sk-SK"/>
              </w:rPr>
            </w:pPr>
          </w:p>
        </w:tc>
      </w:tr>
    </w:tbl>
    <w:p w:rsidR="00A74FE9" w:rsidRPr="007B7470" w:rsidRDefault="00A74FE9" w:rsidP="00A74FE9">
      <w:pPr>
        <w:rPr>
          <w:rFonts w:ascii="Times New Roman" w:eastAsia="Times New Roman" w:hAnsi="Times New Roman" w:cs="Times New Roman"/>
          <w:b/>
          <w:bCs/>
          <w:sz w:val="24"/>
          <w:szCs w:val="24"/>
          <w:lang w:eastAsia="sk-SK"/>
        </w:rPr>
      </w:pPr>
    </w:p>
    <w:p w:rsidR="00A74FE9" w:rsidRPr="007B7470" w:rsidRDefault="00A74FE9" w:rsidP="00A74FE9">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74FE9" w:rsidRPr="007B7470"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Default="00A74FE9" w:rsidP="00A74FE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557CC2">
        <w:rPr>
          <w:rFonts w:ascii="Times New Roman" w:eastAsia="Times New Roman" w:hAnsi="Times New Roman" w:cs="Times New Roman"/>
          <w:bCs/>
          <w:sz w:val="24"/>
          <w:szCs w:val="24"/>
          <w:lang w:eastAsia="sk-SK"/>
        </w:rPr>
        <w:t xml:space="preserve">Nárokovateľný príspevok sa aktuálne </w:t>
      </w:r>
      <w:r>
        <w:rPr>
          <w:rFonts w:ascii="Times New Roman" w:eastAsia="Times New Roman" w:hAnsi="Times New Roman" w:cs="Times New Roman"/>
          <w:bCs/>
          <w:sz w:val="24"/>
          <w:szCs w:val="24"/>
          <w:lang w:eastAsia="sk-SK"/>
        </w:rPr>
        <w:t xml:space="preserve">v zmysle platnej legislatívy </w:t>
      </w:r>
      <w:r w:rsidRPr="00557CC2">
        <w:rPr>
          <w:rFonts w:ascii="Times New Roman" w:eastAsia="Times New Roman" w:hAnsi="Times New Roman" w:cs="Times New Roman"/>
          <w:bCs/>
          <w:sz w:val="24"/>
          <w:szCs w:val="24"/>
          <w:lang w:eastAsia="sk-SK"/>
        </w:rPr>
        <w:t xml:space="preserve">poskytuje každoročne zo štátneho rozpočtu v sume rovnajúcej sa 0,17 % z hrubého domáceho produktu Slovenskej republiky vyjadreného v bežných cenách za kalendárny rok, ktorý dva roky predchádza kalendárnemu roku, na ktorý sa nárokovateľný príspevok poskytuje. </w:t>
      </w:r>
    </w:p>
    <w:p w:rsidR="00A74FE9" w:rsidRPr="00557CC2" w:rsidRDefault="00A74FE9" w:rsidP="00A74FE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Navrhovanou zmenou zákona</w:t>
      </w:r>
      <w:r w:rsidRPr="00557CC2">
        <w:rPr>
          <w:rFonts w:ascii="Times New Roman" w:eastAsia="Times New Roman" w:hAnsi="Times New Roman" w:cs="Times New Roman"/>
          <w:bCs/>
          <w:sz w:val="24"/>
          <w:szCs w:val="24"/>
          <w:lang w:eastAsia="sk-SK"/>
        </w:rPr>
        <w:t xml:space="preserve"> sa rieši z</w:t>
      </w:r>
      <w:r>
        <w:rPr>
          <w:rFonts w:ascii="Times New Roman" w:eastAsia="Times New Roman" w:hAnsi="Times New Roman" w:cs="Times New Roman"/>
          <w:bCs/>
          <w:sz w:val="24"/>
          <w:szCs w:val="24"/>
          <w:lang w:eastAsia="sk-SK"/>
        </w:rPr>
        <w:t>níženie</w:t>
      </w:r>
      <w:r w:rsidRPr="00557CC2">
        <w:rPr>
          <w:rFonts w:ascii="Times New Roman" w:eastAsia="Times New Roman" w:hAnsi="Times New Roman" w:cs="Times New Roman"/>
          <w:bCs/>
          <w:sz w:val="24"/>
          <w:szCs w:val="24"/>
          <w:lang w:eastAsia="sk-SK"/>
        </w:rPr>
        <w:t xml:space="preserve"> percentuálneho podielu z 0,17 % HDP na 0,12 % HDP, čo by predstavovalo </w:t>
      </w:r>
      <w:r>
        <w:rPr>
          <w:rFonts w:ascii="Times New Roman" w:eastAsia="Times New Roman" w:hAnsi="Times New Roman" w:cs="Times New Roman"/>
          <w:bCs/>
          <w:sz w:val="24"/>
          <w:szCs w:val="24"/>
          <w:lang w:eastAsia="sk-SK"/>
        </w:rPr>
        <w:t>zachovanie porovnateľnej</w:t>
      </w:r>
      <w:r w:rsidRPr="00557CC2">
        <w:rPr>
          <w:rFonts w:ascii="Times New Roman" w:eastAsia="Times New Roman" w:hAnsi="Times New Roman" w:cs="Times New Roman"/>
          <w:bCs/>
          <w:sz w:val="24"/>
          <w:szCs w:val="24"/>
          <w:lang w:eastAsia="sk-SK"/>
        </w:rPr>
        <w:t xml:space="preserve"> úrov</w:t>
      </w:r>
      <w:r>
        <w:rPr>
          <w:rFonts w:ascii="Times New Roman" w:eastAsia="Times New Roman" w:hAnsi="Times New Roman" w:cs="Times New Roman"/>
          <w:bCs/>
          <w:sz w:val="24"/>
          <w:szCs w:val="24"/>
          <w:lang w:eastAsia="sk-SK"/>
        </w:rPr>
        <w:t>ne</w:t>
      </w:r>
      <w:r w:rsidRPr="00557CC2">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príjmov </w:t>
      </w:r>
      <w:r w:rsidRPr="00557CC2">
        <w:rPr>
          <w:rFonts w:ascii="Times New Roman" w:eastAsia="Times New Roman" w:hAnsi="Times New Roman" w:cs="Times New Roman"/>
          <w:bCs/>
          <w:sz w:val="24"/>
          <w:szCs w:val="24"/>
          <w:lang w:eastAsia="sk-SK"/>
        </w:rPr>
        <w:t>so štandardnými príjmami RTVS predchádzajúcich rokov.</w:t>
      </w:r>
    </w:p>
    <w:p w:rsidR="00A74FE9" w:rsidRPr="00557CC2" w:rsidRDefault="00A74FE9" w:rsidP="00A74FE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557CC2">
        <w:rPr>
          <w:rFonts w:ascii="Times New Roman" w:eastAsia="Times New Roman" w:hAnsi="Times New Roman" w:cs="Times New Roman"/>
          <w:bCs/>
          <w:sz w:val="24"/>
          <w:szCs w:val="24"/>
          <w:lang w:eastAsia="sk-SK"/>
        </w:rPr>
        <w:t>Cieľom</w:t>
      </w:r>
      <w:r>
        <w:rPr>
          <w:rFonts w:ascii="Times New Roman" w:eastAsia="Times New Roman" w:hAnsi="Times New Roman" w:cs="Times New Roman"/>
          <w:bCs/>
          <w:sz w:val="24"/>
          <w:szCs w:val="24"/>
          <w:lang w:eastAsia="sk-SK"/>
        </w:rPr>
        <w:t xml:space="preserve"> právnej úpravy</w:t>
      </w:r>
      <w:r w:rsidRPr="00557CC2">
        <w:rPr>
          <w:rFonts w:ascii="Times New Roman" w:eastAsia="Times New Roman" w:hAnsi="Times New Roman" w:cs="Times New Roman"/>
          <w:bCs/>
          <w:sz w:val="24"/>
          <w:szCs w:val="24"/>
          <w:lang w:eastAsia="sk-SK"/>
        </w:rPr>
        <w:t xml:space="preserve"> je zmiernenie tempa rastu nárokovateľné</w:t>
      </w:r>
      <w:r>
        <w:rPr>
          <w:rFonts w:ascii="Times New Roman" w:eastAsia="Times New Roman" w:hAnsi="Times New Roman" w:cs="Times New Roman"/>
          <w:bCs/>
          <w:sz w:val="24"/>
          <w:szCs w:val="24"/>
          <w:lang w:eastAsia="sk-SK"/>
        </w:rPr>
        <w:t>ho príspevku primerane k úrovni r</w:t>
      </w:r>
      <w:r w:rsidRPr="00557CC2">
        <w:rPr>
          <w:rFonts w:ascii="Times New Roman" w:eastAsia="Times New Roman" w:hAnsi="Times New Roman" w:cs="Times New Roman"/>
          <w:bCs/>
          <w:sz w:val="24"/>
          <w:szCs w:val="24"/>
          <w:lang w:eastAsia="sk-SK"/>
        </w:rPr>
        <w:t>ozpočtovaných príjmov RTVS v predchádzajúcich rokoch (príjmy z úhrad za služby verejnosti a zo zmluvy so štátom).</w:t>
      </w: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Celková predpokladaná úspora, resp. zníženie sumy nárokovateľného príspevku poskytovaného Ministerstvom kultúry SR predstavuje v roku 2024 54,8 mil. eur, v roku 2025 59,9 mil. eur a v roku 2026 63,7 mil. eur.</w:t>
      </w: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A74FE9" w:rsidRPr="007B7470"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Pr>
          <w:rFonts w:ascii="Times New Roman" w:eastAsia="Times New Roman" w:hAnsi="Times New Roman" w:cs="Times New Roman"/>
          <w:b/>
          <w:sz w:val="24"/>
          <w:szCs w:val="24"/>
          <w:bdr w:val="single" w:sz="4" w:space="0" w:color="auto"/>
          <w:lang w:eastAsia="sk-SK"/>
        </w:rPr>
        <w:t>x</w:t>
      </w: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A74FE9" w:rsidRPr="007B7470" w:rsidRDefault="00A74FE9" w:rsidP="00A74FE9">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74FE9" w:rsidRPr="007B7470" w:rsidTr="00A74FE9">
        <w:trPr>
          <w:cantSplit/>
          <w:trHeight w:val="70"/>
        </w:trPr>
        <w:tc>
          <w:tcPr>
            <w:tcW w:w="4530" w:type="dxa"/>
            <w:vMerge w:val="restart"/>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A74FE9" w:rsidRPr="007B7470" w:rsidTr="00A74FE9">
        <w:trPr>
          <w:cantSplit/>
          <w:trHeight w:val="70"/>
        </w:trPr>
        <w:tc>
          <w:tcPr>
            <w:tcW w:w="4530" w:type="dxa"/>
            <w:vMerge/>
            <w:shd w:val="clear" w:color="auto" w:fill="BFBFBF" w:themeFill="background1" w:themeFillShade="BF"/>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A74FE9" w:rsidRPr="007B7470" w:rsidTr="00A74FE9">
        <w:trPr>
          <w:trHeight w:val="70"/>
        </w:trPr>
        <w:tc>
          <w:tcPr>
            <w:tcW w:w="4530" w:type="dxa"/>
          </w:tcPr>
          <w:p w:rsidR="00A74FE9" w:rsidRPr="007B7470" w:rsidRDefault="00A74FE9" w:rsidP="00A74FE9">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74FE9" w:rsidRPr="007B7470" w:rsidTr="00A74FE9">
        <w:trPr>
          <w:trHeight w:val="70"/>
        </w:trPr>
        <w:tc>
          <w:tcPr>
            <w:tcW w:w="4530" w:type="dxa"/>
          </w:tcPr>
          <w:p w:rsidR="00A74FE9" w:rsidRPr="007B7470" w:rsidRDefault="00A74FE9" w:rsidP="00A74FE9">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74FE9" w:rsidRPr="007B7470" w:rsidTr="00A74FE9">
        <w:trPr>
          <w:trHeight w:val="70"/>
        </w:trPr>
        <w:tc>
          <w:tcPr>
            <w:tcW w:w="4530" w:type="dxa"/>
          </w:tcPr>
          <w:p w:rsidR="00A74FE9" w:rsidRPr="007B7470" w:rsidRDefault="00A74FE9" w:rsidP="00A74FE9">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A74FE9" w:rsidRPr="007B7470" w:rsidRDefault="00A74FE9" w:rsidP="00A74FE9">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Pri výpočte dopadov návrhu zákona na rozpočet verejnej správy na roky 2024 - 2026 sa vychádzalo z porovnania úrovne hrubého domáceho produktu v bežných cenách v rokoch 2022 – 2024 podľa júnovej makroekonomickej prognózy, na základe ktorej bol vypracovaný Návrh rozpočtového plánu (DBP) a novembrovej makroekonomickej prognózy MF SR. Do výpočtu ďalej vstupuje zmena percentuálneho podielu z 0,17% HDP v b.c. na 0,12% HDP v b.c.</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B7470" w:rsidSect="001733E1">
          <w:pgSz w:w="11906" w:h="16838"/>
          <w:pgMar w:top="1417" w:right="1417" w:bottom="1276" w:left="1417" w:header="708" w:footer="708" w:gutter="0"/>
          <w:cols w:space="708"/>
          <w:docGrid w:linePitch="360"/>
        </w:sectPr>
      </w:pPr>
    </w:p>
    <w:p w:rsidR="00A74FE9" w:rsidRPr="00A74FE9" w:rsidRDefault="00A74FE9" w:rsidP="00A74FE9">
      <w:pPr>
        <w:tabs>
          <w:tab w:val="num" w:pos="1080"/>
        </w:tabs>
        <w:spacing w:after="0" w:line="240" w:lineRule="auto"/>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lastRenderedPageBreak/>
        <w:t xml:space="preserve">  </w:t>
      </w:r>
      <w:r w:rsidRPr="007B7470">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t>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7B7470"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r>
              <w:rPr>
                <w:rFonts w:ascii="Times New Roman" w:eastAsia="Times New Roman" w:hAnsi="Times New Roman" w:cs="Times New Roman"/>
                <w:b/>
                <w:bCs/>
                <w:sz w:val="24"/>
                <w:szCs w:val="24"/>
                <w:lang w:eastAsia="sk-SK"/>
              </w:rPr>
              <w:t xml:space="preserve"> (MK SR)</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shd w:val="clear" w:color="auto" w:fill="FFFFFF" w:themeFill="background1"/>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shd w:val="clear" w:color="auto" w:fill="FFFFFF" w:themeFill="background1"/>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shd w:val="clear" w:color="auto" w:fill="FFFFFF" w:themeFill="background1"/>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shd w:val="clear" w:color="auto" w:fill="FFFFFF" w:themeFill="background1"/>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single" w:sz="4" w:space="0" w:color="auto"/>
              <w:left w:val="nil"/>
              <w:bottom w:val="single" w:sz="4" w:space="0" w:color="auto"/>
              <w:right w:val="single" w:sz="4" w:space="0" w:color="auto"/>
            </w:tcBorders>
            <w:shd w:val="clear" w:color="auto" w:fill="FFFFFF" w:themeFill="background1"/>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r>
              <w:rPr>
                <w:rFonts w:ascii="Times New Roman" w:eastAsia="Times New Roman" w:hAnsi="Times New Roman" w:cs="Times New Roman"/>
                <w:b/>
                <w:bCs/>
                <w:sz w:val="24"/>
                <w:szCs w:val="24"/>
                <w:lang w:eastAsia="sk-SK"/>
              </w:rPr>
              <w:t xml:space="preserve"> (RTVS)</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-54 834 041</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-59 871 456</w:t>
            </w:r>
          </w:p>
        </w:tc>
        <w:tc>
          <w:tcPr>
            <w:tcW w:w="150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-63 747 172</w:t>
            </w: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-54 834 041</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-59 871 456</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-63 747 172</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A74FE9"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A74FE9" w:rsidRPr="007B7470" w:rsidRDefault="00A74FE9" w:rsidP="00A74FE9">
      <w:pPr>
        <w:tabs>
          <w:tab w:val="num" w:pos="1080"/>
        </w:tabs>
        <w:spacing w:after="0" w:line="240" w:lineRule="auto"/>
        <w:ind w:right="-578"/>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rPr>
          <w:rFonts w:ascii="Times New Roman" w:eastAsia="Times New Roman" w:hAnsi="Times New Roman" w:cs="Times New Roman"/>
          <w:bCs/>
          <w:sz w:val="24"/>
          <w:szCs w:val="24"/>
          <w:lang w:eastAsia="sk-SK"/>
        </w:rPr>
      </w:pPr>
    </w:p>
    <w:p w:rsidR="00A74FE9"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7B7470"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r>
              <w:rPr>
                <w:rFonts w:ascii="Times New Roman" w:eastAsia="Times New Roman" w:hAnsi="Times New Roman" w:cs="Times New Roman"/>
                <w:b/>
                <w:bCs/>
                <w:sz w:val="20"/>
                <w:szCs w:val="20"/>
                <w:lang w:eastAsia="sk-SK"/>
              </w:rPr>
              <w:t xml:space="preserve"> (MK SR)</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826C9F" w:rsidRDefault="00A74FE9" w:rsidP="00A74FE9">
            <w:pPr>
              <w:spacing w:after="0" w:line="240" w:lineRule="auto"/>
              <w:jc w:val="center"/>
              <w:rPr>
                <w:rFonts w:ascii="Times New Roman" w:eastAsia="Times New Roman" w:hAnsi="Times New Roman" w:cs="Times New Roman"/>
                <w:b/>
                <w:bCs/>
                <w:sz w:val="20"/>
                <w:szCs w:val="20"/>
                <w:lang w:eastAsia="sk-SK"/>
              </w:rPr>
            </w:pPr>
            <w:r w:rsidRPr="00826C9F">
              <w:rPr>
                <w:rFonts w:ascii="Times New Roman" w:eastAsia="Times New Roman" w:hAnsi="Times New Roman" w:cs="Times New Roman"/>
                <w:b/>
                <w:bCs/>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r w:rsidRPr="00826C9F">
              <w:rPr>
                <w:rFonts w:ascii="Times New Roman" w:eastAsia="Times New Roman" w:hAnsi="Times New Roman" w:cs="Times New Roman"/>
                <w:sz w:val="20"/>
                <w:szCs w:val="20"/>
                <w:lang w:eastAsia="sk-SK"/>
              </w:rPr>
              <w:t>- 54 834 041</w:t>
            </w:r>
          </w:p>
        </w:tc>
        <w:tc>
          <w:tcPr>
            <w:tcW w:w="154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r w:rsidRPr="00826C9F">
              <w:rPr>
                <w:rFonts w:ascii="Times New Roman" w:eastAsia="Times New Roman" w:hAnsi="Times New Roman" w:cs="Times New Roman"/>
                <w:sz w:val="20"/>
                <w:szCs w:val="20"/>
                <w:lang w:eastAsia="sk-SK"/>
              </w:rPr>
              <w:t>-59 871 456</w:t>
            </w:r>
          </w:p>
        </w:tc>
        <w:tc>
          <w:tcPr>
            <w:tcW w:w="154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r w:rsidRPr="00826C9F">
              <w:rPr>
                <w:rFonts w:ascii="Times New Roman" w:eastAsia="Times New Roman" w:hAnsi="Times New Roman" w:cs="Times New Roman"/>
                <w:sz w:val="20"/>
                <w:szCs w:val="20"/>
                <w:lang w:eastAsia="sk-SK"/>
              </w:rPr>
              <w:t>-63 747 172</w:t>
            </w:r>
          </w:p>
        </w:tc>
        <w:tc>
          <w:tcPr>
            <w:tcW w:w="1649" w:type="dxa"/>
            <w:tcBorders>
              <w:top w:val="nil"/>
              <w:left w:val="nil"/>
              <w:bottom w:val="single" w:sz="4" w:space="0" w:color="auto"/>
              <w:right w:val="single" w:sz="4" w:space="0" w:color="auto"/>
            </w:tcBorders>
            <w:noWrap/>
            <w:vAlign w:val="bottom"/>
          </w:tcPr>
          <w:p w:rsidR="00A74FE9" w:rsidRPr="00826C9F"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4"/>
                <w:szCs w:val="24"/>
                <w:lang w:eastAsia="sk-SK"/>
              </w:rPr>
              <w:t> </w:t>
            </w:r>
            <w:r w:rsidRPr="00826C9F">
              <w:rPr>
                <w:rFonts w:ascii="Times New Roman" w:eastAsia="Times New Roman" w:hAnsi="Times New Roman" w:cs="Times New Roman"/>
                <w:sz w:val="20"/>
                <w:szCs w:val="20"/>
                <w:lang w:eastAsia="sk-SK"/>
              </w:rPr>
              <w:t>EKRK 641012</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-54 834 041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-59 871 456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4"/>
                <w:lang w:eastAsia="sk-SK"/>
              </w:rPr>
              <w:t>-63 747 172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
          <w:bCs/>
          <w:sz w:val="24"/>
          <w:szCs w:val="20"/>
          <w:lang w:eastAsia="sk-SK"/>
        </w:rPr>
        <w:t xml:space="preserve">  </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7B7470"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r>
              <w:rPr>
                <w:rFonts w:ascii="Times New Roman" w:eastAsia="Times New Roman" w:hAnsi="Times New Roman" w:cs="Times New Roman"/>
                <w:b/>
                <w:bCs/>
                <w:sz w:val="20"/>
                <w:szCs w:val="20"/>
                <w:lang w:eastAsia="sk-SK"/>
              </w:rPr>
              <w:t xml:space="preserve"> (RTVS)</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826C9F" w:rsidRDefault="00A74FE9" w:rsidP="00A74FE9">
            <w:pPr>
              <w:spacing w:after="0" w:line="240" w:lineRule="auto"/>
              <w:jc w:val="center"/>
              <w:rPr>
                <w:rFonts w:ascii="Times New Roman" w:eastAsia="Times New Roman" w:hAnsi="Times New Roman" w:cs="Times New Roman"/>
                <w:b/>
                <w:bCs/>
                <w:sz w:val="20"/>
                <w:szCs w:val="20"/>
                <w:lang w:eastAsia="sk-SK"/>
              </w:rPr>
            </w:pPr>
            <w:r w:rsidRPr="00826C9F">
              <w:rPr>
                <w:rFonts w:ascii="Times New Roman" w:eastAsia="Times New Roman" w:hAnsi="Times New Roman" w:cs="Times New Roman"/>
                <w:b/>
                <w:bCs/>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-54 834 041</w:t>
            </w: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-59 871 456</w:t>
            </w:r>
          </w:p>
        </w:tc>
        <w:tc>
          <w:tcPr>
            <w:tcW w:w="1540" w:type="dxa"/>
            <w:tcBorders>
              <w:top w:val="nil"/>
              <w:left w:val="nil"/>
              <w:bottom w:val="single" w:sz="4" w:space="0" w:color="auto"/>
              <w:right w:val="single" w:sz="4" w:space="0" w:color="auto"/>
            </w:tcBorders>
          </w:tcPr>
          <w:p w:rsidR="00A74FE9" w:rsidRPr="00652313" w:rsidRDefault="00A74FE9" w:rsidP="00A74FE9">
            <w:pPr>
              <w:spacing w:after="0" w:line="240" w:lineRule="auto"/>
              <w:jc w:val="center"/>
              <w:rPr>
                <w:rFonts w:ascii="Times New Roman" w:eastAsia="Times New Roman" w:hAnsi="Times New Roman" w:cs="Times New Roman"/>
                <w:b/>
                <w:bCs/>
                <w:sz w:val="20"/>
                <w:szCs w:val="20"/>
                <w:lang w:eastAsia="sk-SK"/>
              </w:rPr>
            </w:pPr>
            <w:r w:rsidRPr="00652313">
              <w:rPr>
                <w:rFonts w:ascii="Times New Roman" w:eastAsia="Times New Roman" w:hAnsi="Times New Roman" w:cs="Times New Roman"/>
                <w:b/>
                <w:bCs/>
                <w:sz w:val="20"/>
                <w:szCs w:val="20"/>
                <w:lang w:eastAsia="sk-SK"/>
              </w:rPr>
              <w:t>-63 747 172</w:t>
            </w:r>
          </w:p>
        </w:tc>
        <w:tc>
          <w:tcPr>
            <w:tcW w:w="1649" w:type="dxa"/>
            <w:tcBorders>
              <w:top w:val="nil"/>
              <w:left w:val="nil"/>
              <w:bottom w:val="single" w:sz="4" w:space="0" w:color="auto"/>
              <w:right w:val="single" w:sz="4" w:space="0" w:color="auto"/>
            </w:tcBorders>
            <w:noWrap/>
            <w:vAlign w:val="bottom"/>
          </w:tcPr>
          <w:p w:rsidR="00A74FE9" w:rsidRPr="00652313" w:rsidRDefault="00A74FE9" w:rsidP="00A74FE9">
            <w:pPr>
              <w:spacing w:after="0" w:line="240" w:lineRule="auto"/>
              <w:rPr>
                <w:rFonts w:ascii="Times New Roman" w:eastAsia="Times New Roman" w:hAnsi="Times New Roman" w:cs="Times New Roman"/>
                <w:sz w:val="16"/>
                <w:szCs w:val="16"/>
                <w:lang w:eastAsia="sk-SK"/>
              </w:rPr>
            </w:pPr>
            <w:r w:rsidRPr="007B7470">
              <w:rPr>
                <w:rFonts w:ascii="Times New Roman" w:eastAsia="Times New Roman" w:hAnsi="Times New Roman" w:cs="Times New Roman"/>
                <w:sz w:val="24"/>
                <w:szCs w:val="24"/>
                <w:lang w:eastAsia="sk-SK"/>
              </w:rPr>
              <w:t> </w:t>
            </w:r>
            <w:r w:rsidRPr="00652313">
              <w:rPr>
                <w:rFonts w:ascii="Times New Roman" w:eastAsia="Times New Roman" w:hAnsi="Times New Roman" w:cs="Times New Roman"/>
                <w:sz w:val="16"/>
                <w:szCs w:val="16"/>
                <w:lang w:eastAsia="sk-SK"/>
              </w:rPr>
              <w:t>Úspora sa predpokladá na bežných výdavkoch</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A74FE9" w:rsidRPr="00826C9F" w:rsidRDefault="00A74FE9" w:rsidP="00A74FE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A74FE9" w:rsidRPr="00826C9F"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-54 834 041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-59 871 456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4"/>
                <w:lang w:eastAsia="sk-SK"/>
              </w:rPr>
              <w:t>-63 747 172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7B7470"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r>
              <w:rPr>
                <w:rFonts w:ascii="Times New Roman" w:eastAsia="Times New Roman" w:hAnsi="Times New Roman" w:cs="Times New Roman"/>
                <w:b/>
                <w:bCs/>
                <w:color w:val="000000" w:themeColor="text1"/>
                <w:sz w:val="20"/>
                <w:szCs w:val="20"/>
                <w:lang w:eastAsia="sk-SK"/>
              </w:rPr>
              <w:t xml:space="preserve"> RTVS</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4FE9" w:rsidRPr="007B7470"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826C9F"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826C9F">
              <w:rPr>
                <w:rFonts w:ascii="Times New Roman" w:eastAsia="Times New Roman" w:hAnsi="Times New Roman" w:cs="Times New Roman"/>
                <w:b/>
                <w:bCs/>
                <w:color w:val="000000" w:themeColor="text1"/>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8700F8"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-54 834 041</w:t>
            </w: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-59 871 456</w:t>
            </w:r>
          </w:p>
        </w:tc>
        <w:tc>
          <w:tcPr>
            <w:tcW w:w="1540" w:type="dxa"/>
            <w:tcBorders>
              <w:top w:val="nil"/>
              <w:left w:val="nil"/>
              <w:bottom w:val="single" w:sz="4" w:space="0" w:color="auto"/>
              <w:right w:val="single" w:sz="4" w:space="0" w:color="auto"/>
            </w:tcBorders>
          </w:tcPr>
          <w:p w:rsidR="00A74FE9" w:rsidRPr="008700F8"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8700F8">
              <w:rPr>
                <w:rFonts w:ascii="Times New Roman" w:eastAsia="Times New Roman" w:hAnsi="Times New Roman" w:cs="Times New Roman"/>
                <w:b/>
                <w:bCs/>
                <w:color w:val="000000" w:themeColor="text1"/>
                <w:sz w:val="20"/>
                <w:szCs w:val="20"/>
                <w:lang w:eastAsia="sk-SK"/>
              </w:rPr>
              <w:t>-63 747 172</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826C9F"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-54 834 041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-59 871 456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0"/>
                <w:szCs w:val="24"/>
                <w:lang w:eastAsia="sk-SK"/>
              </w:rPr>
              <w:t>-63 747 172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lastRenderedPageBreak/>
        <w:t xml:space="preserve">                 </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A74FE9" w:rsidRPr="007B7470"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6188" w:type="dxa"/>
            <w:tcBorders>
              <w:top w:val="nil"/>
              <w:left w:val="nil"/>
              <w:bottom w:val="nil"/>
              <w:right w:val="nil"/>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13112" w:type="dxa"/>
            <w:gridSpan w:val="6"/>
            <w:tcBorders>
              <w:top w:val="nil"/>
              <w:left w:val="nil"/>
              <w:bottom w:val="nil"/>
              <w:right w:val="nil"/>
            </w:tcBorders>
            <w:noWrap/>
          </w:tcPr>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10394" w:type="dxa"/>
            <w:gridSpan w:val="4"/>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bl>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 xml:space="preserve">                                                                 </w:t>
      </w:r>
    </w:p>
    <w:p w:rsidR="00A74FE9" w:rsidRPr="007B7470" w:rsidRDefault="00A74FE9" w:rsidP="00A74FE9">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A74FE9" w:rsidRPr="007B7470" w:rsidRDefault="00A74FE9" w:rsidP="00A74FE9">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74FE9" w:rsidRPr="007B7470" w:rsidTr="00A74FE9">
        <w:trPr>
          <w:trHeight w:val="284"/>
        </w:trPr>
        <w:tc>
          <w:tcPr>
            <w:tcW w:w="2943" w:type="dxa"/>
            <w:vMerge w:val="restart"/>
            <w:shd w:val="clear" w:color="auto" w:fill="BFBFBF" w:themeFill="background1" w:themeFillShade="BF"/>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A74FE9" w:rsidRPr="007B7470" w:rsidTr="00A74FE9">
        <w:trPr>
          <w:trHeight w:val="284"/>
        </w:trPr>
        <w:tc>
          <w:tcPr>
            <w:tcW w:w="2943" w:type="dxa"/>
            <w:vMerge/>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vAlign w:val="bottom"/>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A74FE9" w:rsidRPr="005E3F19" w:rsidRDefault="00A74FE9" w:rsidP="00A74FE9">
      <w:pPr>
        <w:spacing w:after="0" w:line="240" w:lineRule="auto"/>
        <w:rPr>
          <w:rFonts w:ascii="Times New Roman" w:eastAsia="Times New Roman" w:hAnsi="Times New Roman" w:cs="Times New Roman"/>
          <w:sz w:val="24"/>
          <w:szCs w:val="24"/>
          <w:lang w:eastAsia="sk-SK"/>
        </w:rPr>
        <w:sectPr w:rsidR="00A74FE9" w:rsidRPr="005E3F19">
          <w:pgSz w:w="16838" w:h="11906" w:orient="landscape"/>
          <w:pgMar w:top="1418" w:right="1418" w:bottom="1418" w:left="1418" w:header="709" w:footer="709" w:gutter="0"/>
          <w:cols w:space="708"/>
          <w:docGrid w:linePitch="360"/>
        </w:sect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w:t>
      </w:r>
      <w:r>
        <w:rPr>
          <w:rFonts w:ascii="Times New Roman" w:eastAsia="Times New Roman" w:hAnsi="Times New Roman" w:cs="Times New Roman"/>
          <w:sz w:val="24"/>
          <w:szCs w:val="24"/>
          <w:lang w:eastAsia="sk-SK"/>
        </w:rPr>
        <w:t>ia všetkých opatrení súčasne.“</w:t>
      </w: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rsidR="00A74FE9" w:rsidRPr="007B7470" w:rsidRDefault="00A74FE9" w:rsidP="00A74FE9">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r>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br/>
        <w:t>(Zákon o sociálnom poistení)</w:t>
      </w: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A74FE9" w:rsidRPr="007B7470" w:rsidRDefault="00A74FE9" w:rsidP="00A74FE9">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863"/>
        <w:gridCol w:w="1417"/>
        <w:gridCol w:w="1418"/>
        <w:gridCol w:w="1370"/>
      </w:tblGrid>
      <w:tr w:rsidR="00A74FE9" w:rsidRPr="007B7470" w:rsidTr="00A74FE9">
        <w:trPr>
          <w:cantSplit/>
          <w:trHeight w:val="194"/>
          <w:jc w:val="center"/>
        </w:trPr>
        <w:tc>
          <w:tcPr>
            <w:tcW w:w="4661" w:type="dxa"/>
            <w:vMerge w:val="restart"/>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A74FE9" w:rsidRPr="007B7470" w:rsidTr="00A74FE9">
        <w:trPr>
          <w:cantSplit/>
          <w:trHeight w:val="70"/>
          <w:jc w:val="center"/>
        </w:trPr>
        <w:tc>
          <w:tcPr>
            <w:tcW w:w="4661" w:type="dxa"/>
            <w:vMerge/>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863" w:type="dxa"/>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417" w:type="dxa"/>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418" w:type="dxa"/>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370" w:type="dxa"/>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A74FE9" w:rsidRPr="007B7470" w:rsidTr="00A74FE9">
        <w:trPr>
          <w:trHeight w:val="70"/>
          <w:jc w:val="center"/>
        </w:trPr>
        <w:tc>
          <w:tcPr>
            <w:tcW w:w="4661" w:type="dxa"/>
            <w:shd w:val="clear" w:color="auto" w:fill="C0C0C0"/>
            <w:noWrap/>
            <w:vAlign w:val="center"/>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863" w:type="dxa"/>
            <w:shd w:val="clear" w:color="auto" w:fill="C0C0C0"/>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7" w:type="dxa"/>
            <w:shd w:val="clear" w:color="auto" w:fill="C0C0C0"/>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364 707 273</w:t>
            </w:r>
          </w:p>
        </w:tc>
        <w:tc>
          <w:tcPr>
            <w:tcW w:w="1418" w:type="dxa"/>
            <w:shd w:val="clear" w:color="auto" w:fill="C0C0C0"/>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461 888 000</w:t>
            </w:r>
          </w:p>
        </w:tc>
        <w:tc>
          <w:tcPr>
            <w:tcW w:w="1370" w:type="dxa"/>
            <w:shd w:val="clear" w:color="auto" w:fill="C0C0C0"/>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496 972 304</w:t>
            </w:r>
          </w:p>
        </w:tc>
      </w:tr>
      <w:tr w:rsidR="00A74FE9" w:rsidRPr="007B7470" w:rsidTr="00A74FE9">
        <w:trPr>
          <w:trHeight w:val="132"/>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 vplyv na </w:t>
            </w:r>
            <w:r>
              <w:rPr>
                <w:rFonts w:ascii="Times New Roman" w:eastAsia="Times New Roman" w:hAnsi="Times New Roman" w:cs="Times New Roman"/>
                <w:b/>
                <w:bCs/>
                <w:i/>
                <w:iCs/>
                <w:sz w:val="24"/>
                <w:szCs w:val="24"/>
                <w:lang w:eastAsia="sk-SK"/>
              </w:rPr>
              <w:t>Sociálnu poisťovňu</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364 707 273</w:t>
            </w:r>
          </w:p>
        </w:tc>
        <w:tc>
          <w:tcPr>
            <w:tcW w:w="1418" w:type="dxa"/>
            <w:noWrap/>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461 888 000</w:t>
            </w:r>
          </w:p>
        </w:tc>
        <w:tc>
          <w:tcPr>
            <w:tcW w:w="1370" w:type="dxa"/>
            <w:noWrap/>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496 972 304</w:t>
            </w:r>
          </w:p>
        </w:tc>
      </w:tr>
      <w:tr w:rsidR="00A74FE9" w:rsidRPr="007B7470" w:rsidTr="00A74FE9">
        <w:trPr>
          <w:trHeight w:val="125"/>
          <w:jc w:val="center"/>
        </w:trPr>
        <w:tc>
          <w:tcPr>
            <w:tcW w:w="4661" w:type="dxa"/>
            <w:shd w:val="clear" w:color="auto" w:fill="C0C0C0"/>
            <w:noWrap/>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863" w:type="dxa"/>
            <w:shd w:val="clear" w:color="auto" w:fill="C0C0C0"/>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7" w:type="dxa"/>
            <w:shd w:val="clear" w:color="auto" w:fill="C0C0C0"/>
            <w:noWrap/>
            <w:vAlign w:val="center"/>
          </w:tcPr>
          <w:p w:rsidR="00A74FE9" w:rsidRPr="00206F41" w:rsidRDefault="00A74FE9" w:rsidP="00A74FE9">
            <w:pPr>
              <w:spacing w:after="0" w:line="240" w:lineRule="auto"/>
              <w:jc w:val="right"/>
              <w:rPr>
                <w:rFonts w:ascii="Times New Roman" w:eastAsia="Times New Roman" w:hAnsi="Times New Roman" w:cs="Times New Roman"/>
                <w:b/>
                <w:bCs/>
                <w:iCs/>
                <w:sz w:val="24"/>
                <w:szCs w:val="24"/>
                <w:lang w:eastAsia="sk-SK"/>
              </w:rPr>
            </w:pPr>
            <w:r w:rsidRPr="00206F41">
              <w:rPr>
                <w:rFonts w:ascii="Times New Roman" w:eastAsia="Times New Roman" w:hAnsi="Times New Roman" w:cs="Times New Roman"/>
                <w:b/>
                <w:bCs/>
                <w:iCs/>
                <w:sz w:val="24"/>
                <w:szCs w:val="24"/>
                <w:lang w:eastAsia="sk-SK"/>
              </w:rPr>
              <w:t>67 169</w:t>
            </w:r>
          </w:p>
        </w:tc>
        <w:tc>
          <w:tcPr>
            <w:tcW w:w="1418" w:type="dxa"/>
            <w:shd w:val="clear" w:color="auto" w:fill="C0C0C0"/>
            <w:noWrap/>
            <w:vAlign w:val="center"/>
          </w:tcPr>
          <w:p w:rsidR="00A74FE9" w:rsidRPr="00206F41" w:rsidRDefault="00A74FE9" w:rsidP="00A74FE9">
            <w:pPr>
              <w:spacing w:after="0" w:line="240" w:lineRule="auto"/>
              <w:jc w:val="right"/>
              <w:rPr>
                <w:rFonts w:ascii="Times New Roman" w:eastAsia="Times New Roman" w:hAnsi="Times New Roman" w:cs="Times New Roman"/>
                <w:b/>
                <w:bCs/>
                <w:iCs/>
                <w:sz w:val="24"/>
                <w:szCs w:val="24"/>
                <w:lang w:eastAsia="sk-SK"/>
              </w:rPr>
            </w:pPr>
            <w:r w:rsidRPr="00206F41">
              <w:rPr>
                <w:rFonts w:ascii="Times New Roman" w:eastAsia="Times New Roman" w:hAnsi="Times New Roman" w:cs="Times New Roman"/>
                <w:b/>
                <w:bCs/>
                <w:iCs/>
                <w:sz w:val="24"/>
                <w:szCs w:val="24"/>
                <w:lang w:eastAsia="sk-SK"/>
              </w:rPr>
              <w:t>333 547</w:t>
            </w:r>
          </w:p>
        </w:tc>
        <w:tc>
          <w:tcPr>
            <w:tcW w:w="1370" w:type="dxa"/>
            <w:shd w:val="clear" w:color="auto" w:fill="C0C0C0"/>
            <w:noWrap/>
            <w:vAlign w:val="center"/>
          </w:tcPr>
          <w:p w:rsidR="00A74FE9" w:rsidRPr="00206F41" w:rsidRDefault="00A74FE9" w:rsidP="00A74FE9">
            <w:pPr>
              <w:spacing w:after="0" w:line="240" w:lineRule="auto"/>
              <w:jc w:val="right"/>
              <w:rPr>
                <w:rFonts w:ascii="Times New Roman" w:eastAsia="Times New Roman" w:hAnsi="Times New Roman" w:cs="Times New Roman"/>
                <w:b/>
                <w:bCs/>
                <w:iCs/>
                <w:sz w:val="24"/>
                <w:szCs w:val="24"/>
                <w:lang w:eastAsia="sk-SK"/>
              </w:rPr>
            </w:pPr>
            <w:r w:rsidRPr="00206F41">
              <w:rPr>
                <w:rFonts w:ascii="Times New Roman" w:eastAsia="Times New Roman" w:hAnsi="Times New Roman" w:cs="Times New Roman"/>
                <w:b/>
                <w:bCs/>
                <w:iCs/>
                <w:sz w:val="24"/>
                <w:szCs w:val="24"/>
                <w:lang w:eastAsia="sk-SK"/>
              </w:rPr>
              <w:t>646 725</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A74FE9" w:rsidRPr="007B7470" w:rsidRDefault="00A74FE9" w:rsidP="00A74FE9">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125"/>
          <w:jc w:val="center"/>
        </w:trPr>
        <w:tc>
          <w:tcPr>
            <w:tcW w:w="4661" w:type="dxa"/>
            <w:noWrap/>
            <w:vAlign w:val="center"/>
          </w:tcPr>
          <w:p w:rsidR="00A74FE9" w:rsidRPr="007B7470" w:rsidRDefault="00A74FE9" w:rsidP="00A74FE9">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A74FE9" w:rsidRPr="007B7470" w:rsidRDefault="00A74FE9" w:rsidP="00A74FE9">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xml:space="preserve">- vplyv na </w:t>
            </w:r>
            <w:r>
              <w:rPr>
                <w:rFonts w:ascii="Times New Roman" w:eastAsia="Times New Roman" w:hAnsi="Times New Roman" w:cs="Times New Roman"/>
                <w:b/>
                <w:bCs/>
                <w:i/>
                <w:iCs/>
                <w:sz w:val="24"/>
                <w:szCs w:val="24"/>
                <w:lang w:eastAsia="sk-SK"/>
              </w:rPr>
              <w:t>Sociálnu poisťovňu</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206F41" w:rsidRDefault="00A74FE9" w:rsidP="00A74FE9">
            <w:pPr>
              <w:spacing w:after="0" w:line="240" w:lineRule="auto"/>
              <w:jc w:val="right"/>
              <w:rPr>
                <w:rFonts w:ascii="Times New Roman" w:eastAsia="Times New Roman" w:hAnsi="Times New Roman" w:cs="Times New Roman"/>
                <w:b/>
                <w:bCs/>
                <w:iCs/>
                <w:sz w:val="24"/>
                <w:szCs w:val="24"/>
                <w:lang w:eastAsia="sk-SK"/>
              </w:rPr>
            </w:pPr>
            <w:r w:rsidRPr="00206F41">
              <w:rPr>
                <w:rFonts w:ascii="Times New Roman" w:eastAsia="Times New Roman" w:hAnsi="Times New Roman" w:cs="Times New Roman"/>
                <w:b/>
                <w:bCs/>
                <w:iCs/>
                <w:sz w:val="24"/>
                <w:szCs w:val="24"/>
                <w:lang w:eastAsia="sk-SK"/>
              </w:rPr>
              <w:t>67 169</w:t>
            </w:r>
          </w:p>
        </w:tc>
        <w:tc>
          <w:tcPr>
            <w:tcW w:w="1418" w:type="dxa"/>
            <w:noWrap/>
            <w:vAlign w:val="center"/>
          </w:tcPr>
          <w:p w:rsidR="00A74FE9" w:rsidRPr="00206F41" w:rsidRDefault="00A74FE9" w:rsidP="00A74FE9">
            <w:pPr>
              <w:spacing w:after="0" w:line="240" w:lineRule="auto"/>
              <w:jc w:val="right"/>
              <w:rPr>
                <w:rFonts w:ascii="Times New Roman" w:eastAsia="Times New Roman" w:hAnsi="Times New Roman" w:cs="Times New Roman"/>
                <w:b/>
                <w:bCs/>
                <w:iCs/>
                <w:sz w:val="24"/>
                <w:szCs w:val="24"/>
                <w:lang w:eastAsia="sk-SK"/>
              </w:rPr>
            </w:pPr>
            <w:r w:rsidRPr="00206F41">
              <w:rPr>
                <w:rFonts w:ascii="Times New Roman" w:eastAsia="Times New Roman" w:hAnsi="Times New Roman" w:cs="Times New Roman"/>
                <w:b/>
                <w:bCs/>
                <w:iCs/>
                <w:sz w:val="24"/>
                <w:szCs w:val="24"/>
                <w:lang w:eastAsia="sk-SK"/>
              </w:rPr>
              <w:t>333 547</w:t>
            </w:r>
          </w:p>
        </w:tc>
        <w:tc>
          <w:tcPr>
            <w:tcW w:w="1370" w:type="dxa"/>
            <w:noWrap/>
            <w:vAlign w:val="center"/>
          </w:tcPr>
          <w:p w:rsidR="00A74FE9" w:rsidRPr="00206F41" w:rsidRDefault="00A74FE9" w:rsidP="00A74FE9">
            <w:pPr>
              <w:spacing w:after="0" w:line="240" w:lineRule="auto"/>
              <w:jc w:val="right"/>
              <w:rPr>
                <w:rFonts w:ascii="Times New Roman" w:eastAsia="Times New Roman" w:hAnsi="Times New Roman" w:cs="Times New Roman"/>
                <w:b/>
                <w:bCs/>
                <w:iCs/>
                <w:sz w:val="24"/>
                <w:szCs w:val="24"/>
                <w:lang w:eastAsia="sk-SK"/>
              </w:rPr>
            </w:pPr>
            <w:r w:rsidRPr="00206F41">
              <w:rPr>
                <w:rFonts w:ascii="Times New Roman" w:eastAsia="Times New Roman" w:hAnsi="Times New Roman" w:cs="Times New Roman"/>
                <w:b/>
                <w:bCs/>
                <w:iCs/>
                <w:sz w:val="24"/>
                <w:szCs w:val="24"/>
                <w:lang w:eastAsia="sk-SK"/>
              </w:rPr>
              <w:t>646 725</w:t>
            </w:r>
          </w:p>
        </w:tc>
      </w:tr>
      <w:tr w:rsidR="00A74FE9" w:rsidRPr="007B7470" w:rsidTr="00A74FE9">
        <w:trPr>
          <w:trHeight w:val="70"/>
          <w:jc w:val="center"/>
        </w:trPr>
        <w:tc>
          <w:tcPr>
            <w:tcW w:w="4661" w:type="dxa"/>
            <w:shd w:val="clear" w:color="auto" w:fill="BFBFBF" w:themeFill="background1" w:themeFillShade="BF"/>
            <w:noWrap/>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863"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7"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370"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shd w:val="clear" w:color="auto" w:fill="BFBFBF" w:themeFill="background1" w:themeFillShade="BF"/>
            <w:noWrap/>
            <w:vAlign w:val="center"/>
          </w:tcPr>
          <w:p w:rsidR="00A74FE9" w:rsidRPr="007B7470" w:rsidRDefault="00A74FE9" w:rsidP="00A74FE9">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863"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417"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418"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370"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74FE9" w:rsidRPr="007B7470" w:rsidTr="00A74FE9">
        <w:trPr>
          <w:trHeight w:val="70"/>
          <w:jc w:val="center"/>
        </w:trPr>
        <w:tc>
          <w:tcPr>
            <w:tcW w:w="4661" w:type="dxa"/>
            <w:shd w:val="clear" w:color="auto" w:fill="C0C0C0"/>
            <w:noWrap/>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863" w:type="dxa"/>
            <w:shd w:val="clear" w:color="auto" w:fill="C0C0C0"/>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7" w:type="dxa"/>
            <w:shd w:val="clear" w:color="auto" w:fill="C0C0C0"/>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8" w:type="dxa"/>
            <w:shd w:val="clear" w:color="auto" w:fill="C0C0C0"/>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370" w:type="dxa"/>
            <w:shd w:val="clear" w:color="auto" w:fill="C0C0C0"/>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A74FE9" w:rsidRPr="007B7470" w:rsidTr="00A74FE9">
        <w:trPr>
          <w:trHeight w:val="70"/>
          <w:jc w:val="center"/>
        </w:trPr>
        <w:tc>
          <w:tcPr>
            <w:tcW w:w="4661" w:type="dxa"/>
            <w:noWrap/>
            <w:vAlign w:val="center"/>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863"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8"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370" w:type="dxa"/>
            <w:noWrap/>
            <w:vAlign w:val="center"/>
          </w:tcPr>
          <w:p w:rsidR="00A74FE9" w:rsidRPr="007B7470" w:rsidRDefault="00A74FE9" w:rsidP="00A74FE9">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74FE9" w:rsidRPr="007B7470" w:rsidTr="00A74FE9">
        <w:trPr>
          <w:trHeight w:val="70"/>
          <w:jc w:val="center"/>
        </w:trPr>
        <w:tc>
          <w:tcPr>
            <w:tcW w:w="4661" w:type="dxa"/>
            <w:shd w:val="clear" w:color="auto" w:fill="BFBFBF" w:themeFill="background1" w:themeFillShade="BF"/>
            <w:noWrap/>
            <w:vAlign w:val="center"/>
          </w:tcPr>
          <w:p w:rsidR="00A74FE9" w:rsidRPr="007B7470" w:rsidRDefault="00A74FE9" w:rsidP="00A74FE9">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863"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7"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370" w:type="dxa"/>
            <w:shd w:val="clear" w:color="auto" w:fill="BFBFBF" w:themeFill="background1" w:themeFillShade="BF"/>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A74FE9" w:rsidRPr="007B7470" w:rsidTr="00A74FE9">
        <w:trPr>
          <w:trHeight w:val="70"/>
          <w:jc w:val="center"/>
        </w:trPr>
        <w:tc>
          <w:tcPr>
            <w:tcW w:w="4661" w:type="dxa"/>
            <w:shd w:val="clear" w:color="auto" w:fill="A6A6A6" w:themeFill="background1" w:themeFillShade="A6"/>
            <w:noWrap/>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863" w:type="dxa"/>
            <w:shd w:val="clear" w:color="auto" w:fill="A6A6A6" w:themeFill="background1" w:themeFillShade="A6"/>
            <w:noWrap/>
            <w:vAlign w:val="center"/>
          </w:tcPr>
          <w:p w:rsidR="00A74FE9" w:rsidRPr="007B7470" w:rsidRDefault="00A74FE9" w:rsidP="00A74FE9">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417" w:type="dxa"/>
            <w:shd w:val="clear" w:color="auto" w:fill="A6A6A6" w:themeFill="background1" w:themeFillShade="A6"/>
            <w:noWrap/>
            <w:vAlign w:val="center"/>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364 640 104</w:t>
            </w:r>
          </w:p>
        </w:tc>
        <w:tc>
          <w:tcPr>
            <w:tcW w:w="1418" w:type="dxa"/>
            <w:shd w:val="clear" w:color="auto" w:fill="A6A6A6" w:themeFill="background1" w:themeFillShade="A6"/>
            <w:noWrap/>
            <w:vAlign w:val="center"/>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461 554 453</w:t>
            </w:r>
          </w:p>
        </w:tc>
        <w:tc>
          <w:tcPr>
            <w:tcW w:w="1370" w:type="dxa"/>
            <w:shd w:val="clear" w:color="auto" w:fill="A6A6A6" w:themeFill="background1" w:themeFillShade="A6"/>
            <w:noWrap/>
            <w:vAlign w:val="center"/>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496 325 580</w:t>
            </w:r>
          </w:p>
        </w:tc>
      </w:tr>
    </w:tbl>
    <w:p w:rsidR="00A74FE9" w:rsidRPr="007B7470" w:rsidRDefault="00A74FE9" w:rsidP="00A74FE9">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74FE9" w:rsidRPr="007B7470" w:rsidTr="00A74FE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2023</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A74FE9" w:rsidRPr="007B7470" w:rsidTr="00A74FE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A74FE9" w:rsidRPr="007B7470" w:rsidTr="00A74FE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74FE9" w:rsidRPr="007B7470" w:rsidRDefault="00A74FE9" w:rsidP="00A74FE9">
            <w:pPr>
              <w:spacing w:after="0" w:line="240" w:lineRule="auto"/>
              <w:jc w:val="center"/>
              <w:rPr>
                <w:rFonts w:ascii="Times New Roman" w:eastAsia="Times New Roman" w:hAnsi="Times New Roman" w:cs="Times New Roman"/>
                <w:b/>
                <w:color w:val="000000"/>
                <w:sz w:val="24"/>
                <w:szCs w:val="24"/>
                <w:lang w:eastAsia="sk-SK"/>
              </w:rPr>
            </w:pPr>
          </w:p>
        </w:tc>
      </w:tr>
    </w:tbl>
    <w:p w:rsidR="00A74FE9" w:rsidRPr="007B7470" w:rsidRDefault="00A74FE9" w:rsidP="00A74FE9">
      <w:pPr>
        <w:rPr>
          <w:rFonts w:ascii="Times New Roman" w:eastAsia="Times New Roman" w:hAnsi="Times New Roman" w:cs="Times New Roman"/>
          <w:b/>
          <w:bCs/>
          <w:sz w:val="24"/>
          <w:szCs w:val="24"/>
          <w:lang w:eastAsia="sk-SK"/>
        </w:rPr>
      </w:pPr>
    </w:p>
    <w:p w:rsidR="00A74FE9" w:rsidRPr="007B7470" w:rsidRDefault="00A74FE9" w:rsidP="00A74FE9">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74FE9" w:rsidRPr="007B7470" w:rsidRDefault="00A74FE9" w:rsidP="00A74FE9">
      <w:pPr>
        <w:spacing w:after="0" w:line="240" w:lineRule="auto"/>
        <w:jc w:val="both"/>
        <w:rPr>
          <w:rFonts w:ascii="Times New Roman" w:eastAsia="Times New Roman" w:hAnsi="Times New Roman" w:cs="Times New Roman"/>
          <w:b/>
          <w:bCs/>
          <w:sz w:val="12"/>
          <w:szCs w:val="24"/>
          <w:lang w:eastAsia="sk-SK"/>
        </w:rPr>
      </w:pPr>
    </w:p>
    <w:p w:rsidR="00A74FE9" w:rsidRPr="00D15CB9" w:rsidRDefault="00A74FE9" w:rsidP="00A74FE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Návrh zákona má pozitívny vplyv na rozpočet Sociálnej poisťovne v dôsledku zníženia sadzieb povinných príspevkov do II. piliera. Uvedeným opatrením dôjde k navýšeniu príjmov Sociálnej poisťovne o časť poistného, ktoré malo byť prevedené na účty sporiteľov v dôchodkových správcovských spoločnostiach.  </w:t>
      </w: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A74FE9" w:rsidRPr="007B7470" w:rsidRDefault="00A74FE9" w:rsidP="00A74FE9">
      <w:pPr>
        <w:spacing w:after="0" w:line="240" w:lineRule="auto"/>
        <w:jc w:val="both"/>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r w:rsidRPr="00D15CB9">
        <w:rPr>
          <w:rFonts w:ascii="Times New Roman" w:eastAsia="Times New Roman" w:hAnsi="Times New Roman" w:cs="Times New Roman"/>
          <w:sz w:val="24"/>
          <w:szCs w:val="24"/>
          <w:lang w:eastAsia="sk-SK"/>
        </w:rPr>
        <w:t>avrhuje</w:t>
      </w:r>
      <w:r>
        <w:rPr>
          <w:rFonts w:ascii="Times New Roman" w:eastAsia="Times New Roman" w:hAnsi="Times New Roman" w:cs="Times New Roman"/>
          <w:sz w:val="24"/>
          <w:szCs w:val="24"/>
          <w:lang w:eastAsia="sk-SK"/>
        </w:rPr>
        <w:t xml:space="preserve"> sa</w:t>
      </w:r>
      <w:r w:rsidRPr="00D15CB9">
        <w:rPr>
          <w:rFonts w:ascii="Times New Roman" w:eastAsia="Times New Roman" w:hAnsi="Times New Roman" w:cs="Times New Roman"/>
          <w:sz w:val="24"/>
          <w:szCs w:val="24"/>
          <w:lang w:eastAsia="sk-SK"/>
        </w:rPr>
        <w:t xml:space="preserve"> zvýšenie sadzby poistného na starobné poistenie pre sporiteľov v zákone </w:t>
      </w:r>
      <w:r>
        <w:rPr>
          <w:rFonts w:ascii="Times New Roman" w:eastAsia="Times New Roman" w:hAnsi="Times New Roman" w:cs="Times New Roman"/>
          <w:sz w:val="24"/>
          <w:szCs w:val="24"/>
          <w:lang w:eastAsia="sk-SK"/>
        </w:rPr>
        <w:t xml:space="preserve">                             </w:t>
      </w:r>
      <w:r w:rsidRPr="00D15CB9">
        <w:rPr>
          <w:rFonts w:ascii="Times New Roman" w:eastAsia="Times New Roman" w:hAnsi="Times New Roman" w:cs="Times New Roman"/>
          <w:sz w:val="24"/>
          <w:szCs w:val="24"/>
          <w:lang w:eastAsia="sk-SK"/>
        </w:rPr>
        <w:t>č. 461/2003 Z. z. o sociálnom poistení</w:t>
      </w:r>
      <w:r>
        <w:rPr>
          <w:rFonts w:ascii="Times New Roman" w:eastAsia="Times New Roman" w:hAnsi="Times New Roman" w:cs="Times New Roman"/>
          <w:sz w:val="24"/>
          <w:szCs w:val="24"/>
          <w:lang w:eastAsia="sk-SK"/>
        </w:rPr>
        <w:t xml:space="preserve"> v znení neskorších predpisov</w:t>
      </w:r>
      <w:r w:rsidRPr="00D15CB9">
        <w:rPr>
          <w:rFonts w:ascii="Times New Roman" w:eastAsia="Times New Roman" w:hAnsi="Times New Roman" w:cs="Times New Roman"/>
          <w:sz w:val="24"/>
          <w:szCs w:val="24"/>
          <w:lang w:eastAsia="sk-SK"/>
        </w:rPr>
        <w:t xml:space="preserve"> a zníženie sadzby povinných príspevkov na starobné dôchodkové sporenie v zákone č. 43/2004 Z. z. o starobnom dôchodkovom sporení a o zmene a doplnení niektorých zákonov</w:t>
      </w:r>
      <w:r>
        <w:rPr>
          <w:rFonts w:ascii="Times New Roman" w:eastAsia="Times New Roman" w:hAnsi="Times New Roman" w:cs="Times New Roman"/>
          <w:sz w:val="24"/>
          <w:szCs w:val="24"/>
          <w:lang w:eastAsia="sk-SK"/>
        </w:rPr>
        <w:t xml:space="preserve"> v znení neskorších predpisov</w:t>
      </w:r>
      <w:r w:rsidRPr="00D15CB9">
        <w:rPr>
          <w:rFonts w:ascii="Times New Roman" w:eastAsia="Times New Roman" w:hAnsi="Times New Roman" w:cs="Times New Roman"/>
          <w:sz w:val="24"/>
          <w:szCs w:val="24"/>
          <w:lang w:eastAsia="sk-SK"/>
        </w:rPr>
        <w:t>. Z uvedeného dôvodu sa súčasne navrhuje upraviť aj krátenie sumy dôchodku z I. piliera pre poistenca, ktorý je sporiteľ alebo bol sporiteľ za obdobie účasti na starobnom dôchodkovom sporení.</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Pr>
          <w:rFonts w:ascii="Times New Roman" w:eastAsia="Times New Roman" w:hAnsi="Times New Roman" w:cs="Times New Roman"/>
          <w:b/>
          <w:sz w:val="24"/>
          <w:szCs w:val="24"/>
          <w:bdr w:val="single" w:sz="4" w:space="0" w:color="auto"/>
          <w:lang w:eastAsia="sk-SK"/>
        </w:rPr>
        <w:t xml:space="preserve">x </w:t>
      </w: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lastRenderedPageBreak/>
        <w:t>2.2.3. Predpoklady vývoja objemu aktivít:</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Vzhľadom na demografickú štruktúru sporiteľov v II. pilieri predpokladáme, že medzi rokmi 2024 až 2026 dovŕši dôchodkový vek približne 36 680 sporiteľov. </w:t>
      </w:r>
    </w:p>
    <w:p w:rsidR="00A74FE9" w:rsidRPr="007B7470" w:rsidRDefault="00A74FE9" w:rsidP="00A74FE9">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74FE9" w:rsidRPr="007B7470" w:rsidTr="00A74FE9">
        <w:trPr>
          <w:cantSplit/>
          <w:trHeight w:val="70"/>
        </w:trPr>
        <w:tc>
          <w:tcPr>
            <w:tcW w:w="4530" w:type="dxa"/>
            <w:vMerge w:val="restart"/>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A74FE9" w:rsidRPr="007B7470" w:rsidTr="00A74FE9">
        <w:trPr>
          <w:cantSplit/>
          <w:trHeight w:val="70"/>
        </w:trPr>
        <w:tc>
          <w:tcPr>
            <w:tcW w:w="4530" w:type="dxa"/>
            <w:vMerge/>
            <w:shd w:val="clear" w:color="auto" w:fill="BFBFBF" w:themeFill="background1" w:themeFillShade="BF"/>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A74FE9" w:rsidRPr="007B7470" w:rsidTr="00A74FE9">
        <w:trPr>
          <w:trHeight w:val="70"/>
        </w:trPr>
        <w:tc>
          <w:tcPr>
            <w:tcW w:w="4530" w:type="dxa"/>
          </w:tcPr>
          <w:p w:rsidR="00A74FE9" w:rsidRPr="007B7470" w:rsidRDefault="00A74FE9" w:rsidP="00A74FE9">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Odhadovaný počet sporiteľov, ktorí dosiahnu dôchodkový vek</w:t>
            </w:r>
          </w:p>
        </w:tc>
        <w:tc>
          <w:tcPr>
            <w:tcW w:w="1134" w:type="dxa"/>
          </w:tcPr>
          <w:p w:rsidR="00A74FE9" w:rsidRPr="00E76E42" w:rsidRDefault="00A74FE9" w:rsidP="00A74F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sidRPr="00E76E42">
              <w:rPr>
                <w:rFonts w:ascii="Times New Roman" w:eastAsia="Times New Roman" w:hAnsi="Times New Roman" w:cs="Times New Roman"/>
                <w:color w:val="000000"/>
                <w:sz w:val="24"/>
                <w:szCs w:val="24"/>
                <w:lang w:eastAsia="sk-SK"/>
              </w:rPr>
              <w:t>-</w:t>
            </w:r>
          </w:p>
        </w:tc>
        <w:tc>
          <w:tcPr>
            <w:tcW w:w="1134" w:type="dxa"/>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9 505</w:t>
            </w:r>
          </w:p>
        </w:tc>
        <w:tc>
          <w:tcPr>
            <w:tcW w:w="1134" w:type="dxa"/>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12 479</w:t>
            </w:r>
          </w:p>
        </w:tc>
        <w:tc>
          <w:tcPr>
            <w:tcW w:w="1134" w:type="dxa"/>
          </w:tcPr>
          <w:p w:rsidR="00A74FE9" w:rsidRPr="007B7470" w:rsidRDefault="00A74FE9" w:rsidP="00A74F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14 696</w:t>
            </w:r>
          </w:p>
        </w:tc>
      </w:tr>
    </w:tbl>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A74FE9" w:rsidRPr="007B7470" w:rsidRDefault="00A74FE9" w:rsidP="00A74FE9">
      <w:pPr>
        <w:spacing w:after="0" w:line="240" w:lineRule="auto"/>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 xml:space="preserve">Pri kvantifikácii boli použité údaje o počtoch sporiteľov z mikroúdajov Sociálnej poisťovne. Použité ekonomické predpoklady vychádzajú z makroekonomickej prognózy MF SR                         z novembra 2023. V prípade odhadu dlhodobých vplyvov boli použité makroekonomické predpoklady AWG a údaje populačnej prognózy EUROPOP 2023.  </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sectPr w:rsidR="00A74FE9" w:rsidRPr="007B7470" w:rsidSect="001733E1">
          <w:headerReference w:type="even" r:id="rId71"/>
          <w:headerReference w:type="default" r:id="rId72"/>
          <w:footerReference w:type="even" r:id="rId73"/>
          <w:footerReference w:type="default" r:id="rId74"/>
          <w:headerReference w:type="first" r:id="rId75"/>
          <w:footerReference w:type="first" r:id="rId76"/>
          <w:pgSz w:w="11906" w:h="16838"/>
          <w:pgMar w:top="1417" w:right="1417" w:bottom="1276" w:left="1417" w:header="708" w:footer="708" w:gutter="0"/>
          <w:cols w:space="708"/>
          <w:docGrid w:linePitch="360"/>
        </w:sectPr>
      </w:pPr>
    </w:p>
    <w:p w:rsidR="00A74FE9" w:rsidRPr="007B7470" w:rsidRDefault="00A74FE9" w:rsidP="00A74FE9">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4FE9" w:rsidRPr="007B7470" w:rsidTr="00A74F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A49A6" w:rsidRDefault="00A74FE9" w:rsidP="00A74FE9">
            <w:pPr>
              <w:spacing w:after="0" w:line="240" w:lineRule="auto"/>
              <w:rPr>
                <w:rFonts w:ascii="Times New Roman" w:eastAsia="Times New Roman" w:hAnsi="Times New Roman" w:cs="Times New Roman"/>
                <w:b/>
                <w:bCs/>
                <w:sz w:val="24"/>
                <w:szCs w:val="24"/>
                <w:lang w:eastAsia="sk-SK"/>
              </w:rPr>
            </w:pPr>
            <w:r w:rsidRPr="007A49A6">
              <w:rPr>
                <w:rFonts w:ascii="Times New Roman" w:eastAsia="Times New Roman" w:hAnsi="Times New Roman" w:cs="Times New Roman"/>
                <w:b/>
                <w:bCs/>
                <w:sz w:val="24"/>
                <w:szCs w:val="24"/>
                <w:lang w:eastAsia="sk-SK"/>
              </w:rPr>
              <w:t>Poistné na starobné poistenie (152)</w:t>
            </w:r>
          </w:p>
        </w:tc>
        <w:tc>
          <w:tcPr>
            <w:tcW w:w="150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vAlign w:val="center"/>
          </w:tcPr>
          <w:p w:rsidR="00A74FE9" w:rsidRPr="00206F41" w:rsidRDefault="00A74FE9" w:rsidP="00A74FE9">
            <w:pPr>
              <w:spacing w:after="0" w:line="240" w:lineRule="auto"/>
              <w:jc w:val="center"/>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364 707 273</w:t>
            </w:r>
          </w:p>
        </w:tc>
        <w:tc>
          <w:tcPr>
            <w:tcW w:w="1500" w:type="dxa"/>
            <w:tcBorders>
              <w:top w:val="nil"/>
              <w:left w:val="nil"/>
              <w:bottom w:val="single" w:sz="4" w:space="0" w:color="auto"/>
              <w:right w:val="single" w:sz="4" w:space="0" w:color="auto"/>
            </w:tcBorders>
            <w:vAlign w:val="center"/>
          </w:tcPr>
          <w:p w:rsidR="00A74FE9" w:rsidRPr="00206F41" w:rsidRDefault="00A74FE9" w:rsidP="00A74FE9">
            <w:pPr>
              <w:spacing w:after="0" w:line="240" w:lineRule="auto"/>
              <w:jc w:val="center"/>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461 888 000</w:t>
            </w:r>
          </w:p>
        </w:tc>
        <w:tc>
          <w:tcPr>
            <w:tcW w:w="1500" w:type="dxa"/>
            <w:tcBorders>
              <w:top w:val="nil"/>
              <w:left w:val="nil"/>
              <w:bottom w:val="single" w:sz="4" w:space="0" w:color="auto"/>
              <w:right w:val="single" w:sz="4" w:space="0" w:color="auto"/>
            </w:tcBorders>
            <w:vAlign w:val="center"/>
          </w:tcPr>
          <w:p w:rsidR="00A74FE9" w:rsidRPr="00206F41" w:rsidRDefault="00A74FE9" w:rsidP="00A74FE9">
            <w:pPr>
              <w:spacing w:after="0" w:line="240" w:lineRule="auto"/>
              <w:jc w:val="center"/>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496 972 304</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952C42" w:rsidRDefault="00A74FE9" w:rsidP="00A74FE9">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952C42">
              <w:rPr>
                <w:rFonts w:ascii="Times New Roman" w:eastAsia="Times New Roman" w:hAnsi="Times New Roman" w:cs="Times New Roman"/>
                <w:bCs/>
                <w:sz w:val="24"/>
                <w:szCs w:val="24"/>
                <w:lang w:eastAsia="sk-SK"/>
              </w:rPr>
              <w:t>Zamestnanci (152001)</w:t>
            </w:r>
          </w:p>
        </w:tc>
        <w:tc>
          <w:tcPr>
            <w:tcW w:w="1500" w:type="dxa"/>
            <w:tcBorders>
              <w:top w:val="nil"/>
              <w:left w:val="nil"/>
              <w:bottom w:val="single" w:sz="4" w:space="0" w:color="auto"/>
              <w:right w:val="single" w:sz="4" w:space="0" w:color="auto"/>
            </w:tcBorders>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952C42" w:rsidRDefault="00A74FE9" w:rsidP="00A74FE9">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952C42">
              <w:rPr>
                <w:rFonts w:ascii="Times New Roman" w:eastAsia="Times New Roman" w:hAnsi="Times New Roman" w:cs="Times New Roman"/>
                <w:bCs/>
                <w:sz w:val="24"/>
                <w:szCs w:val="24"/>
                <w:lang w:eastAsia="sk-SK"/>
              </w:rPr>
              <w:t>Samostatne zárobkovo činné osoby (152002)</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16 061 706</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20 319 504</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21 816 705</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952C42" w:rsidRDefault="00A74FE9" w:rsidP="00A74FE9">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952C42">
              <w:rPr>
                <w:rFonts w:ascii="Times New Roman" w:eastAsia="Times New Roman" w:hAnsi="Times New Roman" w:cs="Times New Roman"/>
                <w:bCs/>
                <w:sz w:val="24"/>
                <w:szCs w:val="24"/>
                <w:lang w:eastAsia="sk-SK"/>
              </w:rPr>
              <w:t>Zamestnávatelia (152004)</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330 915 399</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418 638 798</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449 487 309</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952C42" w:rsidRDefault="00A74FE9" w:rsidP="00A74FE9">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952C42">
              <w:rPr>
                <w:rFonts w:ascii="Times New Roman" w:eastAsia="Times New Roman" w:hAnsi="Times New Roman" w:cs="Times New Roman"/>
                <w:bCs/>
                <w:sz w:val="24"/>
                <w:szCs w:val="24"/>
                <w:lang w:eastAsia="sk-SK"/>
              </w:rPr>
              <w:t>Štát (152005)</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17 139 203</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22 185 393</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24 880 061</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952C42" w:rsidRDefault="00A74FE9" w:rsidP="00A74FE9">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952C42">
              <w:rPr>
                <w:rFonts w:ascii="Times New Roman" w:eastAsia="Times New Roman" w:hAnsi="Times New Roman" w:cs="Times New Roman"/>
                <w:bCs/>
                <w:sz w:val="24"/>
                <w:szCs w:val="24"/>
                <w:lang w:eastAsia="sk-SK"/>
              </w:rPr>
              <w:t>Sociálna poisťovňa (152006)</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198 426</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247 631</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255 055</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952C42" w:rsidRDefault="00A74FE9" w:rsidP="00A74FE9">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952C42">
              <w:rPr>
                <w:rFonts w:ascii="Times New Roman" w:eastAsia="Times New Roman" w:hAnsi="Times New Roman" w:cs="Times New Roman"/>
                <w:bCs/>
                <w:sz w:val="24"/>
                <w:szCs w:val="24"/>
                <w:lang w:eastAsia="sk-SK"/>
              </w:rPr>
              <w:t>Dlžné poistné (152008)</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952C42" w:rsidRDefault="00A74FE9" w:rsidP="00A74FE9">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952C42">
              <w:rPr>
                <w:rFonts w:ascii="Times New Roman" w:eastAsia="Times New Roman" w:hAnsi="Times New Roman" w:cs="Times New Roman"/>
                <w:bCs/>
                <w:sz w:val="24"/>
                <w:szCs w:val="24"/>
                <w:lang w:eastAsia="sk-SK"/>
              </w:rPr>
              <w:t>Dobrovoľní platitelia (152009)</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392 538</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496 675</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sidRPr="0052116E">
              <w:rPr>
                <w:rFonts w:ascii="Times New Roman" w:eastAsia="Times New Roman" w:hAnsi="Times New Roman" w:cs="Times New Roman"/>
                <w:bCs/>
                <w:sz w:val="24"/>
                <w:szCs w:val="24"/>
                <w:lang w:eastAsia="sk-SK"/>
              </w:rPr>
              <w:t>533 175</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shd w:val="clear" w:color="auto" w:fill="auto"/>
            <w:vAlign w:val="center"/>
          </w:tcPr>
          <w:p w:rsidR="00A74FE9" w:rsidRPr="0052116E" w:rsidRDefault="00A74FE9" w:rsidP="00A74FE9">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center"/>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r>
      <w:tr w:rsidR="00A74FE9" w:rsidRPr="007B7470" w:rsidTr="00A74FE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364 707 273</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461 888 000</w:t>
            </w:r>
          </w:p>
        </w:tc>
        <w:tc>
          <w:tcPr>
            <w:tcW w:w="1500" w:type="dxa"/>
            <w:tcBorders>
              <w:top w:val="nil"/>
              <w:left w:val="nil"/>
              <w:bottom w:val="single" w:sz="4" w:space="0" w:color="auto"/>
              <w:right w:val="single" w:sz="4" w:space="0" w:color="auto"/>
            </w:tcBorders>
            <w:shd w:val="clear" w:color="auto" w:fill="BFBFBF" w:themeFill="background1" w:themeFillShade="BF"/>
          </w:tcPr>
          <w:p w:rsidR="00A74FE9" w:rsidRPr="00206F41" w:rsidRDefault="00A74FE9" w:rsidP="00A74FE9">
            <w:pPr>
              <w:spacing w:after="0" w:line="240" w:lineRule="auto"/>
              <w:jc w:val="right"/>
              <w:rPr>
                <w:rFonts w:ascii="Times New Roman" w:eastAsia="Times New Roman" w:hAnsi="Times New Roman" w:cs="Times New Roman"/>
                <w:b/>
                <w:bCs/>
                <w:sz w:val="24"/>
                <w:szCs w:val="24"/>
                <w:lang w:eastAsia="sk-SK"/>
              </w:rPr>
            </w:pPr>
            <w:r w:rsidRPr="00206F41">
              <w:rPr>
                <w:rFonts w:ascii="Times New Roman" w:eastAsia="Times New Roman" w:hAnsi="Times New Roman" w:cs="Times New Roman"/>
                <w:b/>
                <w:bCs/>
                <w:sz w:val="24"/>
                <w:szCs w:val="24"/>
                <w:lang w:eastAsia="sk-SK"/>
              </w:rPr>
              <w:t>496 972 304</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7B7470"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52116E">
              <w:rPr>
                <w:rFonts w:ascii="Times New Roman" w:eastAsia="Times New Roman" w:hAnsi="Times New Roman" w:cs="Times New Roman"/>
                <w:b/>
                <w:bCs/>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A74FE9" w:rsidRPr="009D3B89" w:rsidRDefault="00A74FE9" w:rsidP="00A74FE9">
            <w:pPr>
              <w:spacing w:after="0" w:line="240" w:lineRule="auto"/>
              <w:jc w:val="center"/>
              <w:rPr>
                <w:rFonts w:ascii="Times New Roman" w:eastAsia="Times New Roman" w:hAnsi="Times New Roman" w:cs="Times New Roman"/>
                <w:b/>
                <w:sz w:val="20"/>
                <w:szCs w:val="20"/>
                <w:lang w:eastAsia="sk-SK"/>
              </w:rPr>
            </w:pPr>
            <w:r w:rsidRPr="009D3B89">
              <w:rPr>
                <w:rFonts w:ascii="Times New Roman" w:eastAsia="Times New Roman" w:hAnsi="Times New Roman" w:cs="Times New Roman"/>
                <w:b/>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9D3B89" w:rsidRDefault="00A74FE9" w:rsidP="00A74FE9">
            <w:pPr>
              <w:spacing w:after="0" w:line="240" w:lineRule="auto"/>
              <w:jc w:val="center"/>
              <w:rPr>
                <w:rFonts w:ascii="Times New Roman" w:eastAsia="Times New Roman" w:hAnsi="Times New Roman" w:cs="Times New Roman"/>
                <w:b/>
                <w:sz w:val="20"/>
                <w:szCs w:val="20"/>
                <w:lang w:eastAsia="sk-SK"/>
              </w:rPr>
            </w:pPr>
            <w:r w:rsidRPr="009D3B89">
              <w:rPr>
                <w:rFonts w:ascii="Times New Roman" w:eastAsia="Times New Roman" w:hAnsi="Times New Roman" w:cs="Times New Roman"/>
                <w:b/>
                <w:sz w:val="20"/>
                <w:szCs w:val="20"/>
                <w:lang w:eastAsia="sk-SK"/>
              </w:rPr>
              <w:t>67 169</w:t>
            </w:r>
          </w:p>
        </w:tc>
        <w:tc>
          <w:tcPr>
            <w:tcW w:w="1540" w:type="dxa"/>
            <w:tcBorders>
              <w:top w:val="nil"/>
              <w:left w:val="nil"/>
              <w:bottom w:val="single" w:sz="4" w:space="0" w:color="auto"/>
              <w:right w:val="single" w:sz="4" w:space="0" w:color="auto"/>
            </w:tcBorders>
            <w:vAlign w:val="center"/>
          </w:tcPr>
          <w:p w:rsidR="00A74FE9" w:rsidRPr="009D3B89" w:rsidRDefault="00A74FE9" w:rsidP="00A74FE9">
            <w:pPr>
              <w:spacing w:after="0" w:line="240" w:lineRule="auto"/>
              <w:jc w:val="center"/>
              <w:rPr>
                <w:rFonts w:ascii="Times New Roman" w:eastAsia="Times New Roman" w:hAnsi="Times New Roman" w:cs="Times New Roman"/>
                <w:b/>
                <w:sz w:val="20"/>
                <w:szCs w:val="20"/>
                <w:lang w:eastAsia="sk-SK"/>
              </w:rPr>
            </w:pPr>
            <w:r w:rsidRPr="009D3B89">
              <w:rPr>
                <w:rFonts w:ascii="Times New Roman" w:eastAsia="Times New Roman" w:hAnsi="Times New Roman" w:cs="Times New Roman"/>
                <w:b/>
                <w:sz w:val="20"/>
                <w:szCs w:val="20"/>
                <w:lang w:eastAsia="sk-SK"/>
              </w:rPr>
              <w:t>333 547</w:t>
            </w:r>
          </w:p>
        </w:tc>
        <w:tc>
          <w:tcPr>
            <w:tcW w:w="1540" w:type="dxa"/>
            <w:tcBorders>
              <w:top w:val="nil"/>
              <w:left w:val="nil"/>
              <w:bottom w:val="single" w:sz="4" w:space="0" w:color="auto"/>
              <w:right w:val="single" w:sz="4" w:space="0" w:color="auto"/>
            </w:tcBorders>
            <w:vAlign w:val="center"/>
          </w:tcPr>
          <w:p w:rsidR="00A74FE9" w:rsidRPr="009D3B89" w:rsidRDefault="00A74FE9" w:rsidP="00A74FE9">
            <w:pPr>
              <w:spacing w:after="0" w:line="240" w:lineRule="auto"/>
              <w:jc w:val="center"/>
              <w:rPr>
                <w:rFonts w:ascii="Times New Roman" w:eastAsia="Times New Roman" w:hAnsi="Times New Roman" w:cs="Times New Roman"/>
                <w:b/>
                <w:sz w:val="20"/>
                <w:szCs w:val="20"/>
                <w:lang w:eastAsia="sk-SK"/>
              </w:rPr>
            </w:pPr>
            <w:r w:rsidRPr="009D3B89">
              <w:rPr>
                <w:rFonts w:ascii="Times New Roman" w:eastAsia="Times New Roman" w:hAnsi="Times New Roman" w:cs="Times New Roman"/>
                <w:b/>
                <w:sz w:val="20"/>
                <w:szCs w:val="20"/>
                <w:lang w:eastAsia="sk-SK"/>
              </w:rPr>
              <w:t>646 725</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154A68" w:rsidRDefault="00A74FE9" w:rsidP="00A74FE9">
            <w:pPr>
              <w:spacing w:after="0" w:line="240" w:lineRule="auto"/>
              <w:jc w:val="center"/>
              <w:rPr>
                <w:rFonts w:ascii="Times New Roman" w:eastAsia="Times New Roman" w:hAnsi="Times New Roman" w:cs="Times New Roman"/>
                <w:sz w:val="20"/>
                <w:szCs w:val="20"/>
                <w:lang w:eastAsia="sk-SK"/>
              </w:rPr>
            </w:pPr>
            <w:r w:rsidRPr="00154A68">
              <w:rPr>
                <w:rFonts w:ascii="Times New Roman" w:eastAsia="Times New Roman" w:hAnsi="Times New Roman" w:cs="Times New Roman"/>
                <w:sz w:val="20"/>
                <w:szCs w:val="20"/>
                <w:lang w:eastAsia="sk-SK"/>
              </w:rPr>
              <w:t>67 169</w:t>
            </w:r>
          </w:p>
        </w:tc>
        <w:tc>
          <w:tcPr>
            <w:tcW w:w="1540" w:type="dxa"/>
            <w:tcBorders>
              <w:top w:val="nil"/>
              <w:left w:val="nil"/>
              <w:bottom w:val="single" w:sz="4" w:space="0" w:color="auto"/>
              <w:right w:val="single" w:sz="4" w:space="0" w:color="auto"/>
            </w:tcBorders>
            <w:vAlign w:val="center"/>
          </w:tcPr>
          <w:p w:rsidR="00A74FE9" w:rsidRPr="00154A68" w:rsidRDefault="00A74FE9" w:rsidP="00A74FE9">
            <w:pPr>
              <w:spacing w:after="0" w:line="240" w:lineRule="auto"/>
              <w:jc w:val="center"/>
              <w:rPr>
                <w:rFonts w:ascii="Times New Roman" w:eastAsia="Times New Roman" w:hAnsi="Times New Roman" w:cs="Times New Roman"/>
                <w:sz w:val="20"/>
                <w:szCs w:val="20"/>
                <w:lang w:eastAsia="sk-SK"/>
              </w:rPr>
            </w:pPr>
            <w:r w:rsidRPr="00154A68">
              <w:rPr>
                <w:rFonts w:ascii="Times New Roman" w:eastAsia="Times New Roman" w:hAnsi="Times New Roman" w:cs="Times New Roman"/>
                <w:sz w:val="20"/>
                <w:szCs w:val="20"/>
                <w:lang w:eastAsia="sk-SK"/>
              </w:rPr>
              <w:t>333 547</w:t>
            </w:r>
          </w:p>
        </w:tc>
        <w:tc>
          <w:tcPr>
            <w:tcW w:w="1540" w:type="dxa"/>
            <w:tcBorders>
              <w:top w:val="nil"/>
              <w:left w:val="nil"/>
              <w:bottom w:val="single" w:sz="4" w:space="0" w:color="auto"/>
              <w:right w:val="single" w:sz="4" w:space="0" w:color="auto"/>
            </w:tcBorders>
            <w:vAlign w:val="center"/>
          </w:tcPr>
          <w:p w:rsidR="00A74FE9" w:rsidRPr="00154A68" w:rsidRDefault="00A74FE9" w:rsidP="00A74FE9">
            <w:pPr>
              <w:spacing w:after="0" w:line="240" w:lineRule="auto"/>
              <w:jc w:val="center"/>
              <w:rPr>
                <w:rFonts w:ascii="Times New Roman" w:eastAsia="Times New Roman" w:hAnsi="Times New Roman" w:cs="Times New Roman"/>
                <w:sz w:val="20"/>
                <w:szCs w:val="20"/>
                <w:lang w:eastAsia="sk-SK"/>
              </w:rPr>
            </w:pPr>
            <w:r w:rsidRPr="00154A68">
              <w:rPr>
                <w:rFonts w:ascii="Times New Roman" w:eastAsia="Times New Roman" w:hAnsi="Times New Roman" w:cs="Times New Roman"/>
                <w:sz w:val="20"/>
                <w:szCs w:val="20"/>
                <w:lang w:eastAsia="sk-SK"/>
              </w:rPr>
              <w:t>646 725</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 xml:space="preserve">  </w:t>
            </w:r>
            <w:r w:rsidRPr="00C14C37">
              <w:rPr>
                <w:rFonts w:ascii="Times New Roman" w:eastAsia="Times New Roman" w:hAnsi="Times New Roman" w:cs="Times New Roman"/>
                <w:color w:val="000000"/>
                <w:sz w:val="20"/>
                <w:szCs w:val="20"/>
                <w:lang w:eastAsia="sk-SK"/>
              </w:rPr>
              <w:t>Transfery jednotlivcom a neziskovým právnickým osobám (642)</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154A68" w:rsidRDefault="00A74FE9" w:rsidP="00A74FE9">
            <w:pPr>
              <w:spacing w:after="0" w:line="240" w:lineRule="auto"/>
              <w:jc w:val="center"/>
              <w:rPr>
                <w:rFonts w:ascii="Times New Roman" w:eastAsia="Times New Roman" w:hAnsi="Times New Roman" w:cs="Times New Roman"/>
                <w:sz w:val="20"/>
                <w:szCs w:val="20"/>
                <w:lang w:eastAsia="sk-SK"/>
              </w:rPr>
            </w:pPr>
            <w:r w:rsidRPr="00154A68">
              <w:rPr>
                <w:rFonts w:ascii="Times New Roman" w:eastAsia="Times New Roman" w:hAnsi="Times New Roman" w:cs="Times New Roman"/>
                <w:sz w:val="20"/>
                <w:szCs w:val="20"/>
                <w:lang w:eastAsia="sk-SK"/>
              </w:rPr>
              <w:t>67 169</w:t>
            </w:r>
          </w:p>
        </w:tc>
        <w:tc>
          <w:tcPr>
            <w:tcW w:w="1540" w:type="dxa"/>
            <w:tcBorders>
              <w:top w:val="nil"/>
              <w:left w:val="nil"/>
              <w:bottom w:val="single" w:sz="4" w:space="0" w:color="auto"/>
              <w:right w:val="single" w:sz="4" w:space="0" w:color="auto"/>
            </w:tcBorders>
            <w:vAlign w:val="center"/>
          </w:tcPr>
          <w:p w:rsidR="00A74FE9" w:rsidRPr="00154A68" w:rsidRDefault="00A74FE9" w:rsidP="00A74FE9">
            <w:pPr>
              <w:spacing w:after="0" w:line="240" w:lineRule="auto"/>
              <w:jc w:val="center"/>
              <w:rPr>
                <w:rFonts w:ascii="Times New Roman" w:eastAsia="Times New Roman" w:hAnsi="Times New Roman" w:cs="Times New Roman"/>
                <w:sz w:val="20"/>
                <w:szCs w:val="20"/>
                <w:lang w:eastAsia="sk-SK"/>
              </w:rPr>
            </w:pPr>
            <w:r w:rsidRPr="00154A68">
              <w:rPr>
                <w:rFonts w:ascii="Times New Roman" w:eastAsia="Times New Roman" w:hAnsi="Times New Roman" w:cs="Times New Roman"/>
                <w:sz w:val="20"/>
                <w:szCs w:val="20"/>
                <w:lang w:eastAsia="sk-SK"/>
              </w:rPr>
              <w:t>333 547</w:t>
            </w:r>
          </w:p>
        </w:tc>
        <w:tc>
          <w:tcPr>
            <w:tcW w:w="1540" w:type="dxa"/>
            <w:tcBorders>
              <w:top w:val="nil"/>
              <w:left w:val="nil"/>
              <w:bottom w:val="single" w:sz="4" w:space="0" w:color="auto"/>
              <w:right w:val="single" w:sz="4" w:space="0" w:color="auto"/>
            </w:tcBorders>
            <w:vAlign w:val="center"/>
          </w:tcPr>
          <w:p w:rsidR="00A74FE9" w:rsidRPr="00154A68" w:rsidRDefault="00A74FE9" w:rsidP="00A74FE9">
            <w:pPr>
              <w:spacing w:after="0" w:line="240" w:lineRule="auto"/>
              <w:jc w:val="center"/>
              <w:rPr>
                <w:rFonts w:ascii="Times New Roman" w:eastAsia="Times New Roman" w:hAnsi="Times New Roman" w:cs="Times New Roman"/>
                <w:sz w:val="20"/>
                <w:szCs w:val="20"/>
                <w:lang w:eastAsia="sk-SK"/>
              </w:rPr>
            </w:pPr>
            <w:r w:rsidRPr="00154A68">
              <w:rPr>
                <w:rFonts w:ascii="Times New Roman" w:eastAsia="Times New Roman" w:hAnsi="Times New Roman" w:cs="Times New Roman"/>
                <w:sz w:val="20"/>
                <w:szCs w:val="20"/>
                <w:lang w:eastAsia="sk-SK"/>
              </w:rPr>
              <w:t>646 725</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A74FE9" w:rsidRPr="007B7470" w:rsidRDefault="00A74FE9" w:rsidP="00A74FE9">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154A68">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shd w:val="clear" w:color="auto" w:fill="auto"/>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154A68">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shd w:val="clear" w:color="auto" w:fill="auto"/>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154A68">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shd w:val="clear" w:color="auto" w:fill="auto"/>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154A68">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74FE9" w:rsidRPr="009D3B89" w:rsidRDefault="00A74FE9" w:rsidP="00A74FE9">
            <w:pPr>
              <w:spacing w:after="0" w:line="240" w:lineRule="auto"/>
              <w:jc w:val="center"/>
              <w:rPr>
                <w:rFonts w:ascii="Times New Roman" w:eastAsia="Times New Roman" w:hAnsi="Times New Roman" w:cs="Times New Roman"/>
                <w:b/>
                <w:sz w:val="20"/>
                <w:szCs w:val="20"/>
                <w:lang w:eastAsia="sk-SK"/>
              </w:rPr>
            </w:pPr>
            <w:r w:rsidRPr="009D3B89">
              <w:rPr>
                <w:rFonts w:ascii="Times New Roman" w:eastAsia="Times New Roman" w:hAnsi="Times New Roman" w:cs="Times New Roman"/>
                <w:b/>
                <w:sz w:val="20"/>
                <w:szCs w:val="20"/>
                <w:lang w:eastAsia="sk-SK"/>
              </w:rPr>
              <w:t>67 169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74FE9" w:rsidRPr="009D3B89" w:rsidRDefault="00A74FE9" w:rsidP="00A74FE9">
            <w:pPr>
              <w:spacing w:after="0" w:line="240" w:lineRule="auto"/>
              <w:jc w:val="center"/>
              <w:rPr>
                <w:rFonts w:ascii="Times New Roman" w:eastAsia="Times New Roman" w:hAnsi="Times New Roman" w:cs="Times New Roman"/>
                <w:b/>
                <w:sz w:val="20"/>
                <w:szCs w:val="20"/>
                <w:lang w:eastAsia="sk-SK"/>
              </w:rPr>
            </w:pPr>
            <w:r w:rsidRPr="009D3B89">
              <w:rPr>
                <w:rFonts w:ascii="Times New Roman" w:eastAsia="Times New Roman" w:hAnsi="Times New Roman" w:cs="Times New Roman"/>
                <w:b/>
                <w:sz w:val="20"/>
                <w:szCs w:val="20"/>
                <w:lang w:eastAsia="sk-SK"/>
              </w:rPr>
              <w:t>333 547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74FE9" w:rsidRPr="009D3B89" w:rsidRDefault="00A74FE9" w:rsidP="00A74FE9">
            <w:pPr>
              <w:spacing w:after="0" w:line="240" w:lineRule="auto"/>
              <w:jc w:val="center"/>
              <w:rPr>
                <w:rFonts w:ascii="Times New Roman" w:eastAsia="Times New Roman" w:hAnsi="Times New Roman" w:cs="Times New Roman"/>
                <w:b/>
                <w:sz w:val="20"/>
                <w:szCs w:val="20"/>
                <w:lang w:eastAsia="sk-SK"/>
              </w:rPr>
            </w:pPr>
            <w:r w:rsidRPr="009D3B89">
              <w:rPr>
                <w:rFonts w:ascii="Times New Roman" w:eastAsia="Times New Roman" w:hAnsi="Times New Roman" w:cs="Times New Roman"/>
                <w:b/>
                <w:sz w:val="20"/>
                <w:szCs w:val="20"/>
                <w:lang w:eastAsia="sk-SK"/>
              </w:rPr>
              <w:t>646 725</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4FE9" w:rsidRPr="007B7470" w:rsidTr="00A74F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4FE9" w:rsidRPr="007B7470" w:rsidTr="00A74F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154A68">
              <w:rPr>
                <w:rFonts w:ascii="Times New Roman" w:eastAsia="Times New Roman" w:hAnsi="Times New Roman" w:cs="Times New Roman"/>
                <w:b/>
                <w:bCs/>
                <w:color w:val="000000" w:themeColor="text1"/>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b/>
                <w:bCs/>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vAlign w:val="center"/>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FE9" w:rsidRPr="007B7470" w:rsidTr="00A74F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A74FE9"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74FE9" w:rsidRPr="007B7470" w:rsidRDefault="00A74FE9" w:rsidP="00A74FE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4631C">
        <w:rPr>
          <w:rFonts w:ascii="Times New Roman" w:eastAsia="Times New Roman" w:hAnsi="Times New Roman" w:cs="Times New Roman"/>
          <w:bCs/>
          <w:sz w:val="24"/>
          <w:szCs w:val="20"/>
          <w:lang w:eastAsia="sk-SK"/>
        </w:rPr>
        <w:lastRenderedPageBreak/>
        <w:t>Návrh zákona n</w:t>
      </w:r>
      <w:r>
        <w:rPr>
          <w:rFonts w:ascii="Times New Roman" w:eastAsia="Times New Roman" w:hAnsi="Times New Roman" w:cs="Times New Roman"/>
          <w:bCs/>
          <w:sz w:val="24"/>
          <w:szCs w:val="20"/>
          <w:lang w:eastAsia="sk-SK"/>
        </w:rPr>
        <w:t>ezakladá žiadne vplyvy na zamestnanosť vo</w:t>
      </w:r>
      <w:r w:rsidRPr="00F4631C">
        <w:rPr>
          <w:rFonts w:ascii="Times New Roman" w:eastAsia="Times New Roman" w:hAnsi="Times New Roman" w:cs="Times New Roman"/>
          <w:bCs/>
          <w:sz w:val="24"/>
          <w:szCs w:val="20"/>
          <w:lang w:eastAsia="sk-SK"/>
        </w:rPr>
        <w:t xml:space="preserve"> verejnej správy, t. j. nezvyšuje ich ani ich neznižuje</w:t>
      </w:r>
      <w:r>
        <w:rPr>
          <w:rFonts w:ascii="Times New Roman" w:eastAsia="Times New Roman" w:hAnsi="Times New Roman" w:cs="Times New Roman"/>
          <w:bCs/>
          <w:sz w:val="24"/>
          <w:szCs w:val="20"/>
          <w:lang w:eastAsia="sk-SK"/>
        </w:rPr>
        <w:t xml:space="preserve"> </w:t>
      </w:r>
    </w:p>
    <w:p w:rsidR="00A74FE9" w:rsidRPr="007B7470" w:rsidRDefault="00A74FE9" w:rsidP="00A74FE9">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A74FE9" w:rsidRPr="007B7470" w:rsidRDefault="00A74FE9" w:rsidP="00A74FE9">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A74FE9" w:rsidRPr="007B7470" w:rsidTr="00A74F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A74FE9" w:rsidRPr="007B7470" w:rsidTr="00A74F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4FE9" w:rsidRPr="007B7470" w:rsidRDefault="00A74FE9" w:rsidP="00A74FE9">
            <w:pPr>
              <w:spacing w:after="0" w:line="240" w:lineRule="auto"/>
              <w:rPr>
                <w:rFonts w:ascii="Times New Roman" w:eastAsia="Times New Roman" w:hAnsi="Times New Roman" w:cs="Times New Roman"/>
                <w:b/>
                <w:bCs/>
                <w:color w:val="FFFFFF"/>
                <w:sz w:val="24"/>
                <w:szCs w:val="24"/>
                <w:lang w:eastAsia="sk-SK"/>
              </w:rPr>
            </w:pP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A74FE9" w:rsidRPr="007B7470" w:rsidTr="00A74FE9">
        <w:trPr>
          <w:trHeight w:val="255"/>
        </w:trPr>
        <w:tc>
          <w:tcPr>
            <w:tcW w:w="6188" w:type="dxa"/>
            <w:tcBorders>
              <w:top w:val="nil"/>
              <w:left w:val="single" w:sz="4" w:space="0" w:color="auto"/>
              <w:bottom w:val="single" w:sz="4" w:space="0" w:color="auto"/>
              <w:right w:val="single" w:sz="4" w:space="0" w:color="auto"/>
            </w:tcBorders>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A74FE9" w:rsidRPr="007B7470" w:rsidRDefault="00A74FE9" w:rsidP="00A74FE9">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FE9" w:rsidRPr="007B7470" w:rsidTr="00A74FE9">
        <w:trPr>
          <w:trHeight w:val="255"/>
        </w:trPr>
        <w:tc>
          <w:tcPr>
            <w:tcW w:w="61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6188" w:type="dxa"/>
            <w:tcBorders>
              <w:top w:val="nil"/>
              <w:left w:val="nil"/>
              <w:bottom w:val="nil"/>
              <w:right w:val="nil"/>
            </w:tcBorders>
          </w:tcPr>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13112" w:type="dxa"/>
            <w:gridSpan w:val="6"/>
            <w:tcBorders>
              <w:top w:val="nil"/>
              <w:left w:val="nil"/>
              <w:bottom w:val="nil"/>
              <w:right w:val="nil"/>
            </w:tcBorders>
            <w:noWrap/>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r w:rsidR="00A74FE9" w:rsidRPr="007B7470" w:rsidTr="00A74FE9">
        <w:trPr>
          <w:trHeight w:val="255"/>
        </w:trPr>
        <w:tc>
          <w:tcPr>
            <w:tcW w:w="10394" w:type="dxa"/>
            <w:gridSpan w:val="4"/>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1158"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A74FE9" w:rsidRPr="007B7470" w:rsidRDefault="00A74FE9" w:rsidP="00A74FE9">
            <w:pPr>
              <w:spacing w:after="0" w:line="240" w:lineRule="auto"/>
              <w:rPr>
                <w:rFonts w:ascii="Times New Roman" w:eastAsia="Times New Roman" w:hAnsi="Times New Roman" w:cs="Times New Roman"/>
                <w:sz w:val="24"/>
                <w:szCs w:val="24"/>
                <w:lang w:eastAsia="sk-SK"/>
              </w:rPr>
            </w:pPr>
          </w:p>
        </w:tc>
      </w:tr>
    </w:tbl>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p>
    <w:p w:rsidR="00A74FE9" w:rsidRPr="007B7470" w:rsidRDefault="00A74FE9" w:rsidP="00A74FE9">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rsidR="00A74FE9" w:rsidRPr="007B7470" w:rsidRDefault="00A74FE9" w:rsidP="00A74FE9">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Vplyv na dlhodobú udržateľnosť bol posúdený modelom SLOPEM – Slovak pension model na základe demografickej prognózy EUROPOP2023 a makroekonomickej prognózy AWG. Uvedené vplyvy ilustrujú izolovaný dlhodobý dopad zníženia sadzieb povinných príspevkov do II. piliera na úroveň 4 % z vymeriavacieho základu na príjmy a výdavky dôchodkového systému. Dopad na indikátor dlhodobej udržateľnosti S2 sa v závislosti od použitej metodiky môže líšiť.  </w:t>
      </w:r>
    </w:p>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A74FE9" w:rsidRPr="007B7470" w:rsidRDefault="00A74FE9" w:rsidP="00A74FE9">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74FE9" w:rsidRPr="007B7470" w:rsidTr="00A74FE9">
        <w:trPr>
          <w:trHeight w:val="284"/>
        </w:trPr>
        <w:tc>
          <w:tcPr>
            <w:tcW w:w="2943" w:type="dxa"/>
            <w:vMerge w:val="restart"/>
            <w:shd w:val="clear" w:color="auto" w:fill="BFBFBF" w:themeFill="background1" w:themeFillShade="BF"/>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A74FE9" w:rsidRPr="007B7470" w:rsidTr="00A74FE9">
        <w:trPr>
          <w:trHeight w:val="284"/>
        </w:trPr>
        <w:tc>
          <w:tcPr>
            <w:tcW w:w="2943" w:type="dxa"/>
            <w:vMerge/>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A74FE9" w:rsidRPr="007D6D9D"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D6D9D">
              <w:rPr>
                <w:rFonts w:ascii="Times New Roman" w:eastAsia="Times New Roman" w:hAnsi="Times New Roman" w:cs="Times New Roman"/>
                <w:b/>
                <w:sz w:val="24"/>
                <w:szCs w:val="24"/>
                <w:lang w:eastAsia="sk-SK"/>
              </w:rPr>
              <w:t>2030</w:t>
            </w:r>
          </w:p>
        </w:tc>
        <w:tc>
          <w:tcPr>
            <w:tcW w:w="1559" w:type="dxa"/>
            <w:shd w:val="clear" w:color="auto" w:fill="BFBFBF" w:themeFill="background1" w:themeFillShade="BF"/>
          </w:tcPr>
          <w:p w:rsidR="00A74FE9" w:rsidRPr="007D6D9D"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D6D9D">
              <w:rPr>
                <w:rFonts w:ascii="Times New Roman" w:eastAsia="Times New Roman" w:hAnsi="Times New Roman" w:cs="Times New Roman"/>
                <w:b/>
                <w:sz w:val="24"/>
                <w:szCs w:val="24"/>
                <w:lang w:eastAsia="sk-SK"/>
              </w:rPr>
              <w:t>2040</w:t>
            </w:r>
          </w:p>
        </w:tc>
        <w:tc>
          <w:tcPr>
            <w:tcW w:w="1559" w:type="dxa"/>
            <w:shd w:val="clear" w:color="auto" w:fill="BFBFBF" w:themeFill="background1" w:themeFillShade="BF"/>
          </w:tcPr>
          <w:p w:rsidR="00A74FE9" w:rsidRPr="007D6D9D"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D6D9D">
              <w:rPr>
                <w:rFonts w:ascii="Times New Roman" w:eastAsia="Times New Roman" w:hAnsi="Times New Roman" w:cs="Times New Roman"/>
                <w:b/>
                <w:sz w:val="24"/>
                <w:szCs w:val="24"/>
                <w:lang w:eastAsia="sk-SK"/>
              </w:rPr>
              <w:t>2050</w:t>
            </w:r>
          </w:p>
        </w:tc>
        <w:tc>
          <w:tcPr>
            <w:tcW w:w="1418" w:type="dxa"/>
            <w:shd w:val="clear" w:color="auto" w:fill="BFBFBF" w:themeFill="background1" w:themeFillShade="BF"/>
          </w:tcPr>
          <w:p w:rsidR="00A74FE9" w:rsidRPr="007D6D9D"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D6D9D">
              <w:rPr>
                <w:rFonts w:ascii="Times New Roman" w:eastAsia="Times New Roman" w:hAnsi="Times New Roman" w:cs="Times New Roman"/>
                <w:b/>
                <w:sz w:val="24"/>
                <w:szCs w:val="24"/>
                <w:lang w:eastAsia="sk-SK"/>
              </w:rPr>
              <w:t>2060</w:t>
            </w:r>
          </w:p>
        </w:tc>
        <w:tc>
          <w:tcPr>
            <w:tcW w:w="1984" w:type="dxa"/>
            <w:shd w:val="clear" w:color="auto" w:fill="BFBFBF" w:themeFill="background1" w:themeFillShade="BF"/>
          </w:tcPr>
          <w:p w:rsidR="00A74FE9" w:rsidRPr="007D6D9D"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D6D9D">
              <w:rPr>
                <w:rFonts w:ascii="Times New Roman" w:eastAsia="Times New Roman" w:hAnsi="Times New Roman" w:cs="Times New Roman"/>
                <w:b/>
                <w:sz w:val="24"/>
                <w:szCs w:val="24"/>
                <w:lang w:eastAsia="sk-SK"/>
              </w:rPr>
              <w:t>2070</w:t>
            </w:r>
          </w:p>
        </w:tc>
        <w:tc>
          <w:tcPr>
            <w:tcW w:w="3119" w:type="dxa"/>
            <w:vMerge/>
            <w:shd w:val="clear" w:color="auto" w:fill="BFBFBF" w:themeFill="background1" w:themeFillShade="BF"/>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vAlign w:val="bottom"/>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0,01</w:t>
            </w:r>
          </w:p>
        </w:tc>
        <w:tc>
          <w:tcPr>
            <w:tcW w:w="1559"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0,06</w:t>
            </w:r>
          </w:p>
        </w:tc>
        <w:tc>
          <w:tcPr>
            <w:tcW w:w="1559"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0,16</w:t>
            </w:r>
          </w:p>
        </w:tc>
        <w:tc>
          <w:tcPr>
            <w:tcW w:w="1418"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0,25</w:t>
            </w:r>
          </w:p>
        </w:tc>
        <w:tc>
          <w:tcPr>
            <w:tcW w:w="1984"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0,29</w:t>
            </w: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0,43</w:t>
            </w:r>
          </w:p>
        </w:tc>
        <w:tc>
          <w:tcPr>
            <w:tcW w:w="1559"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0,49</w:t>
            </w:r>
          </w:p>
        </w:tc>
        <w:tc>
          <w:tcPr>
            <w:tcW w:w="1559"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0,56</w:t>
            </w:r>
          </w:p>
        </w:tc>
        <w:tc>
          <w:tcPr>
            <w:tcW w:w="1418"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0,63</w:t>
            </w:r>
          </w:p>
        </w:tc>
        <w:tc>
          <w:tcPr>
            <w:tcW w:w="1984"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0,68</w:t>
            </w: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4FE9" w:rsidRPr="007B7470" w:rsidTr="00A74FE9">
        <w:trPr>
          <w:trHeight w:val="284"/>
        </w:trPr>
        <w:tc>
          <w:tcPr>
            <w:tcW w:w="2943" w:type="dxa"/>
            <w:shd w:val="clear" w:color="auto" w:fill="auto"/>
          </w:tcPr>
          <w:p w:rsidR="00A74FE9" w:rsidRPr="007B7470" w:rsidRDefault="00A74FE9" w:rsidP="00A74FE9">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0,42</w:t>
            </w:r>
          </w:p>
        </w:tc>
        <w:tc>
          <w:tcPr>
            <w:tcW w:w="1559"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0,43</w:t>
            </w:r>
          </w:p>
        </w:tc>
        <w:tc>
          <w:tcPr>
            <w:tcW w:w="1559"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0,40</w:t>
            </w:r>
          </w:p>
        </w:tc>
        <w:tc>
          <w:tcPr>
            <w:tcW w:w="1418"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0,38</w:t>
            </w:r>
          </w:p>
        </w:tc>
        <w:tc>
          <w:tcPr>
            <w:tcW w:w="1984" w:type="dxa"/>
            <w:shd w:val="clear" w:color="auto" w:fill="auto"/>
            <w:vAlign w:val="center"/>
          </w:tcPr>
          <w:p w:rsidR="00A74FE9" w:rsidRPr="007B7470" w:rsidRDefault="00A74FE9" w:rsidP="00A74FE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0,39</w:t>
            </w:r>
          </w:p>
        </w:tc>
        <w:tc>
          <w:tcPr>
            <w:tcW w:w="3119" w:type="dxa"/>
            <w:shd w:val="clear" w:color="auto" w:fill="auto"/>
          </w:tcPr>
          <w:p w:rsidR="00A74FE9" w:rsidRPr="007B7470" w:rsidRDefault="00A74FE9" w:rsidP="00A74F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A74FE9" w:rsidRPr="007B7470" w:rsidRDefault="00A74FE9" w:rsidP="00A74FE9">
      <w:pPr>
        <w:spacing w:after="0" w:line="240" w:lineRule="auto"/>
        <w:jc w:val="both"/>
        <w:rPr>
          <w:rFonts w:ascii="Times New Roman" w:eastAsia="Times New Roman" w:hAnsi="Times New Roman" w:cs="Times New Roman"/>
          <w:sz w:val="24"/>
          <w:szCs w:val="24"/>
          <w:lang w:eastAsia="sk-SK"/>
        </w:rPr>
      </w:pPr>
    </w:p>
    <w:p w:rsidR="00A74FE9" w:rsidRPr="00C8307B" w:rsidRDefault="00A74FE9" w:rsidP="00A74FE9">
      <w:pPr>
        <w:spacing w:after="0"/>
        <w:rPr>
          <w:rFonts w:ascii="Times New Roman" w:eastAsia="Times New Roman" w:hAnsi="Times New Roman" w:cs="Times New Roman"/>
          <w:bCs/>
          <w:sz w:val="18"/>
          <w:szCs w:val="20"/>
          <w:lang w:eastAsia="sk-SK"/>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A74FE9" w:rsidRDefault="00A74FE9" w:rsidP="002A570D">
      <w:pPr>
        <w:pStyle w:val="Bezriadkovania"/>
        <w:jc w:val="both"/>
        <w:rPr>
          <w:rFonts w:ascii="Times New Roman" w:hAnsi="Times New Roman" w:cs="Times New Roman"/>
          <w:sz w:val="24"/>
          <w:szCs w:val="24"/>
        </w:rPr>
      </w:pPr>
    </w:p>
    <w:p w:rsidR="00D15014" w:rsidRDefault="00D15014" w:rsidP="00D15014">
      <w:pPr>
        <w:rPr>
          <w:rFonts w:ascii="Times New Roman" w:hAnsi="Times New Roman" w:cs="Times New Roman"/>
          <w:sz w:val="24"/>
          <w:szCs w:val="24"/>
        </w:rPr>
      </w:pPr>
      <w:r>
        <w:rPr>
          <w:rFonts w:ascii="Times New Roman" w:hAnsi="Times New Roman" w:cs="Times New Roman"/>
          <w:sz w:val="24"/>
          <w:szCs w:val="24"/>
        </w:rPr>
        <w:br w:type="page"/>
      </w:r>
    </w:p>
    <w:p w:rsidR="00D15014" w:rsidRDefault="00D15014" w:rsidP="00D15014">
      <w:pPr>
        <w:rPr>
          <w:rFonts w:ascii="Times New Roman" w:hAnsi="Times New Roman" w:cs="Times New Roman"/>
          <w:sz w:val="24"/>
          <w:szCs w:val="24"/>
        </w:rPr>
        <w:sectPr w:rsidR="00D15014" w:rsidSect="00A74FE9">
          <w:pgSz w:w="16838" w:h="11906" w:orient="landscape"/>
          <w:pgMar w:top="1417" w:right="1417" w:bottom="1417" w:left="1417" w:header="708" w:footer="708" w:gutter="0"/>
          <w:cols w:space="708"/>
          <w:docGrid w:linePitch="360"/>
        </w:sectPr>
      </w:pPr>
    </w:p>
    <w:p w:rsidR="00D15014" w:rsidRDefault="00D15014" w:rsidP="00D15014">
      <w:pPr>
        <w:rPr>
          <w:rFonts w:ascii="Times New Roman" w:hAnsi="Times New Roman" w:cs="Times New Roman"/>
          <w:sz w:val="24"/>
          <w:szCs w:val="24"/>
        </w:rPr>
      </w:pPr>
    </w:p>
    <w:p w:rsidR="00D15014" w:rsidRPr="00895898" w:rsidRDefault="00D15014" w:rsidP="00764E05">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rsidR="00D15014" w:rsidRPr="00895898" w:rsidRDefault="00D15014" w:rsidP="00764E05">
      <w:pPr>
        <w:jc w:val="both"/>
        <w:rPr>
          <w:rFonts w:ascii="Times New Roman" w:eastAsia="Calibri" w:hAnsi="Times New Roman" w:cs="Times New Roman"/>
          <w:b/>
          <w:sz w:val="24"/>
          <w:szCs w:val="24"/>
        </w:rPr>
      </w:pPr>
    </w:p>
    <w:p w:rsidR="00D15014" w:rsidRPr="001F1B43" w:rsidRDefault="00D15014" w:rsidP="00764E0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Pr="003053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w:t>
      </w:r>
      <w:r w:rsidRPr="00A055B6">
        <w:rPr>
          <w:rFonts w:ascii="Times New Roman" w:hAnsi="Times New Roman" w:cs="Times New Roman"/>
          <w:color w:val="000000"/>
          <w:sz w:val="24"/>
          <w:szCs w:val="24"/>
          <w:shd w:val="clear" w:color="auto" w:fill="FFFFFF"/>
        </w:rPr>
        <w:t>ávrh zákona, ktorým sa menia a dopĺňajú niektoré zákony v súvislosti so zlepšením stavu verejných financií</w:t>
      </w:r>
    </w:p>
    <w:p w:rsidR="00D15014" w:rsidRPr="001F1B43" w:rsidRDefault="00D15014" w:rsidP="00764E0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Pr="00C752A2">
        <w:rPr>
          <w:rFonts w:ascii="Times New Roman" w:eastAsia="Times New Roman" w:hAnsi="Times New Roman" w:cs="Times New Roman"/>
          <w:sz w:val="24"/>
          <w:szCs w:val="24"/>
          <w:lang w:eastAsia="sk-SK"/>
        </w:rPr>
        <w:t>Ministerstvo financií Slovenskej republiky</w:t>
      </w:r>
    </w:p>
    <w:p w:rsidR="00D15014" w:rsidRPr="001F1B43" w:rsidRDefault="00D15014" w:rsidP="00764E05">
      <w:pPr>
        <w:jc w:val="both"/>
        <w:rPr>
          <w:rFonts w:ascii="Times New Roman" w:eastAsia="Calibri" w:hAnsi="Times New Roman" w:cs="Times New Roman"/>
          <w:b/>
          <w:sz w:val="24"/>
          <w:szCs w:val="24"/>
        </w:rPr>
      </w:pPr>
    </w:p>
    <w:p w:rsidR="00D15014" w:rsidRPr="001F1B43" w:rsidRDefault="00D15014" w:rsidP="00764E0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D15014" w:rsidRPr="001F1B43" w:rsidRDefault="00D15014" w:rsidP="00764E05">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D15014" w:rsidRPr="00D8247C" w:rsidRDefault="00D15014" w:rsidP="00764E05">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r w:rsidRPr="00804BC8">
        <w:rPr>
          <w:rFonts w:ascii="Times New Roman" w:eastAsia="Calibri" w:hAnsi="Times New Roman" w:cs="Times New Roman"/>
          <w:i/>
          <w:sz w:val="24"/>
          <w:szCs w:val="24"/>
        </w:rPr>
        <w:t>goldplatingu</w:t>
      </w:r>
      <w:r>
        <w:rPr>
          <w:rStyle w:val="Odkaznapoznmkupodiarou"/>
          <w:rFonts w:ascii="Times New Roman" w:eastAsia="Calibri" w:hAnsi="Times New Roman" w:cs="Times New Roman"/>
          <w:i/>
          <w:sz w:val="24"/>
          <w:szCs w:val="24"/>
        </w:rPr>
        <w:footnoteReference w:id="3"/>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rsidR="00D15014" w:rsidRPr="00D8247C" w:rsidRDefault="00D15014" w:rsidP="00764E05">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77"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D15014" w:rsidRPr="00C929AE" w:rsidTr="00764E05">
        <w:trPr>
          <w:trHeight w:val="27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jc w:val="center"/>
              <w:rPr>
                <w:rFonts w:ascii="Times New Roman" w:eastAsia="Times New Roman" w:hAnsi="Times New Roman" w:cs="Times New Roman"/>
                <w:color w:val="000000"/>
                <w:sz w:val="20"/>
                <w:szCs w:val="20"/>
                <w:lang w:eastAsia="sk-SK"/>
              </w:rPr>
            </w:pPr>
          </w:p>
        </w:tc>
      </w:tr>
      <w:tr w:rsidR="00D15014" w:rsidRPr="00C929AE" w:rsidTr="00764E05">
        <w:trPr>
          <w:gridAfter w:val="2"/>
          <w:wAfter w:w="583" w:type="dxa"/>
          <w:trHeight w:val="451"/>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D15014" w:rsidRPr="00C929AE" w:rsidTr="00764E05">
        <w:trPr>
          <w:gridAfter w:val="2"/>
          <w:wAfter w:w="583" w:type="dxa"/>
          <w:trHeight w:val="60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BD023B">
              <w:rPr>
                <w:rFonts w:ascii="Times New Roman" w:eastAsia="Times New Roman" w:hAnsi="Times New Roman" w:cs="Times New Roman"/>
                <w:b/>
                <w:bCs/>
                <w:color w:val="000000"/>
                <w:sz w:val="20"/>
                <w:szCs w:val="20"/>
                <w:lang w:eastAsia="sk-SK"/>
              </w:rPr>
              <w:t>387 138 924</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D15014" w:rsidRPr="00C929AE" w:rsidTr="00764E05">
        <w:trPr>
          <w:gridAfter w:val="2"/>
          <w:wAfter w:w="583" w:type="dxa"/>
          <w:trHeight w:val="42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D15014" w:rsidRPr="00C929AE" w:rsidTr="00764E05">
        <w:trPr>
          <w:gridAfter w:val="2"/>
          <w:wAfter w:w="583" w:type="dxa"/>
          <w:trHeight w:val="435"/>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D15014" w:rsidRPr="00C929AE" w:rsidTr="00764E05">
        <w:trPr>
          <w:gridAfter w:val="2"/>
          <w:wAfter w:w="583" w:type="dxa"/>
          <w:trHeight w:val="48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D15014" w:rsidRPr="00C929AE" w:rsidTr="00764E05">
        <w:trPr>
          <w:gridAfter w:val="2"/>
          <w:wAfter w:w="583" w:type="dxa"/>
          <w:trHeight w:val="480"/>
        </w:trPr>
        <w:tc>
          <w:tcPr>
            <w:tcW w:w="146" w:type="dxa"/>
            <w:tcBorders>
              <w:top w:val="nil"/>
              <w:left w:val="nil"/>
              <w:bottom w:val="nil"/>
              <w:right w:val="nil"/>
            </w:tcBorders>
            <w:shd w:val="clear" w:color="auto" w:fill="auto"/>
            <w:noWrap/>
            <w:vAlign w:val="bottom"/>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p>
        </w:tc>
      </w:tr>
      <w:tr w:rsidR="00D15014" w:rsidRPr="00C929AE" w:rsidTr="00764E05">
        <w:trPr>
          <w:gridAfter w:val="2"/>
          <w:wAfter w:w="583" w:type="dxa"/>
          <w:trHeight w:val="60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BD023B">
              <w:rPr>
                <w:rFonts w:ascii="Times New Roman" w:eastAsia="Times New Roman" w:hAnsi="Times New Roman" w:cs="Times New Roman"/>
                <w:b/>
                <w:bCs/>
                <w:color w:val="000000"/>
                <w:sz w:val="20"/>
                <w:szCs w:val="20"/>
                <w:lang w:eastAsia="sk-SK"/>
              </w:rPr>
              <w:t>387 138 924</w:t>
            </w: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D15014" w:rsidRPr="00C929AE" w:rsidTr="00764E05">
        <w:trPr>
          <w:trHeight w:val="27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r>
      <w:tr w:rsidR="00D15014" w:rsidRPr="00C929AE" w:rsidTr="00764E05">
        <w:trPr>
          <w:gridAfter w:val="2"/>
          <w:wAfter w:w="583" w:type="dxa"/>
          <w:trHeight w:val="412"/>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D15014" w:rsidRPr="00C929AE" w:rsidTr="00764E05">
        <w:trPr>
          <w:gridAfter w:val="2"/>
          <w:wAfter w:w="583" w:type="dxa"/>
          <w:trHeight w:val="84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D15014" w:rsidRPr="00C929AE" w:rsidTr="00764E05">
        <w:trPr>
          <w:gridAfter w:val="2"/>
          <w:wAfter w:w="583" w:type="dxa"/>
          <w:trHeight w:val="486"/>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D15014" w:rsidRPr="00C929AE" w:rsidTr="00764E05">
        <w:trPr>
          <w:trHeight w:val="36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p>
        </w:tc>
      </w:tr>
      <w:tr w:rsidR="00D15014" w:rsidRPr="00C929AE" w:rsidTr="00764E05">
        <w:trPr>
          <w:gridAfter w:val="2"/>
          <w:wAfter w:w="583" w:type="dxa"/>
          <w:trHeight w:val="39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15014" w:rsidRPr="00C929AE" w:rsidRDefault="00D15014" w:rsidP="00764E05">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D15014" w:rsidRPr="00C929AE" w:rsidTr="00764E05">
        <w:trPr>
          <w:gridAfter w:val="2"/>
          <w:wAfter w:w="583" w:type="dxa"/>
          <w:trHeight w:val="390"/>
        </w:trPr>
        <w:tc>
          <w:tcPr>
            <w:tcW w:w="146" w:type="dxa"/>
            <w:tcBorders>
              <w:top w:val="nil"/>
              <w:left w:val="nil"/>
              <w:bottom w:val="nil"/>
              <w:right w:val="nil"/>
            </w:tcBorders>
            <w:shd w:val="clear" w:color="auto" w:fill="auto"/>
            <w:noWrap/>
            <w:vAlign w:val="bottom"/>
            <w:hideMark/>
          </w:tcPr>
          <w:p w:rsidR="00D15014" w:rsidRPr="00C929AE"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D15014" w:rsidRPr="00751DA9" w:rsidRDefault="00D15014" w:rsidP="00764E05">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D15014" w:rsidRPr="00C929AE"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rsidR="00D15014" w:rsidRPr="00895898" w:rsidRDefault="00D15014" w:rsidP="00764E05">
      <w:pPr>
        <w:rPr>
          <w:rFonts w:ascii="Times New Roman" w:eastAsia="Calibri" w:hAnsi="Times New Roman" w:cs="Times New Roman"/>
          <w:b/>
          <w:sz w:val="24"/>
          <w:szCs w:val="24"/>
        </w:rPr>
        <w:sectPr w:rsidR="00D15014" w:rsidRPr="00895898" w:rsidSect="00764E05">
          <w:headerReference w:type="default" r:id="rId78"/>
          <w:footerReference w:type="default" r:id="rId79"/>
          <w:pgSz w:w="11906" w:h="16838"/>
          <w:pgMar w:top="1417" w:right="1417" w:bottom="1417" w:left="1417" w:header="708" w:footer="708" w:gutter="0"/>
          <w:cols w:space="708"/>
          <w:docGrid w:linePitch="360"/>
        </w:sectPr>
      </w:pPr>
    </w:p>
    <w:p w:rsidR="00D15014" w:rsidRPr="001F1B43" w:rsidRDefault="00D15014" w:rsidP="00764E05">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D15014" w:rsidRDefault="00D15014" w:rsidP="00764E05">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5293"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626"/>
        <w:gridCol w:w="966"/>
        <w:gridCol w:w="735"/>
        <w:gridCol w:w="1276"/>
        <w:gridCol w:w="1417"/>
        <w:gridCol w:w="851"/>
        <w:gridCol w:w="1275"/>
      </w:tblGrid>
      <w:tr w:rsidR="00D15014" w:rsidRPr="000A6B7F" w:rsidTr="00764E0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Default="00D15014" w:rsidP="00764E05">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D15014"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D15014" w:rsidRPr="00895898"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7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895898" w:rsidRDefault="00D15014" w:rsidP="00764E05">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D15014" w:rsidRPr="00895898"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D15014" w:rsidRPr="000A6B7F" w:rsidRDefault="00D15014" w:rsidP="00764E0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6B5D74" w:rsidRDefault="00D15014" w:rsidP="00764E05">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D15014" w:rsidRPr="006B5D74" w:rsidRDefault="00D15014" w:rsidP="00764E05">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15014" w:rsidRPr="006B5D74" w:rsidRDefault="00D15014" w:rsidP="00764E05">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D15014" w:rsidRPr="00895898" w:rsidTr="0076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1740" w:type="dxa"/>
            <w:shd w:val="clear" w:color="auto" w:fill="auto"/>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color w:val="000000"/>
                <w:sz w:val="20"/>
                <w:szCs w:val="20"/>
              </w:rPr>
              <w:t>zvýšenie sadzby poistného na verejné zdravotné poistenie</w:t>
            </w:r>
          </w:p>
        </w:tc>
        <w:tc>
          <w:tcPr>
            <w:tcW w:w="992"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color w:val="000000"/>
                <w:sz w:val="20"/>
                <w:szCs w:val="20"/>
              </w:rPr>
              <w:t>zákon 580/2004 Z. z.</w:t>
            </w:r>
          </w:p>
        </w:tc>
        <w:tc>
          <w:tcPr>
            <w:tcW w:w="1134"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color w:val="000000"/>
                <w:sz w:val="20"/>
                <w:szCs w:val="20"/>
              </w:rPr>
              <w:t>§ 12</w:t>
            </w:r>
          </w:p>
        </w:tc>
        <w:tc>
          <w:tcPr>
            <w:tcW w:w="1843" w:type="dxa"/>
            <w:shd w:val="clear" w:color="auto" w:fill="auto"/>
            <w:vAlign w:val="center"/>
          </w:tcPr>
          <w:p w:rsidR="00D15014" w:rsidRPr="00895898" w:rsidRDefault="00D15014" w:rsidP="00764E05">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D15014" w:rsidRPr="00BD023B" w:rsidRDefault="00D15014" w:rsidP="00764E05">
            <w:pPr>
              <w:pStyle w:val="Odsekzoznamu"/>
              <w:spacing w:after="0" w:line="240" w:lineRule="auto"/>
              <w:ind w:left="0"/>
              <w:rPr>
                <w:rFonts w:ascii="Times New Roman" w:hAnsi="Times New Roman"/>
                <w:color w:val="000000"/>
                <w:sz w:val="20"/>
                <w:szCs w:val="20"/>
                <w:lang w:eastAsia="sk-SK"/>
              </w:rPr>
            </w:pPr>
            <w:r>
              <w:rPr>
                <w:color w:val="000000"/>
                <w:sz w:val="20"/>
                <w:szCs w:val="20"/>
              </w:rPr>
              <w:t>01.01.24</w:t>
            </w:r>
          </w:p>
        </w:tc>
        <w:tc>
          <w:tcPr>
            <w:tcW w:w="162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r>
              <w:rPr>
                <w:color w:val="000000"/>
                <w:sz w:val="20"/>
                <w:szCs w:val="20"/>
              </w:rPr>
              <w:t>zamestnávatelia, samostatne zárobkovo činné osoby</w:t>
            </w:r>
          </w:p>
        </w:tc>
        <w:tc>
          <w:tcPr>
            <w:tcW w:w="96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color w:val="000000"/>
                <w:sz w:val="20"/>
                <w:szCs w:val="20"/>
              </w:rPr>
              <w:t xml:space="preserve"> 630 000 </w:t>
            </w:r>
          </w:p>
        </w:tc>
        <w:tc>
          <w:tcPr>
            <w:tcW w:w="735"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color w:val="000000"/>
                <w:sz w:val="20"/>
                <w:szCs w:val="20"/>
              </w:rPr>
              <w:t>615</w:t>
            </w:r>
          </w:p>
        </w:tc>
        <w:tc>
          <w:tcPr>
            <w:tcW w:w="127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r>
              <w:rPr>
                <w:color w:val="000000"/>
                <w:sz w:val="20"/>
                <w:szCs w:val="20"/>
              </w:rPr>
              <w:t>387 138 924</w:t>
            </w:r>
          </w:p>
        </w:tc>
        <w:tc>
          <w:tcPr>
            <w:tcW w:w="1417"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c>
          <w:tcPr>
            <w:tcW w:w="851"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r>
              <w:rPr>
                <w:sz w:val="20"/>
                <w:szCs w:val="20"/>
              </w:rPr>
              <w:t>0</w:t>
            </w:r>
          </w:p>
        </w:tc>
        <w:tc>
          <w:tcPr>
            <w:tcW w:w="1275"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r>
              <w:rPr>
                <w:color w:val="000000"/>
                <w:sz w:val="20"/>
                <w:szCs w:val="20"/>
              </w:rPr>
              <w:t>0</w:t>
            </w:r>
          </w:p>
        </w:tc>
      </w:tr>
      <w:tr w:rsidR="00D15014" w:rsidRPr="00895898" w:rsidTr="0076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992"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134"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D15014" w:rsidDel="00801596" w:rsidRDefault="00D15014" w:rsidP="00764E0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2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966"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735"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27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417"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275"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r>
      <w:tr w:rsidR="00D15014" w:rsidRPr="00895898" w:rsidTr="0076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992"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134"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D15014" w:rsidDel="00801596" w:rsidRDefault="00D15014" w:rsidP="00764E0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2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966"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735"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27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417"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275"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r>
      <w:tr w:rsidR="00D15014" w:rsidRPr="00895898" w:rsidTr="0076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992"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134"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D15014" w:rsidDel="00801596" w:rsidRDefault="00D15014" w:rsidP="00764E0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2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966"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735"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27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417"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275"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r>
      <w:tr w:rsidR="00D15014" w:rsidRPr="00895898" w:rsidTr="0076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992"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134"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D15014" w:rsidDel="00801596" w:rsidRDefault="00D15014" w:rsidP="00764E0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2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966"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735"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27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417"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275"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r>
      <w:tr w:rsidR="00D15014" w:rsidRPr="00895898" w:rsidTr="0076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992"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134"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D15014" w:rsidDel="00801596" w:rsidRDefault="00D15014" w:rsidP="00764E0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2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966"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735"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27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417"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275"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r>
      <w:tr w:rsidR="00D15014" w:rsidRPr="00895898" w:rsidTr="0076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992"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134"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D15014" w:rsidDel="00801596" w:rsidRDefault="00D15014" w:rsidP="00764E0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62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966" w:type="dxa"/>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735"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1276"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417"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D15014" w:rsidRPr="00895898" w:rsidRDefault="00D15014" w:rsidP="00764E05">
            <w:pPr>
              <w:spacing w:after="0" w:line="240" w:lineRule="auto"/>
              <w:rPr>
                <w:rFonts w:ascii="Times New Roman" w:eastAsia="Times New Roman" w:hAnsi="Times New Roman" w:cs="Times New Roman"/>
                <w:color w:val="000000"/>
                <w:sz w:val="20"/>
                <w:szCs w:val="20"/>
                <w:lang w:eastAsia="sk-SK"/>
              </w:rPr>
            </w:pPr>
          </w:p>
        </w:tc>
        <w:tc>
          <w:tcPr>
            <w:tcW w:w="1275" w:type="dxa"/>
            <w:vAlign w:val="center"/>
          </w:tcPr>
          <w:p w:rsidR="00D15014" w:rsidRPr="00895898" w:rsidRDefault="00D15014" w:rsidP="00764E05">
            <w:pPr>
              <w:spacing w:after="0" w:line="240" w:lineRule="auto"/>
              <w:rPr>
                <w:rFonts w:ascii="Times New Roman" w:eastAsia="Times New Roman" w:hAnsi="Times New Roman" w:cs="Times New Roman"/>
                <w:sz w:val="20"/>
                <w:szCs w:val="20"/>
                <w:lang w:eastAsia="sk-SK"/>
              </w:rPr>
            </w:pPr>
          </w:p>
        </w:tc>
      </w:tr>
    </w:tbl>
    <w:p w:rsidR="00D15014" w:rsidRPr="00895898" w:rsidRDefault="00D15014" w:rsidP="00764E05">
      <w:pPr>
        <w:jc w:val="both"/>
        <w:rPr>
          <w:rFonts w:ascii="Times New Roman" w:eastAsia="Calibri" w:hAnsi="Times New Roman" w:cs="Times New Roman"/>
          <w:i/>
        </w:rPr>
      </w:pPr>
    </w:p>
    <w:p w:rsidR="00D15014" w:rsidRPr="00895898" w:rsidRDefault="00D15014" w:rsidP="00764E05">
      <w:pPr>
        <w:jc w:val="both"/>
        <w:rPr>
          <w:rFonts w:ascii="Times New Roman" w:eastAsia="Calibri" w:hAnsi="Times New Roman" w:cs="Times New Roman"/>
          <w:b/>
          <w:bCs/>
          <w:i/>
          <w:sz w:val="24"/>
          <w:szCs w:val="24"/>
        </w:rPr>
        <w:sectPr w:rsidR="00D15014" w:rsidRPr="00895898" w:rsidSect="00764E05">
          <w:pgSz w:w="16838" w:h="11906" w:orient="landscape"/>
          <w:pgMar w:top="1417" w:right="1417" w:bottom="1417" w:left="1417" w:header="708" w:footer="708" w:gutter="0"/>
          <w:cols w:space="708"/>
          <w:docGrid w:linePitch="360"/>
        </w:sectPr>
      </w:pPr>
    </w:p>
    <w:p w:rsidR="00D15014" w:rsidRPr="001F1B43" w:rsidRDefault="00D15014" w:rsidP="00764E05">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rsidR="00D15014" w:rsidRPr="00E93E91" w:rsidRDefault="00D15014" w:rsidP="00764E05">
      <w:pPr>
        <w:jc w:val="both"/>
        <w:rPr>
          <w:rFonts w:ascii="Times New Roman" w:eastAsia="Calibri" w:hAnsi="Times New Roman" w:cs="Times New Roman"/>
          <w:bCs/>
          <w:iCs/>
          <w:color w:val="000000"/>
          <w:sz w:val="24"/>
          <w:szCs w:val="24"/>
        </w:rPr>
      </w:pPr>
      <w:r w:rsidRPr="00E93E91">
        <w:rPr>
          <w:rFonts w:ascii="Times New Roman" w:eastAsia="Calibri" w:hAnsi="Times New Roman" w:cs="Times New Roman"/>
          <w:bCs/>
          <w:iCs/>
          <w:color w:val="000000"/>
          <w:sz w:val="24"/>
          <w:szCs w:val="24"/>
        </w:rPr>
        <w:t>Zvýšenie sadzby poistného sa dotkne každého zamestnávateľa a každej samostatne zárobkovo činnej osoby.</w:t>
      </w:r>
    </w:p>
    <w:p w:rsidR="00D15014" w:rsidRPr="00E93E91" w:rsidRDefault="00D15014" w:rsidP="00764E05">
      <w:pPr>
        <w:jc w:val="both"/>
        <w:rPr>
          <w:rFonts w:ascii="Times New Roman" w:eastAsia="Calibri" w:hAnsi="Times New Roman" w:cs="Times New Roman"/>
          <w:bCs/>
          <w:iCs/>
          <w:color w:val="000000"/>
          <w:sz w:val="24"/>
          <w:szCs w:val="24"/>
        </w:rPr>
      </w:pPr>
      <w:r w:rsidRPr="00E93E91">
        <w:rPr>
          <w:rFonts w:ascii="Times New Roman" w:eastAsia="Calibri" w:hAnsi="Times New Roman" w:cs="Times New Roman"/>
          <w:bCs/>
          <w:iCs/>
          <w:color w:val="000000"/>
          <w:sz w:val="24"/>
          <w:szCs w:val="24"/>
        </w:rPr>
        <w:t>Počet dotknutých subjektov (630 tis. subjektov) predstavuje odhad z verejne dostupných zdrojov – údajov Sociálnej poisťovne o počte platiteľov-zamestnávateľov (187 000) a údajov od zdravotných poisťovní o počte samostatne zárobkovo činných osôb.</w:t>
      </w:r>
    </w:p>
    <w:p w:rsidR="00D15014" w:rsidRPr="00946750" w:rsidRDefault="00D15014" w:rsidP="00764E05">
      <w:pPr>
        <w:spacing w:after="0" w:line="240" w:lineRule="auto"/>
        <w:jc w:val="both"/>
        <w:rPr>
          <w:rFonts w:ascii="Times New Roman" w:hAnsi="Times New Roman" w:cs="Times New Roman"/>
          <w:b/>
          <w:sz w:val="24"/>
          <w:szCs w:val="24"/>
        </w:rPr>
      </w:pPr>
      <w:r w:rsidRPr="00946750">
        <w:rPr>
          <w:rFonts w:ascii="Times New Roman" w:hAnsi="Times New Roman" w:cs="Times New Roman"/>
          <w:b/>
          <w:sz w:val="24"/>
          <w:szCs w:val="24"/>
        </w:rPr>
        <w:t>Zvýšenie sadzby pre zamestnávateľa</w:t>
      </w:r>
    </w:p>
    <w:p w:rsidR="00D15014" w:rsidRDefault="00D15014" w:rsidP="00764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zvýšiť sadzba poisteného pre </w:t>
      </w:r>
    </w:p>
    <w:p w:rsidR="00D15014" w:rsidRDefault="00D15014" w:rsidP="00D15014">
      <w:pPr>
        <w:pStyle w:val="Odsekzoznamu"/>
        <w:numPr>
          <w:ilvl w:val="0"/>
          <w:numId w:val="7"/>
        </w:numPr>
        <w:spacing w:after="0" w:line="240" w:lineRule="auto"/>
        <w:jc w:val="both"/>
        <w:rPr>
          <w:rFonts w:ascii="Times New Roman" w:hAnsi="Times New Roman"/>
          <w:sz w:val="24"/>
          <w:szCs w:val="24"/>
        </w:rPr>
      </w:pPr>
      <w:r w:rsidRPr="00406562">
        <w:rPr>
          <w:rFonts w:ascii="Times New Roman" w:hAnsi="Times New Roman"/>
          <w:sz w:val="24"/>
          <w:szCs w:val="24"/>
        </w:rPr>
        <w:t>zamestnávateľa z 10% na 11%, ak zamestnávateľ zamestnáva osoby so zdravotným postihnutím, sadzba poistného sa upravuje z 5% na 5,5% z vymeriavaci</w:t>
      </w:r>
      <w:r>
        <w:rPr>
          <w:rFonts w:ascii="Times New Roman" w:hAnsi="Times New Roman"/>
          <w:sz w:val="24"/>
          <w:szCs w:val="24"/>
        </w:rPr>
        <w:t>eho základu podľa § 13 ods. 1,</w:t>
      </w:r>
    </w:p>
    <w:p w:rsidR="00D15014" w:rsidRDefault="00D15014" w:rsidP="00D15014">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samostatne zárobkovo činnú osobu z 14% na 15%, ak ide o samostatne zárobkovo činnú osobu so zdravotným postihnutím z 7% na 7,5% z vymeriavacieho základu,</w:t>
      </w:r>
    </w:p>
    <w:p w:rsidR="00D15014" w:rsidRDefault="00D15014" w:rsidP="00D15014">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tzv. samoplatiteľa zo 14 % na 15 % z vymeriavacieho základu.</w:t>
      </w:r>
    </w:p>
    <w:p w:rsidR="00D15014" w:rsidRPr="00406562" w:rsidRDefault="00D15014" w:rsidP="00764E05">
      <w:pPr>
        <w:pStyle w:val="Odsekzoznamu"/>
        <w:spacing w:after="0" w:line="240" w:lineRule="auto"/>
        <w:jc w:val="both"/>
        <w:rPr>
          <w:rFonts w:ascii="Times New Roman" w:hAnsi="Times New Roman"/>
          <w:sz w:val="24"/>
          <w:szCs w:val="24"/>
        </w:rPr>
      </w:pPr>
    </w:p>
    <w:p w:rsidR="00D15014" w:rsidRPr="00946750" w:rsidRDefault="00D15014" w:rsidP="00764E05">
      <w:pPr>
        <w:spacing w:after="0" w:line="240" w:lineRule="auto"/>
        <w:jc w:val="both"/>
        <w:rPr>
          <w:rFonts w:ascii="Times New Roman" w:hAnsi="Times New Roman" w:cs="Times New Roman"/>
          <w:sz w:val="24"/>
          <w:szCs w:val="24"/>
        </w:rPr>
      </w:pPr>
      <w:r w:rsidRPr="00946750">
        <w:rPr>
          <w:rFonts w:ascii="Times New Roman" w:hAnsi="Times New Roman" w:cs="Times New Roman"/>
          <w:sz w:val="24"/>
          <w:szCs w:val="24"/>
        </w:rPr>
        <w:t>Pri realizácii akejkoľvek zásadnej zmeny v odvodovej povinnosti musia zmeny, spočívajúce v zmene sadzby realizovať vždy k 1. januáru. Hlavným dôvodom je existencia ročného zúčtovania poistného, pri ktorom akákoľvek takáto zmena v priebehu kalendárneho roka do značnej miery výrazne skomplikuje realizáciu ročného zúčtovania poistného.</w:t>
      </w:r>
    </w:p>
    <w:p w:rsidR="00D15014" w:rsidRDefault="00D15014" w:rsidP="00764E05">
      <w:pPr>
        <w:spacing w:after="0" w:line="240" w:lineRule="auto"/>
        <w:jc w:val="both"/>
        <w:rPr>
          <w:rFonts w:ascii="Times New Roman" w:hAnsi="Times New Roman" w:cs="Times New Roman"/>
          <w:b/>
          <w:sz w:val="24"/>
          <w:szCs w:val="24"/>
        </w:rPr>
      </w:pPr>
    </w:p>
    <w:p w:rsidR="00D15014" w:rsidRPr="00F37799" w:rsidRDefault="00D15014" w:rsidP="00764E05">
      <w:pPr>
        <w:pStyle w:val="Nadpis1"/>
        <w:spacing w:before="0" w:line="240" w:lineRule="auto"/>
        <w:rPr>
          <w:rFonts w:ascii="Times New Roman" w:hAnsi="Times New Roman" w:cs="Times New Roman"/>
          <w:b/>
          <w:color w:val="auto"/>
          <w:sz w:val="24"/>
        </w:rPr>
      </w:pPr>
      <w:r w:rsidRPr="00F37799">
        <w:rPr>
          <w:rFonts w:ascii="Times New Roman" w:hAnsi="Times New Roman" w:cs="Times New Roman"/>
          <w:b/>
          <w:color w:val="auto"/>
          <w:sz w:val="24"/>
        </w:rPr>
        <w:t>Odhad dopadu zvýšenia sadzby poistného na verejné zdravotné poistenie za zamestnávateľa z 10% na 11%</w:t>
      </w:r>
      <w:r>
        <w:rPr>
          <w:rFonts w:ascii="Times New Roman" w:hAnsi="Times New Roman" w:cs="Times New Roman"/>
          <w:b/>
          <w:color w:val="auto"/>
          <w:sz w:val="24"/>
        </w:rPr>
        <w:t>, samostatne zárobkovo činné osoby z 14% na 15% a samoplatiteľov z 14% na 15%.</w:t>
      </w:r>
    </w:p>
    <w:p w:rsidR="00D15014" w:rsidRPr="00F37799" w:rsidRDefault="00D15014" w:rsidP="00764E05">
      <w:pPr>
        <w:spacing w:after="0" w:line="240" w:lineRule="auto"/>
        <w:jc w:val="both"/>
        <w:rPr>
          <w:rFonts w:ascii="Times New Roman" w:hAnsi="Times New Roman" w:cs="Times New Roman"/>
          <w:sz w:val="24"/>
          <w:szCs w:val="24"/>
        </w:rPr>
      </w:pPr>
      <w:r w:rsidRPr="00F37799">
        <w:rPr>
          <w:rFonts w:ascii="Times New Roman" w:hAnsi="Times New Roman" w:cs="Times New Roman"/>
          <w:sz w:val="24"/>
          <w:szCs w:val="24"/>
        </w:rPr>
        <w:t>Pri simulácii boli použité nasledovné predpoklady:</w:t>
      </w:r>
    </w:p>
    <w:p w:rsidR="00D15014" w:rsidRPr="00F37799" w:rsidRDefault="00D15014" w:rsidP="00D15014">
      <w:pPr>
        <w:pStyle w:val="Odsekzoznamu"/>
        <w:numPr>
          <w:ilvl w:val="0"/>
          <w:numId w:val="23"/>
        </w:numPr>
        <w:spacing w:after="0" w:line="240" w:lineRule="auto"/>
        <w:jc w:val="both"/>
        <w:rPr>
          <w:rFonts w:ascii="Times New Roman" w:hAnsi="Times New Roman"/>
          <w:sz w:val="24"/>
          <w:szCs w:val="24"/>
        </w:rPr>
      </w:pPr>
      <w:r w:rsidRPr="00F37799">
        <w:rPr>
          <w:rFonts w:ascii="Times New Roman" w:hAnsi="Times New Roman"/>
          <w:sz w:val="24"/>
          <w:szCs w:val="24"/>
        </w:rPr>
        <w:t>štruktúra príjmov zdravotných poisťovní od ekonomicky aktívnych osôb za roky 2022 a 2023 ostane zachovaná aj v ďalšom období,</w:t>
      </w:r>
    </w:p>
    <w:p w:rsidR="00D15014" w:rsidRPr="00F37799" w:rsidRDefault="00D15014" w:rsidP="00D15014">
      <w:pPr>
        <w:pStyle w:val="Odsekzoznamu"/>
        <w:numPr>
          <w:ilvl w:val="0"/>
          <w:numId w:val="23"/>
        </w:numPr>
        <w:spacing w:after="0" w:line="240" w:lineRule="auto"/>
        <w:jc w:val="both"/>
        <w:rPr>
          <w:rFonts w:ascii="Times New Roman" w:hAnsi="Times New Roman"/>
          <w:sz w:val="24"/>
          <w:szCs w:val="24"/>
        </w:rPr>
      </w:pPr>
      <w:r w:rsidRPr="00F37799">
        <w:rPr>
          <w:rFonts w:ascii="Times New Roman" w:hAnsi="Times New Roman"/>
          <w:sz w:val="24"/>
          <w:szCs w:val="24"/>
        </w:rPr>
        <w:t xml:space="preserve">štruktúra platiteľov poistného (zamestnanci, samostatne zárobkovo činné osoby, </w:t>
      </w:r>
      <w:r>
        <w:rPr>
          <w:rFonts w:ascii="Times New Roman" w:hAnsi="Times New Roman"/>
          <w:sz w:val="24"/>
          <w:szCs w:val="24"/>
        </w:rPr>
        <w:t xml:space="preserve">samoplatitelia, </w:t>
      </w:r>
      <w:r w:rsidRPr="00F37799">
        <w:rPr>
          <w:rFonts w:ascii="Times New Roman" w:hAnsi="Times New Roman"/>
          <w:sz w:val="24"/>
          <w:szCs w:val="24"/>
        </w:rPr>
        <w:t>poistenci štátu) za roky 2022 a 2023 ostane zachovaná aj v ďalšom období,</w:t>
      </w:r>
    </w:p>
    <w:p w:rsidR="00D15014" w:rsidRPr="00F37799" w:rsidRDefault="00D15014" w:rsidP="00D15014">
      <w:pPr>
        <w:pStyle w:val="Odsekzoznamu"/>
        <w:numPr>
          <w:ilvl w:val="0"/>
          <w:numId w:val="23"/>
        </w:numPr>
        <w:spacing w:after="0" w:line="240" w:lineRule="auto"/>
        <w:jc w:val="both"/>
        <w:rPr>
          <w:rFonts w:ascii="Times New Roman" w:hAnsi="Times New Roman"/>
          <w:sz w:val="24"/>
          <w:szCs w:val="24"/>
        </w:rPr>
      </w:pPr>
      <w:r w:rsidRPr="00F37799">
        <w:rPr>
          <w:rFonts w:ascii="Times New Roman" w:hAnsi="Times New Roman"/>
          <w:sz w:val="24"/>
          <w:szCs w:val="24"/>
        </w:rPr>
        <w:t>opatrenie nebude mať vplyv na mzdovú úroveň v oblasti závislej činnosti (zamestnanci).</w:t>
      </w:r>
    </w:p>
    <w:p w:rsidR="00D15014" w:rsidRPr="001F1B43" w:rsidRDefault="00D15014" w:rsidP="00D15014">
      <w:pPr>
        <w:spacing w:after="0" w:line="240" w:lineRule="auto"/>
        <w:jc w:val="both"/>
        <w:rPr>
          <w:rFonts w:ascii="Times New Roman" w:eastAsia="Calibri" w:hAnsi="Times New Roman" w:cs="Times New Roman"/>
          <w:b/>
          <w:bCs/>
          <w:i/>
          <w:sz w:val="24"/>
          <w:szCs w:val="24"/>
          <w:u w:val="single"/>
        </w:rPr>
      </w:pPr>
      <w:r>
        <w:rPr>
          <w:rFonts w:ascii="Times New Roman" w:hAnsi="Times New Roman" w:cs="Times New Roman"/>
          <w:sz w:val="24"/>
          <w:szCs w:val="24"/>
        </w:rPr>
        <w:t xml:space="preserve">Podrobné výpočty sú uvedené v </w:t>
      </w:r>
      <w:r w:rsidRPr="004D0A79">
        <w:rPr>
          <w:rFonts w:ascii="Times New Roman" w:hAnsi="Times New Roman" w:cs="Times New Roman"/>
          <w:sz w:val="24"/>
          <w:szCs w:val="24"/>
        </w:rPr>
        <w:t>Analýz</w:t>
      </w:r>
      <w:r>
        <w:rPr>
          <w:rFonts w:ascii="Times New Roman" w:hAnsi="Times New Roman" w:cs="Times New Roman"/>
          <w:sz w:val="24"/>
          <w:szCs w:val="24"/>
        </w:rPr>
        <w:t>e</w:t>
      </w:r>
      <w:r w:rsidRPr="004D0A79">
        <w:rPr>
          <w:rFonts w:ascii="Times New Roman" w:hAnsi="Times New Roman" w:cs="Times New Roman"/>
          <w:sz w:val="24"/>
          <w:szCs w:val="24"/>
        </w:rPr>
        <w:t xml:space="preserve"> vplyvov na rozpočet verejnej správy,</w:t>
      </w:r>
      <w:r>
        <w:rPr>
          <w:rFonts w:ascii="Times New Roman" w:hAnsi="Times New Roman" w:cs="Times New Roman"/>
          <w:sz w:val="24"/>
          <w:szCs w:val="24"/>
        </w:rPr>
        <w:t xml:space="preserve"> </w:t>
      </w:r>
      <w:r w:rsidRPr="004D0A79">
        <w:rPr>
          <w:rFonts w:ascii="Times New Roman" w:hAnsi="Times New Roman" w:cs="Times New Roman"/>
          <w:sz w:val="24"/>
          <w:szCs w:val="24"/>
        </w:rPr>
        <w:t>na zamestnanosť vo verejnej správe a financovanie návr</w:t>
      </w:r>
      <w:r>
        <w:rPr>
          <w:rFonts w:ascii="Times New Roman" w:hAnsi="Times New Roman" w:cs="Times New Roman"/>
          <w:sz w:val="24"/>
          <w:szCs w:val="24"/>
        </w:rPr>
        <w:t>h</w:t>
      </w:r>
      <w:r>
        <w:fldChar w:fldCharType="begin"/>
      </w:r>
      <w:r>
        <w:instrText xml:space="preserve"> LINK Excel.Sheet.12 "C:\\Users\\foldesoz\\Documents\\2023\\N_novela_580_platba_statu\\analyza_RVS VZP_ZFM_231202.xlsx" vypocet_zvysenie_sadzba!R73C3:R91C8 \a \f 4 \h  \* MERGEFORMAT </w:instrText>
      </w:r>
      <w:r>
        <w:fldChar w:fldCharType="end"/>
      </w:r>
      <w:r>
        <w:rPr>
          <w:rFonts w:ascii="Times New Roman" w:eastAsia="Calibri" w:hAnsi="Times New Roman" w:cs="Times New Roman"/>
          <w:b/>
          <w:bCs/>
          <w:i/>
          <w:sz w:val="24"/>
          <w:szCs w:val="24"/>
          <w:u w:val="single"/>
        </w:rPr>
        <w:t>3.1.4 Odôvodnenie</w:t>
      </w:r>
      <w:r w:rsidRPr="00804BC8">
        <w:rPr>
          <w:rFonts w:ascii="Times New Roman" w:eastAsia="Calibri" w:hAnsi="Times New Roman" w:cs="Times New Roman"/>
          <w:b/>
          <w:bCs/>
          <w:i/>
          <w:sz w:val="24"/>
          <w:szCs w:val="24"/>
          <w:u w:val="single"/>
        </w:rPr>
        <w:t xml:space="preserve"> goldplating</w:t>
      </w:r>
      <w:r>
        <w:rPr>
          <w:rFonts w:ascii="Times New Roman" w:eastAsia="Calibri" w:hAnsi="Times New Roman" w:cs="Times New Roman"/>
          <w:b/>
          <w:bCs/>
          <w:i/>
          <w:sz w:val="24"/>
          <w:szCs w:val="24"/>
          <w:u w:val="single"/>
        </w:rPr>
        <w:t xml:space="preserve">u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i/>
          <w:sz w:val="24"/>
          <w:szCs w:val="24"/>
          <w:u w:val="single"/>
        </w:rPr>
        <w:footnoteReference w:id="4"/>
      </w:r>
      <w:r w:rsidRPr="001F1B43">
        <w:rPr>
          <w:rFonts w:ascii="Times New Roman" w:eastAsia="Calibri" w:hAnsi="Times New Roman" w:cs="Times New Roman"/>
          <w:b/>
          <w:bCs/>
          <w:i/>
          <w:sz w:val="24"/>
          <w:szCs w:val="24"/>
          <w:u w:val="single"/>
        </w:rPr>
        <w:t xml:space="preserve"> </w:t>
      </w:r>
    </w:p>
    <w:p w:rsidR="00D15014" w:rsidRPr="00A73743" w:rsidRDefault="00D15014" w:rsidP="00764E05">
      <w:pPr>
        <w:rPr>
          <w:rFonts w:ascii="Times New Roman" w:eastAsia="Calibri" w:hAnsi="Times New Roman" w:cs="Times New Roman"/>
          <w:sz w:val="24"/>
          <w:szCs w:val="24"/>
        </w:rPr>
      </w:pPr>
      <w:r>
        <w:rPr>
          <w:rFonts w:ascii="Times New Roman" w:eastAsia="Calibri" w:hAnsi="Times New Roman" w:cs="Times New Roman"/>
          <w:sz w:val="24"/>
          <w:szCs w:val="24"/>
        </w:rPr>
        <w:t>Nie je goldplating.</w:t>
      </w:r>
    </w:p>
    <w:p w:rsidR="00D15014" w:rsidRDefault="00D15014" w:rsidP="00764E05">
      <w:pPr>
        <w:jc w:val="both"/>
        <w:rPr>
          <w:rFonts w:ascii="Times New Roman" w:eastAsia="Calibri" w:hAnsi="Times New Roman" w:cs="Times New Roman"/>
          <w:b/>
          <w:sz w:val="24"/>
          <w:szCs w:val="24"/>
        </w:rPr>
      </w:pPr>
    </w:p>
    <w:p w:rsidR="00D15014" w:rsidRPr="001F1B43" w:rsidRDefault="00D15014" w:rsidP="00764E0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D15014" w:rsidRPr="00D8247C" w:rsidRDefault="00D15014" w:rsidP="00764E05">
      <w:pPr>
        <w:spacing w:after="0"/>
        <w:jc w:val="both"/>
        <w:rPr>
          <w:rFonts w:ascii="Times New Roman" w:eastAsia="Calibri" w:hAnsi="Times New Roman" w:cs="Times New Roman"/>
          <w:i/>
          <w:sz w:val="24"/>
          <w:szCs w:val="24"/>
        </w:rPr>
      </w:pPr>
    </w:p>
    <w:p w:rsidR="00D15014" w:rsidRPr="001F1B43" w:rsidRDefault="00D15014" w:rsidP="00764E05">
      <w:pPr>
        <w:jc w:val="both"/>
        <w:rPr>
          <w:rFonts w:ascii="Times New Roman" w:eastAsia="Calibri" w:hAnsi="Times New Roman" w:cs="Times New Roman"/>
          <w:b/>
          <w:sz w:val="24"/>
          <w:szCs w:val="24"/>
        </w:rPr>
      </w:pPr>
      <w:bookmarkStart w:id="3" w:name="_Hlk47698091"/>
      <w:r w:rsidRPr="001F1B43">
        <w:rPr>
          <w:rFonts w:ascii="Times New Roman" w:eastAsia="Calibri" w:hAnsi="Times New Roman" w:cs="Times New Roman"/>
          <w:b/>
          <w:sz w:val="24"/>
          <w:szCs w:val="24"/>
        </w:rPr>
        <w:lastRenderedPageBreak/>
        <w:t>3.3 Vplyvy na konkurencieschopnosť a produktivitu</w:t>
      </w:r>
    </w:p>
    <w:bookmarkEnd w:id="3"/>
    <w:p w:rsidR="00D15014" w:rsidRPr="00D8247C" w:rsidRDefault="00D15014" w:rsidP="00764E0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D15014" w:rsidRPr="00D8247C" w:rsidRDefault="00D15014" w:rsidP="00764E0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rsidR="00D15014" w:rsidRPr="00D8247C" w:rsidRDefault="00D15014" w:rsidP="00764E0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D15014" w:rsidRDefault="00D15014" w:rsidP="00764E0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D15014" w:rsidRDefault="00D15014" w:rsidP="00764E05">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D15014" w:rsidRPr="00D8247C" w:rsidRDefault="00D15014" w:rsidP="00764E05">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 prispieva k zníženiu konkurencieschopnosti a produktivity? Akým spôsobom?</w:t>
      </w:r>
    </w:p>
    <w:p w:rsidR="00D15014" w:rsidRDefault="00D15014" w:rsidP="00764E05">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D15014" w:rsidRDefault="00D15014" w:rsidP="00764E05">
      <w:pPr>
        <w:spacing w:after="0"/>
        <w:jc w:val="both"/>
        <w:rPr>
          <w:rFonts w:ascii="Times New Roman" w:eastAsia="Calibri" w:hAnsi="Times New Roman" w:cs="Times New Roman"/>
          <w:i/>
          <w:iCs/>
          <w:sz w:val="24"/>
          <w:szCs w:val="24"/>
        </w:rPr>
      </w:pPr>
    </w:p>
    <w:p w:rsidR="00D15014" w:rsidRDefault="00D15014" w:rsidP="00764E05">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Vzhľadom k skutočnosti, že daná regulácia sa týka každého podnikateľského subjektu v SR v rovnakej miere, konkurencieschopnosť na vnútornom trhu sa nemení.</w:t>
      </w:r>
    </w:p>
    <w:p w:rsidR="00D15014" w:rsidRPr="00A73743" w:rsidRDefault="00D15014" w:rsidP="00764E05">
      <w:pPr>
        <w:spacing w:after="0"/>
        <w:jc w:val="both"/>
        <w:rPr>
          <w:rFonts w:ascii="Times New Roman" w:eastAsia="Calibri" w:hAnsi="Times New Roman" w:cs="Times New Roman"/>
          <w:sz w:val="24"/>
          <w:szCs w:val="24"/>
        </w:rPr>
      </w:pPr>
      <w:r>
        <w:rPr>
          <w:rFonts w:ascii="Times New Roman" w:eastAsia="Calibri" w:hAnsi="Times New Roman" w:cs="Times New Roman"/>
          <w:iCs/>
          <w:sz w:val="24"/>
          <w:szCs w:val="24"/>
        </w:rPr>
        <w:t>Zmena môže negatívne ovplyvniť cezhraničné investície a konkurencieschopnosť SR v rámci EÚ, keďže sa zvyšuje cena práce a odvodové zaťaženie.</w:t>
      </w:r>
    </w:p>
    <w:p w:rsidR="00D15014" w:rsidRPr="00D8247C" w:rsidRDefault="00D15014" w:rsidP="00764E05">
      <w:pPr>
        <w:spacing w:after="0"/>
        <w:jc w:val="both"/>
        <w:rPr>
          <w:rFonts w:ascii="Times New Roman" w:eastAsia="Calibri" w:hAnsi="Times New Roman" w:cs="Times New Roman"/>
          <w:i/>
          <w:sz w:val="24"/>
          <w:szCs w:val="24"/>
        </w:rPr>
      </w:pPr>
    </w:p>
    <w:p w:rsidR="00D15014" w:rsidRPr="00D8247C" w:rsidRDefault="00D15014" w:rsidP="00764E05">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D15014" w:rsidRPr="00D8247C" w:rsidRDefault="00D15014" w:rsidP="00764E0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D15014" w:rsidRPr="00D8247C" w:rsidRDefault="00EC2261" w:rsidP="00764E05">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D15014" w:rsidRPr="00D8247C">
                <w:rPr>
                  <w:rFonts w:ascii="Segoe UI Symbol" w:eastAsia="Calibri" w:hAnsi="Segoe UI Symbol" w:cs="Segoe UI Symbol"/>
                  <w:i/>
                  <w:sz w:val="24"/>
                  <w:szCs w:val="24"/>
                </w:rPr>
                <w:t>☐</w:t>
              </w:r>
            </w:sdtContent>
          </w:sdt>
        </w:sdtContent>
      </w:sdt>
      <w:r w:rsidR="00D15014" w:rsidRPr="00D8247C">
        <w:rPr>
          <w:rFonts w:ascii="Times New Roman" w:eastAsia="Calibri" w:hAnsi="Times New Roman" w:cs="Times New Roman"/>
          <w:i/>
          <w:sz w:val="24"/>
          <w:szCs w:val="24"/>
        </w:rPr>
        <w:t xml:space="preserve"> zvyšuje  </w:t>
      </w:r>
      <w:r w:rsidR="00D15014"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D15014">
                <w:rPr>
                  <w:rFonts w:ascii="Segoe UI Symbol" w:eastAsia="Calibri" w:hAnsi="Segoe UI Symbol" w:cs="Segoe UI Symbol"/>
                  <w:i/>
                  <w:sz w:val="24"/>
                  <w:szCs w:val="24"/>
                </w:rPr>
                <w:t>X</w:t>
              </w:r>
            </w:sdtContent>
          </w:sdt>
        </w:sdtContent>
      </w:sdt>
      <w:r w:rsidR="00D15014" w:rsidRPr="00D8247C">
        <w:rPr>
          <w:rFonts w:ascii="Times New Roman" w:eastAsia="Calibri" w:hAnsi="Times New Roman" w:cs="Times New Roman"/>
          <w:i/>
          <w:sz w:val="24"/>
          <w:szCs w:val="24"/>
        </w:rPr>
        <w:t xml:space="preserve"> nemení</w:t>
      </w:r>
      <w:r w:rsidR="00D15014"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D15014" w:rsidRPr="00D8247C">
                <w:rPr>
                  <w:rFonts w:ascii="Segoe UI Symbol" w:eastAsia="Calibri" w:hAnsi="Segoe UI Symbol" w:cs="Segoe UI Symbol"/>
                  <w:i/>
                  <w:sz w:val="24"/>
                  <w:szCs w:val="24"/>
                </w:rPr>
                <w:t>☐</w:t>
              </w:r>
            </w:sdtContent>
          </w:sdt>
        </w:sdtContent>
      </w:sdt>
      <w:r w:rsidR="00D15014" w:rsidRPr="00D8247C">
        <w:rPr>
          <w:rFonts w:ascii="Times New Roman" w:eastAsia="Calibri" w:hAnsi="Times New Roman" w:cs="Times New Roman"/>
          <w:i/>
          <w:sz w:val="24"/>
          <w:szCs w:val="24"/>
        </w:rPr>
        <w:t xml:space="preserve"> znižuje</w:t>
      </w:r>
    </w:p>
    <w:p w:rsidR="00D15014" w:rsidRPr="00D8247C" w:rsidRDefault="00D15014" w:rsidP="00764E05">
      <w:pPr>
        <w:spacing w:after="0"/>
        <w:jc w:val="both"/>
        <w:rPr>
          <w:rFonts w:ascii="Times New Roman" w:eastAsia="Calibri" w:hAnsi="Times New Roman" w:cs="Times New Roman"/>
          <w:i/>
          <w:sz w:val="24"/>
          <w:szCs w:val="24"/>
        </w:rPr>
      </w:pPr>
    </w:p>
    <w:p w:rsidR="00D15014" w:rsidRPr="00D8247C" w:rsidRDefault="00D15014" w:rsidP="00764E05">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D15014" w:rsidRPr="00D8247C" w:rsidRDefault="00D15014" w:rsidP="00764E0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D15014" w:rsidRPr="00D8247C" w:rsidRDefault="00D15014" w:rsidP="00764E05">
      <w:pPr>
        <w:spacing w:after="0"/>
        <w:jc w:val="both"/>
        <w:rPr>
          <w:rFonts w:ascii="Times New Roman" w:eastAsia="Calibri" w:hAnsi="Times New Roman" w:cs="Times New Roman"/>
          <w:i/>
          <w:sz w:val="24"/>
          <w:szCs w:val="24"/>
        </w:rPr>
      </w:pPr>
    </w:p>
    <w:p w:rsidR="00D15014" w:rsidRPr="00D8247C" w:rsidRDefault="00D15014" w:rsidP="00764E0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D15014" w:rsidRPr="00D8247C" w:rsidRDefault="00EC2261" w:rsidP="00764E05">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D15014" w:rsidRPr="00D8247C">
                <w:rPr>
                  <w:rFonts w:ascii="Segoe UI Symbol" w:eastAsia="Calibri" w:hAnsi="Segoe UI Symbol" w:cs="Segoe UI Symbol"/>
                  <w:i/>
                  <w:sz w:val="24"/>
                  <w:szCs w:val="24"/>
                </w:rPr>
                <w:t>☐</w:t>
              </w:r>
            </w:sdtContent>
          </w:sdt>
        </w:sdtContent>
      </w:sdt>
      <w:r w:rsidR="00D15014" w:rsidRPr="00D8247C">
        <w:rPr>
          <w:rFonts w:ascii="Times New Roman" w:eastAsia="Calibri" w:hAnsi="Times New Roman" w:cs="Times New Roman"/>
          <w:i/>
          <w:sz w:val="24"/>
          <w:szCs w:val="24"/>
        </w:rPr>
        <w:t xml:space="preserve"> zvyšuje  </w:t>
      </w:r>
      <w:r w:rsidR="00D15014"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D15014" w:rsidRPr="00D8247C">
                <w:rPr>
                  <w:rFonts w:ascii="Segoe UI Symbol" w:eastAsia="Calibri" w:hAnsi="Segoe UI Symbol" w:cs="Segoe UI Symbol"/>
                  <w:i/>
                  <w:sz w:val="24"/>
                  <w:szCs w:val="24"/>
                </w:rPr>
                <w:t>☐</w:t>
              </w:r>
            </w:sdtContent>
          </w:sdt>
        </w:sdtContent>
      </w:sdt>
      <w:r w:rsidR="00D15014" w:rsidRPr="00D8247C">
        <w:rPr>
          <w:rFonts w:ascii="Times New Roman" w:eastAsia="Calibri" w:hAnsi="Times New Roman" w:cs="Times New Roman"/>
          <w:i/>
          <w:sz w:val="24"/>
          <w:szCs w:val="24"/>
        </w:rPr>
        <w:t xml:space="preserve"> nemení</w:t>
      </w:r>
      <w:r w:rsidR="00D15014"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D15014">
                <w:rPr>
                  <w:rFonts w:ascii="Segoe UI Symbol" w:eastAsia="Calibri" w:hAnsi="Segoe UI Symbol" w:cs="Segoe UI Symbol"/>
                  <w:i/>
                  <w:sz w:val="24"/>
                  <w:szCs w:val="24"/>
                </w:rPr>
                <w:t xml:space="preserve">X </w:t>
              </w:r>
            </w:sdtContent>
          </w:sdt>
        </w:sdtContent>
      </w:sdt>
      <w:r w:rsidR="00D15014" w:rsidRPr="00D8247C">
        <w:rPr>
          <w:rFonts w:ascii="Times New Roman" w:eastAsia="Calibri" w:hAnsi="Times New Roman" w:cs="Times New Roman"/>
          <w:i/>
          <w:sz w:val="24"/>
          <w:szCs w:val="24"/>
        </w:rPr>
        <w:t xml:space="preserve"> znižuje</w:t>
      </w:r>
    </w:p>
    <w:p w:rsidR="00D15014" w:rsidRPr="00D8247C" w:rsidRDefault="00D15014" w:rsidP="00764E05">
      <w:pPr>
        <w:spacing w:after="0"/>
        <w:jc w:val="both"/>
        <w:rPr>
          <w:rFonts w:ascii="Times New Roman" w:eastAsia="Calibri" w:hAnsi="Times New Roman" w:cs="Times New Roman"/>
          <w:i/>
          <w:sz w:val="24"/>
          <w:szCs w:val="24"/>
        </w:rPr>
      </w:pPr>
    </w:p>
    <w:p w:rsidR="00D15014" w:rsidRDefault="00D15014" w:rsidP="00764E05">
      <w:pPr>
        <w:spacing w:after="0"/>
        <w:jc w:val="both"/>
        <w:rPr>
          <w:rFonts w:ascii="Times New Roman" w:eastAsia="Calibri" w:hAnsi="Times New Roman" w:cs="Times New Roman"/>
          <w:i/>
          <w:sz w:val="24"/>
          <w:szCs w:val="24"/>
        </w:rPr>
      </w:pPr>
    </w:p>
    <w:p w:rsidR="00D15014" w:rsidRPr="00D8247C" w:rsidRDefault="00D15014" w:rsidP="00764E05">
      <w:pPr>
        <w:spacing w:after="0"/>
        <w:jc w:val="both"/>
        <w:rPr>
          <w:rFonts w:ascii="Times New Roman" w:eastAsia="Calibri" w:hAnsi="Times New Roman" w:cs="Times New Roman"/>
          <w:i/>
          <w:sz w:val="24"/>
          <w:szCs w:val="24"/>
        </w:rPr>
      </w:pPr>
    </w:p>
    <w:p w:rsidR="00D15014" w:rsidRPr="001F1B43" w:rsidRDefault="00D15014" w:rsidP="00764E0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D15014" w:rsidRDefault="00D15014" w:rsidP="00764E05">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D15014" w:rsidRDefault="00D15014" w:rsidP="00D15014">
      <w:pPr>
        <w:pStyle w:val="Odsekzoznamu"/>
        <w:numPr>
          <w:ilvl w:val="0"/>
          <w:numId w:val="27"/>
        </w:numPr>
        <w:spacing w:after="0" w:line="254" w:lineRule="auto"/>
        <w:jc w:val="both"/>
        <w:rPr>
          <w:rFonts w:ascii="Times New Roman" w:eastAsia="Calibri" w:hAnsi="Times New Roman"/>
          <w:i/>
          <w:sz w:val="24"/>
          <w:szCs w:val="24"/>
        </w:rPr>
      </w:pPr>
      <w:r>
        <w:rPr>
          <w:rFonts w:ascii="Times New Roman" w:eastAsia="Calibri"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D15014" w:rsidRDefault="00D15014" w:rsidP="00D15014">
      <w:pPr>
        <w:pStyle w:val="Odsekzoznamu"/>
        <w:numPr>
          <w:ilvl w:val="0"/>
          <w:numId w:val="27"/>
        </w:numPr>
        <w:spacing w:after="0" w:line="254" w:lineRule="auto"/>
        <w:jc w:val="both"/>
        <w:rPr>
          <w:rFonts w:ascii="Times New Roman" w:eastAsia="Calibri" w:hAnsi="Times New Roman"/>
          <w:i/>
          <w:sz w:val="24"/>
          <w:szCs w:val="24"/>
        </w:rPr>
      </w:pPr>
      <w:r>
        <w:rPr>
          <w:rFonts w:ascii="Times New Roman" w:eastAsia="Calibri" w:hAnsi="Times New Roman"/>
          <w:i/>
          <w:sz w:val="24"/>
          <w:szCs w:val="24"/>
        </w:rPr>
        <w:t>regulované ceny podľa zákona č. 18/1996 Z. z. o cenách;</w:t>
      </w:r>
    </w:p>
    <w:p w:rsidR="00D15014" w:rsidRPr="00F244DC" w:rsidRDefault="00D15014" w:rsidP="00D15014">
      <w:pPr>
        <w:pStyle w:val="Odsekzoznamu"/>
        <w:numPr>
          <w:ilvl w:val="0"/>
          <w:numId w:val="27"/>
        </w:numPr>
        <w:spacing w:after="0" w:line="254" w:lineRule="auto"/>
        <w:jc w:val="both"/>
        <w:rPr>
          <w:rFonts w:ascii="Times New Roman" w:eastAsia="Calibri" w:hAnsi="Times New Roman"/>
          <w:i/>
          <w:sz w:val="24"/>
          <w:szCs w:val="24"/>
        </w:rPr>
      </w:pPr>
      <w:r>
        <w:rPr>
          <w:rFonts w:ascii="Times New Roman" w:eastAsia="Calibri" w:hAnsi="Times New Roman"/>
          <w:i/>
          <w:sz w:val="24"/>
          <w:szCs w:val="24"/>
        </w:rPr>
        <w:t xml:space="preserve">iné </w:t>
      </w:r>
      <w:r w:rsidRPr="00F244DC">
        <w:rPr>
          <w:rFonts w:ascii="Times New Roman" w:eastAsia="Calibri" w:hAnsi="Times New Roman"/>
          <w:i/>
          <w:sz w:val="24"/>
          <w:szCs w:val="24"/>
        </w:rPr>
        <w:t>vplyvy, ktoré predpokladá materiál, ale nemožno ich zaradiť do častí 3.1 a 3.3.,</w:t>
      </w:r>
    </w:p>
    <w:p w:rsidR="00D15014" w:rsidRPr="00F244DC" w:rsidRDefault="00D15014" w:rsidP="00D15014">
      <w:pPr>
        <w:pStyle w:val="Odsekzoznamu"/>
        <w:numPr>
          <w:ilvl w:val="0"/>
          <w:numId w:val="27"/>
        </w:numPr>
        <w:spacing w:after="0" w:line="254" w:lineRule="auto"/>
        <w:jc w:val="both"/>
        <w:rPr>
          <w:rFonts w:ascii="Times New Roman" w:eastAsia="Calibri" w:hAnsi="Times New Roman"/>
          <w:i/>
          <w:sz w:val="24"/>
          <w:szCs w:val="24"/>
        </w:rPr>
      </w:pPr>
      <w:r w:rsidRPr="00F244DC">
        <w:rPr>
          <w:rFonts w:ascii="Times New Roman" w:eastAsia="Calibri" w:hAnsi="Times New Roman"/>
          <w:i/>
          <w:sz w:val="24"/>
          <w:szCs w:val="24"/>
        </w:rPr>
        <w:t>iné vplyvy podľa písm. a) až c), ktoré sú goldplatingom.</w:t>
      </w:r>
    </w:p>
    <w:p w:rsidR="00D15014" w:rsidRDefault="00D15014" w:rsidP="00764E05">
      <w:pPr>
        <w:spacing w:after="0" w:line="240" w:lineRule="auto"/>
        <w:jc w:val="center"/>
        <w:rPr>
          <w:rFonts w:ascii="Times New Roman" w:eastAsia="Times New Roman" w:hAnsi="Times New Roman" w:cs="Times New Roman"/>
          <w:b/>
          <w:sz w:val="28"/>
          <w:szCs w:val="28"/>
          <w:lang w:eastAsia="sk-SK"/>
        </w:rPr>
      </w:pPr>
    </w:p>
    <w:p w:rsidR="00D15014" w:rsidRDefault="00D15014" w:rsidP="00764E05">
      <w:pPr>
        <w:spacing w:after="0" w:line="240" w:lineRule="auto"/>
        <w:jc w:val="center"/>
        <w:rPr>
          <w:rFonts w:ascii="Times New Roman" w:eastAsia="Times New Roman" w:hAnsi="Times New Roman" w:cs="Times New Roman"/>
          <w:b/>
          <w:sz w:val="28"/>
          <w:szCs w:val="28"/>
          <w:lang w:eastAsia="sk-SK"/>
        </w:rPr>
      </w:pPr>
    </w:p>
    <w:p w:rsidR="00A74FE9" w:rsidRDefault="00A74FE9" w:rsidP="002A570D">
      <w:pPr>
        <w:pStyle w:val="Bezriadkovania"/>
        <w:jc w:val="both"/>
        <w:rPr>
          <w:rFonts w:ascii="Times New Roman" w:hAnsi="Times New Roman" w:cs="Times New Roman"/>
          <w:sz w:val="24"/>
          <w:szCs w:val="24"/>
        </w:rPr>
      </w:pPr>
    </w:p>
    <w:p w:rsidR="006A6B44" w:rsidRDefault="006A6B44" w:rsidP="00764E05">
      <w:pPr>
        <w:spacing w:after="0" w:line="240" w:lineRule="auto"/>
        <w:ind w:left="-284" w:firstLine="284"/>
        <w:jc w:val="center"/>
        <w:rPr>
          <w:rFonts w:ascii="Times New Roman" w:eastAsia="Calibri" w:hAnsi="Times New Roman" w:cs="Times New Roman"/>
          <w:b/>
          <w:sz w:val="28"/>
          <w:lang w:eastAsia="sk-SK"/>
        </w:rPr>
        <w:sectPr w:rsidR="006A6B44" w:rsidSect="00764E05">
          <w:footerReference w:type="default" r:id="rId80"/>
          <w:pgSz w:w="11906" w:h="16838"/>
          <w:pgMar w:top="1417" w:right="1417" w:bottom="1417" w:left="1417" w:header="708" w:footer="708" w:gutter="0"/>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5"/>
        <w:gridCol w:w="3118"/>
        <w:gridCol w:w="6132"/>
      </w:tblGrid>
      <w:tr w:rsidR="00D15014" w:rsidRPr="002644DE" w:rsidTr="00764E05">
        <w:trPr>
          <w:trHeight w:val="534"/>
          <w:jc w:val="center"/>
        </w:trPr>
        <w:tc>
          <w:tcPr>
            <w:tcW w:w="5000" w:type="pct"/>
            <w:gridSpan w:val="3"/>
            <w:tcBorders>
              <w:bottom w:val="single" w:sz="4" w:space="0" w:color="auto"/>
            </w:tcBorders>
            <w:shd w:val="clear" w:color="auto" w:fill="808080" w:themeFill="background1" w:themeFillShade="80"/>
          </w:tcPr>
          <w:p w:rsidR="00D15014" w:rsidRPr="002644DE" w:rsidRDefault="00D15014" w:rsidP="00764E05">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rsidR="00D15014" w:rsidRPr="002644DE" w:rsidRDefault="00D15014" w:rsidP="00764E05">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D15014" w:rsidRPr="002644DE" w:rsidRDefault="00D15014" w:rsidP="00764E05">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D15014" w:rsidRPr="002644DE" w:rsidTr="00764E05">
        <w:trPr>
          <w:jc w:val="center"/>
        </w:trPr>
        <w:tc>
          <w:tcPr>
            <w:tcW w:w="5000" w:type="pct"/>
            <w:gridSpan w:val="3"/>
            <w:tcBorders>
              <w:bottom w:val="single" w:sz="4" w:space="0" w:color="auto"/>
            </w:tcBorders>
            <w:shd w:val="clear" w:color="auto" w:fill="A6A6A6" w:themeFill="background1" w:themeFillShade="A6"/>
          </w:tcPr>
          <w:p w:rsidR="00D15014" w:rsidRPr="002644DE" w:rsidRDefault="00D15014" w:rsidP="00764E05">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D15014" w:rsidRPr="002644DE" w:rsidTr="00764E05">
        <w:trPr>
          <w:jc w:val="center"/>
        </w:trPr>
        <w:tc>
          <w:tcPr>
            <w:tcW w:w="5000" w:type="pct"/>
            <w:gridSpan w:val="3"/>
            <w:tcBorders>
              <w:bottom w:val="single" w:sz="4" w:space="0" w:color="auto"/>
            </w:tcBorders>
            <w:shd w:val="clear" w:color="auto" w:fill="F2F2F2"/>
          </w:tcPr>
          <w:p w:rsidR="00D15014" w:rsidRPr="002644DE" w:rsidRDefault="00D15014" w:rsidP="00764E05">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D15014" w:rsidRPr="002644DE" w:rsidRDefault="00D15014" w:rsidP="00764E05">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D15014" w:rsidRPr="002644DE" w:rsidRDefault="00D15014" w:rsidP="00764E05">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D15014" w:rsidRPr="002644DE" w:rsidRDefault="00D15014" w:rsidP="00764E05">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D15014" w:rsidRPr="002644DE" w:rsidTr="00764E05">
        <w:trPr>
          <w:trHeight w:val="170"/>
          <w:jc w:val="center"/>
        </w:trPr>
        <w:tc>
          <w:tcPr>
            <w:tcW w:w="129" w:type="pct"/>
            <w:tcBorders>
              <w:top w:val="single" w:sz="4" w:space="0" w:color="auto"/>
              <w:bottom w:val="single" w:sz="4" w:space="0" w:color="auto"/>
            </w:tcBorders>
            <w:shd w:val="clear" w:color="auto" w:fill="DDDDDD"/>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D15014" w:rsidRPr="002644DE" w:rsidRDefault="00D15014" w:rsidP="00764E05">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D15014" w:rsidRPr="002644DE" w:rsidTr="00764E05">
        <w:trPr>
          <w:trHeight w:val="759"/>
          <w:jc w:val="center"/>
        </w:trPr>
        <w:tc>
          <w:tcPr>
            <w:tcW w:w="129" w:type="pct"/>
            <w:tcBorders>
              <w:top w:val="single" w:sz="4" w:space="0" w:color="auto"/>
              <w:bottom w:val="single" w:sz="4" w:space="0" w:color="auto"/>
            </w:tcBorders>
            <w:shd w:val="clear" w:color="auto" w:fill="auto"/>
            <w:vAlign w:val="center"/>
          </w:tcPr>
          <w:p w:rsidR="00D15014" w:rsidRPr="002644DE" w:rsidRDefault="00D15014" w:rsidP="00764E05">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D15014" w:rsidRPr="002644DE" w:rsidRDefault="00D15014" w:rsidP="00764E05">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D15014" w:rsidRPr="002644DE" w:rsidRDefault="00D15014" w:rsidP="00764E05">
            <w:pPr>
              <w:spacing w:after="0" w:line="240" w:lineRule="auto"/>
              <w:ind w:left="720"/>
              <w:contextualSpacing/>
              <w:rPr>
                <w:rFonts w:ascii="Times New Roman" w:eastAsia="Calibri" w:hAnsi="Times New Roman" w:cs="Times New Roman"/>
                <w:sz w:val="20"/>
                <w:szCs w:val="20"/>
                <w:lang w:eastAsia="sk-SK"/>
              </w:rPr>
            </w:pPr>
          </w:p>
        </w:tc>
      </w:tr>
      <w:tr w:rsidR="00D15014" w:rsidRPr="002644DE" w:rsidTr="00764E05">
        <w:trPr>
          <w:trHeight w:val="397"/>
          <w:jc w:val="center"/>
        </w:trPr>
        <w:tc>
          <w:tcPr>
            <w:tcW w:w="129" w:type="pct"/>
            <w:vMerge w:val="restart"/>
            <w:tcBorders>
              <w:top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D15014" w:rsidRPr="002644DE" w:rsidTr="00764E05">
        <w:trPr>
          <w:trHeight w:val="397"/>
          <w:jc w:val="center"/>
        </w:trPr>
        <w:tc>
          <w:tcPr>
            <w:tcW w:w="129" w:type="pct"/>
            <w:vMerge/>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454"/>
          <w:jc w:val="center"/>
        </w:trPr>
        <w:tc>
          <w:tcPr>
            <w:tcW w:w="129" w:type="pct"/>
            <w:tcBorders>
              <w:top w:val="dotted" w:sz="4" w:space="0" w:color="auto"/>
            </w:tcBorders>
            <w:shd w:val="clear" w:color="auto" w:fill="F2F2F2"/>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15014" w:rsidRPr="002644DE" w:rsidTr="00764E05">
        <w:trPr>
          <w:trHeight w:val="680"/>
          <w:jc w:val="center"/>
        </w:trPr>
        <w:tc>
          <w:tcPr>
            <w:tcW w:w="129" w:type="pct"/>
            <w:vMerge w:val="restart"/>
            <w:tcBorders>
              <w:top w:val="dotted"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D15014" w:rsidRPr="002644DE" w:rsidRDefault="00D15014" w:rsidP="00D15014">
            <w:pPr>
              <w:numPr>
                <w:ilvl w:val="0"/>
                <w:numId w:val="3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D15014" w:rsidRPr="002644DE" w:rsidRDefault="00D15014" w:rsidP="00D15014">
            <w:pPr>
              <w:numPr>
                <w:ilvl w:val="0"/>
                <w:numId w:val="3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D15014" w:rsidRPr="002644DE" w:rsidTr="00764E05">
        <w:trPr>
          <w:trHeight w:val="680"/>
          <w:jc w:val="center"/>
        </w:trPr>
        <w:tc>
          <w:tcPr>
            <w:tcW w:w="129" w:type="pct"/>
            <w:vMerge/>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397"/>
          <w:jc w:val="center"/>
        </w:trPr>
        <w:tc>
          <w:tcPr>
            <w:tcW w:w="129" w:type="pct"/>
            <w:tcBorders>
              <w:top w:val="dotted"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p>
        </w:tc>
      </w:tr>
      <w:tr w:rsidR="00D15014" w:rsidRPr="002644DE" w:rsidTr="00764E05">
        <w:trPr>
          <w:trHeight w:val="170"/>
          <w:jc w:val="center"/>
        </w:trPr>
        <w:tc>
          <w:tcPr>
            <w:tcW w:w="129" w:type="pct"/>
            <w:tcBorders>
              <w:top w:val="nil"/>
              <w:bottom w:val="single" w:sz="4" w:space="0" w:color="auto"/>
            </w:tcBorders>
            <w:shd w:val="clear" w:color="auto" w:fill="F2F2F2"/>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D15014" w:rsidRPr="002644DE" w:rsidRDefault="00D15014" w:rsidP="00764E05">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D15014" w:rsidRPr="002644DE" w:rsidTr="00764E05">
        <w:trPr>
          <w:trHeight w:val="759"/>
          <w:jc w:val="center"/>
        </w:trPr>
        <w:tc>
          <w:tcPr>
            <w:tcW w:w="129" w:type="pct"/>
            <w:tcBorders>
              <w:top w:val="single" w:sz="4" w:space="0" w:color="auto"/>
              <w:bottom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D15014" w:rsidRPr="002644DE" w:rsidRDefault="00D15014" w:rsidP="00764E05">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p>
        </w:tc>
      </w:tr>
      <w:tr w:rsidR="00D15014" w:rsidRPr="002644DE" w:rsidTr="00764E05">
        <w:trPr>
          <w:trHeight w:val="397"/>
          <w:jc w:val="center"/>
        </w:trPr>
        <w:tc>
          <w:tcPr>
            <w:tcW w:w="129" w:type="pct"/>
            <w:vMerge w:val="restart"/>
            <w:tcBorders>
              <w:top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D15014" w:rsidRPr="002644DE" w:rsidTr="00764E05">
        <w:trPr>
          <w:trHeight w:val="397"/>
          <w:jc w:val="center"/>
        </w:trPr>
        <w:tc>
          <w:tcPr>
            <w:tcW w:w="129" w:type="pct"/>
            <w:vMerge/>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397"/>
          <w:jc w:val="center"/>
        </w:trPr>
        <w:tc>
          <w:tcPr>
            <w:tcW w:w="129" w:type="pct"/>
            <w:tcBorders>
              <w:top w:val="dotted" w:sz="4" w:space="0" w:color="auto"/>
            </w:tcBorders>
            <w:shd w:val="clear" w:color="auto" w:fill="F2F2F2"/>
            <w:vAlign w:val="center"/>
          </w:tcPr>
          <w:p w:rsidR="00D15014" w:rsidRPr="002644DE" w:rsidRDefault="00D15014" w:rsidP="00764E05">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15014" w:rsidRPr="002644DE" w:rsidTr="00764E05">
        <w:trPr>
          <w:trHeight w:val="680"/>
          <w:jc w:val="center"/>
        </w:trPr>
        <w:tc>
          <w:tcPr>
            <w:tcW w:w="129" w:type="pct"/>
            <w:vMerge w:val="restart"/>
            <w:tcBorders>
              <w:top w:val="dotted"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D15014" w:rsidRPr="002644DE" w:rsidRDefault="00D15014" w:rsidP="00D15014">
            <w:pPr>
              <w:numPr>
                <w:ilvl w:val="0"/>
                <w:numId w:val="3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D15014" w:rsidRPr="002644DE" w:rsidRDefault="00D15014" w:rsidP="00D15014">
            <w:pPr>
              <w:numPr>
                <w:ilvl w:val="0"/>
                <w:numId w:val="3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D15014" w:rsidRPr="002644DE" w:rsidTr="00764E05">
        <w:trPr>
          <w:trHeight w:val="680"/>
          <w:jc w:val="center"/>
        </w:trPr>
        <w:tc>
          <w:tcPr>
            <w:tcW w:w="129" w:type="pct"/>
            <w:vMerge/>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350"/>
          <w:jc w:val="center"/>
        </w:trPr>
        <w:tc>
          <w:tcPr>
            <w:tcW w:w="129" w:type="pct"/>
            <w:tcBorders>
              <w:top w:val="dotted" w:sz="4" w:space="0" w:color="auto"/>
              <w:bottom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p>
        </w:tc>
      </w:tr>
      <w:tr w:rsidR="00D15014" w:rsidRPr="002644DE" w:rsidTr="00764E05">
        <w:trPr>
          <w:trHeight w:val="170"/>
          <w:jc w:val="center"/>
        </w:trPr>
        <w:tc>
          <w:tcPr>
            <w:tcW w:w="129" w:type="pct"/>
            <w:tcBorders>
              <w:top w:val="single" w:sz="4" w:space="0" w:color="auto"/>
              <w:bottom w:val="single" w:sz="4" w:space="0" w:color="auto"/>
            </w:tcBorders>
            <w:shd w:val="clear" w:color="auto" w:fill="DDDDDD"/>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D15014" w:rsidRPr="002644DE" w:rsidRDefault="00D15014" w:rsidP="00764E05">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D15014" w:rsidRPr="002644DE" w:rsidTr="00764E05">
        <w:trPr>
          <w:trHeight w:val="759"/>
          <w:jc w:val="center"/>
        </w:trPr>
        <w:tc>
          <w:tcPr>
            <w:tcW w:w="129" w:type="pct"/>
            <w:tcBorders>
              <w:top w:val="single" w:sz="4" w:space="0" w:color="auto"/>
              <w:bottom w:val="single" w:sz="4" w:space="0" w:color="auto"/>
            </w:tcBorders>
            <w:shd w:val="clear" w:color="auto" w:fill="auto"/>
            <w:vAlign w:val="center"/>
          </w:tcPr>
          <w:p w:rsidR="00D15014" w:rsidRPr="002644DE" w:rsidRDefault="00D15014" w:rsidP="00764E05">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D15014" w:rsidRPr="002644DE" w:rsidRDefault="00D15014" w:rsidP="00764E05">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D15014" w:rsidRPr="002644DE" w:rsidRDefault="00D15014" w:rsidP="00764E05">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b/>
                <w:i/>
                <w:sz w:val="20"/>
                <w:szCs w:val="20"/>
                <w:lang w:eastAsia="sk-SK"/>
              </w:rPr>
              <w:t>Úprava sadzieb súdnych a správnych poplatkov</w:t>
            </w:r>
          </w:p>
        </w:tc>
        <w:tc>
          <w:tcPr>
            <w:tcW w:w="3229" w:type="pct"/>
            <w:tcBorders>
              <w:top w:val="single" w:sz="4" w:space="0" w:color="auto"/>
              <w:bottom w:val="single" w:sz="4" w:space="0" w:color="auto"/>
            </w:tcBorders>
            <w:shd w:val="clear" w:color="auto" w:fill="auto"/>
          </w:tcPr>
          <w:p w:rsidR="00D15014" w:rsidRPr="002644DE" w:rsidRDefault="00D15014" w:rsidP="00764E05">
            <w:pPr>
              <w:spacing w:after="0" w:line="240" w:lineRule="auto"/>
              <w:ind w:left="720"/>
              <w:contextualSpacing/>
              <w:rPr>
                <w:rFonts w:ascii="Times New Roman" w:eastAsia="Calibri" w:hAnsi="Times New Roman" w:cs="Times New Roman"/>
                <w:sz w:val="20"/>
                <w:szCs w:val="20"/>
                <w:lang w:eastAsia="sk-SK"/>
              </w:rPr>
            </w:pPr>
          </w:p>
        </w:tc>
      </w:tr>
      <w:tr w:rsidR="00D15014" w:rsidRPr="002644DE" w:rsidTr="00764E05">
        <w:trPr>
          <w:trHeight w:val="397"/>
          <w:jc w:val="center"/>
        </w:trPr>
        <w:tc>
          <w:tcPr>
            <w:tcW w:w="129" w:type="pct"/>
            <w:vMerge w:val="restart"/>
            <w:tcBorders>
              <w:top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Fyzické osoby, ktoré sú povinné platiť poplatky pri žiadosti o vykonanie úkonu alebo konania.</w:t>
            </w:r>
          </w:p>
        </w:tc>
      </w:tr>
      <w:tr w:rsidR="00D15014" w:rsidRPr="002644DE" w:rsidTr="00764E05">
        <w:trPr>
          <w:trHeight w:val="397"/>
          <w:jc w:val="center"/>
        </w:trPr>
        <w:tc>
          <w:tcPr>
            <w:tcW w:w="129" w:type="pct"/>
            <w:vMerge/>
            <w:tcBorders>
              <w:bottom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397"/>
          <w:jc w:val="center"/>
        </w:trPr>
        <w:tc>
          <w:tcPr>
            <w:tcW w:w="129" w:type="pct"/>
            <w:tcBorders>
              <w:top w:val="single" w:sz="4" w:space="0" w:color="auto"/>
            </w:tcBorders>
            <w:shd w:val="clear" w:color="auto" w:fill="F2F2F2"/>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15014" w:rsidRPr="002644DE" w:rsidTr="00764E05">
        <w:trPr>
          <w:trHeight w:val="680"/>
          <w:jc w:val="center"/>
        </w:trPr>
        <w:tc>
          <w:tcPr>
            <w:tcW w:w="129" w:type="pct"/>
            <w:vMerge w:val="restart"/>
            <w:tcBorders>
              <w:top w:val="dotted"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D15014" w:rsidRPr="002644DE" w:rsidRDefault="00D15014" w:rsidP="00D15014">
            <w:pPr>
              <w:numPr>
                <w:ilvl w:val="0"/>
                <w:numId w:val="3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D15014" w:rsidRPr="002644DE" w:rsidRDefault="00D15014" w:rsidP="00D15014">
            <w:pPr>
              <w:numPr>
                <w:ilvl w:val="0"/>
                <w:numId w:val="3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Zvýšenie sadzieb poplatkov, predstavuje nárast o cca. 40%. Uvedené zvýšenie sa dotýka prevažnej časti obyvateľstva.</w:t>
            </w:r>
          </w:p>
        </w:tc>
      </w:tr>
      <w:tr w:rsidR="00D15014" w:rsidRPr="002644DE" w:rsidTr="00764E05">
        <w:trPr>
          <w:trHeight w:val="680"/>
          <w:jc w:val="center"/>
        </w:trPr>
        <w:tc>
          <w:tcPr>
            <w:tcW w:w="129" w:type="pct"/>
            <w:vMerge/>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397"/>
          <w:jc w:val="center"/>
        </w:trPr>
        <w:tc>
          <w:tcPr>
            <w:tcW w:w="129" w:type="pct"/>
            <w:tcBorders>
              <w:top w:val="dotted"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sidRPr="00086708">
              <w:rPr>
                <w:rFonts w:ascii="Times New Roman" w:eastAsia="Calibri" w:hAnsi="Times New Roman" w:cs="Times New Roman"/>
                <w:i/>
                <w:sz w:val="18"/>
                <w:szCs w:val="20"/>
                <w:lang w:eastAsia="sk-SK"/>
              </w:rPr>
              <w:t xml:space="preserve">Nedá sa odhadnúť početnosť úkonov a konaní, nakoľko ide o širokú </w:t>
            </w:r>
            <w:r>
              <w:rPr>
                <w:rFonts w:ascii="Times New Roman" w:eastAsia="Calibri" w:hAnsi="Times New Roman" w:cs="Times New Roman"/>
                <w:i/>
                <w:sz w:val="18"/>
                <w:szCs w:val="20"/>
                <w:lang w:eastAsia="sk-SK"/>
              </w:rPr>
              <w:t>škálu životných situácií a preto nie je možné doložiť verifikovanú kvantifikáciu.</w:t>
            </w:r>
          </w:p>
        </w:tc>
      </w:tr>
      <w:tr w:rsidR="00D15014" w:rsidRPr="002644DE" w:rsidTr="00764E05">
        <w:trPr>
          <w:trHeight w:val="227"/>
          <w:jc w:val="center"/>
        </w:trPr>
        <w:tc>
          <w:tcPr>
            <w:tcW w:w="129" w:type="pct"/>
            <w:tcBorders>
              <w:top w:val="nil"/>
              <w:bottom w:val="single" w:sz="4" w:space="0" w:color="auto"/>
            </w:tcBorders>
            <w:shd w:val="clear" w:color="auto" w:fill="F2F2F2"/>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D15014" w:rsidRPr="002644DE" w:rsidRDefault="00D15014" w:rsidP="00764E05">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D15014" w:rsidRPr="002644DE" w:rsidTr="00764E05">
        <w:trPr>
          <w:trHeight w:val="759"/>
          <w:jc w:val="center"/>
        </w:trPr>
        <w:tc>
          <w:tcPr>
            <w:tcW w:w="129" w:type="pct"/>
            <w:tcBorders>
              <w:top w:val="single" w:sz="4" w:space="0" w:color="auto"/>
              <w:bottom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D15014" w:rsidRPr="002644DE" w:rsidRDefault="00D15014" w:rsidP="00764E05">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p>
        </w:tc>
      </w:tr>
      <w:tr w:rsidR="00D15014" w:rsidRPr="002644DE" w:rsidTr="00764E05">
        <w:trPr>
          <w:trHeight w:val="397"/>
          <w:jc w:val="center"/>
        </w:trPr>
        <w:tc>
          <w:tcPr>
            <w:tcW w:w="129" w:type="pct"/>
            <w:vMerge w:val="restart"/>
            <w:tcBorders>
              <w:top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D15014" w:rsidRPr="002644DE" w:rsidTr="00764E05">
        <w:trPr>
          <w:trHeight w:val="397"/>
          <w:jc w:val="center"/>
        </w:trPr>
        <w:tc>
          <w:tcPr>
            <w:tcW w:w="129" w:type="pct"/>
            <w:vMerge/>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454"/>
          <w:jc w:val="center"/>
        </w:trPr>
        <w:tc>
          <w:tcPr>
            <w:tcW w:w="129" w:type="pct"/>
            <w:tcBorders>
              <w:top w:val="dotted" w:sz="4" w:space="0" w:color="auto"/>
            </w:tcBorders>
            <w:shd w:val="clear" w:color="auto" w:fill="F2F2F2"/>
            <w:vAlign w:val="center"/>
          </w:tcPr>
          <w:p w:rsidR="00D15014" w:rsidRPr="002644DE" w:rsidRDefault="00D15014" w:rsidP="00764E05">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15014" w:rsidRPr="002644DE" w:rsidTr="00764E05">
        <w:trPr>
          <w:trHeight w:val="680"/>
          <w:jc w:val="center"/>
        </w:trPr>
        <w:tc>
          <w:tcPr>
            <w:tcW w:w="129" w:type="pct"/>
            <w:vMerge w:val="restart"/>
            <w:tcBorders>
              <w:top w:val="dotted"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D15014" w:rsidRPr="002644DE" w:rsidRDefault="00D15014" w:rsidP="00D15014">
            <w:pPr>
              <w:numPr>
                <w:ilvl w:val="0"/>
                <w:numId w:val="3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D15014" w:rsidRPr="002644DE" w:rsidRDefault="00D15014" w:rsidP="00D15014">
            <w:pPr>
              <w:numPr>
                <w:ilvl w:val="0"/>
                <w:numId w:val="3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Fyzické osoby, ktoré sú povinné platiť poplatky pri žiadosti o vykonanie úkonu alebo konania.</w:t>
            </w:r>
          </w:p>
        </w:tc>
      </w:tr>
      <w:tr w:rsidR="00D15014" w:rsidRPr="002644DE" w:rsidTr="00764E05">
        <w:trPr>
          <w:trHeight w:val="680"/>
          <w:jc w:val="center"/>
        </w:trPr>
        <w:tc>
          <w:tcPr>
            <w:tcW w:w="129" w:type="pct"/>
            <w:vMerge/>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15014" w:rsidRPr="002644DE" w:rsidTr="00764E05">
        <w:trPr>
          <w:trHeight w:val="454"/>
          <w:jc w:val="center"/>
        </w:trPr>
        <w:tc>
          <w:tcPr>
            <w:tcW w:w="129" w:type="pct"/>
            <w:tcBorders>
              <w:top w:val="dotted" w:sz="4" w:space="0" w:color="auto"/>
              <w:bottom w:val="single" w:sz="4" w:space="0" w:color="auto"/>
            </w:tcBorders>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r w:rsidRPr="00086708">
              <w:rPr>
                <w:rFonts w:ascii="Times New Roman" w:eastAsia="Calibri" w:hAnsi="Times New Roman" w:cs="Times New Roman"/>
                <w:i/>
                <w:sz w:val="18"/>
                <w:szCs w:val="20"/>
                <w:lang w:eastAsia="sk-SK"/>
              </w:rPr>
              <w:t xml:space="preserve">Nedá sa odhadnúť početnosť úkonov a konaní, nakoľko ide o širokú </w:t>
            </w:r>
            <w:r>
              <w:rPr>
                <w:rFonts w:ascii="Times New Roman" w:eastAsia="Calibri" w:hAnsi="Times New Roman" w:cs="Times New Roman"/>
                <w:i/>
                <w:sz w:val="18"/>
                <w:szCs w:val="20"/>
                <w:lang w:eastAsia="sk-SK"/>
              </w:rPr>
              <w:t>škálu životných situácií a preto nie je možné doložiť verifikovanú kvantifikáciu.</w:t>
            </w:r>
          </w:p>
        </w:tc>
      </w:tr>
    </w:tbl>
    <w:p w:rsidR="00D15014" w:rsidRPr="002644DE" w:rsidRDefault="00D15014" w:rsidP="00764E05">
      <w:r w:rsidRPr="002644DE">
        <w:br w:type="page"/>
      </w:r>
    </w:p>
    <w:p w:rsidR="00D15014" w:rsidRPr="002644DE" w:rsidRDefault="00D15014" w:rsidP="00764E05">
      <w:pPr>
        <w:sectPr w:rsidR="00D15014" w:rsidRPr="002644DE" w:rsidSect="00764E05">
          <w:headerReference w:type="default" r:id="rId81"/>
          <w:pgSz w:w="11906" w:h="16838"/>
          <w:pgMar w:top="1417" w:right="1417" w:bottom="1417" w:left="1417" w:header="708" w:footer="708" w:gutter="0"/>
          <w:cols w:space="708"/>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D15014" w:rsidRPr="002644DE" w:rsidTr="00764E05">
        <w:trPr>
          <w:trHeight w:val="339"/>
          <w:jc w:val="center"/>
        </w:trPr>
        <w:tc>
          <w:tcPr>
            <w:tcW w:w="4998" w:type="pct"/>
            <w:gridSpan w:val="4"/>
            <w:tcBorders>
              <w:bottom w:val="single" w:sz="4" w:space="0" w:color="auto"/>
            </w:tcBorders>
            <w:shd w:val="clear" w:color="auto" w:fill="D9D9D9"/>
          </w:tcPr>
          <w:p w:rsidR="00D15014" w:rsidRPr="002644DE" w:rsidRDefault="00D15014" w:rsidP="00764E05">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D15014" w:rsidRPr="002644DE" w:rsidTr="00764E05">
        <w:trPr>
          <w:trHeight w:val="290"/>
          <w:jc w:val="center"/>
        </w:trPr>
        <w:tc>
          <w:tcPr>
            <w:tcW w:w="4998" w:type="pct"/>
            <w:gridSpan w:val="4"/>
            <w:tcBorders>
              <w:bottom w:val="single" w:sz="4" w:space="0" w:color="auto"/>
            </w:tcBorders>
            <w:shd w:val="clear" w:color="auto" w:fill="F2F2F2"/>
            <w:vAlign w:val="center"/>
          </w:tcPr>
          <w:p w:rsidR="00D15014" w:rsidRPr="002644DE" w:rsidRDefault="00D15014" w:rsidP="00764E05">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D15014" w:rsidRPr="002644DE" w:rsidRDefault="00D15014" w:rsidP="00764E05">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D15014" w:rsidRPr="002644DE" w:rsidTr="00764E05">
        <w:tblPrEx>
          <w:tblBorders>
            <w:top w:val="none" w:sz="0" w:space="0" w:color="auto"/>
            <w:bottom w:val="none" w:sz="0" w:space="0" w:color="auto"/>
          </w:tblBorders>
        </w:tblPrEx>
        <w:trPr>
          <w:trHeight w:val="557"/>
          <w:jc w:val="center"/>
        </w:trPr>
        <w:tc>
          <w:tcPr>
            <w:tcW w:w="180" w:type="pct"/>
            <w:shd w:val="clear" w:color="auto" w:fill="auto"/>
            <w:vAlign w:val="center"/>
          </w:tcPr>
          <w:p w:rsidR="00D15014" w:rsidRPr="002644DE" w:rsidRDefault="00D15014" w:rsidP="00764E0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D15014" w:rsidRPr="002644DE" w:rsidRDefault="00D15014" w:rsidP="00D15014">
            <w:pPr>
              <w:numPr>
                <w:ilvl w:val="0"/>
                <w:numId w:val="2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D15014" w:rsidRPr="002644DE" w:rsidRDefault="00D15014" w:rsidP="00764E05">
            <w:pPr>
              <w:spacing w:after="0" w:line="240" w:lineRule="auto"/>
              <w:rPr>
                <w:rFonts w:ascii="Times New Roman" w:eastAsia="Calibri" w:hAnsi="Times New Roman" w:cs="Times New Roman"/>
                <w:sz w:val="20"/>
                <w:szCs w:val="20"/>
                <w:lang w:eastAsia="sk-SK"/>
              </w:rPr>
            </w:pPr>
          </w:p>
          <w:p w:rsidR="00D15014" w:rsidRPr="002644DE" w:rsidRDefault="00D15014" w:rsidP="00764E05">
            <w:pPr>
              <w:spacing w:after="0" w:line="240" w:lineRule="auto"/>
              <w:rPr>
                <w:rFonts w:ascii="Times New Roman" w:eastAsia="Calibri" w:hAnsi="Times New Roman" w:cs="Times New Roman"/>
                <w:sz w:val="20"/>
                <w:szCs w:val="20"/>
                <w:lang w:eastAsia="sk-SK"/>
              </w:rPr>
            </w:pPr>
          </w:p>
        </w:tc>
      </w:tr>
      <w:tr w:rsidR="00D15014" w:rsidRPr="002644DE" w:rsidTr="00764E05">
        <w:trPr>
          <w:jc w:val="center"/>
        </w:trPr>
        <w:tc>
          <w:tcPr>
            <w:tcW w:w="180"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D15014" w:rsidRPr="002644DE" w:rsidRDefault="00D15014" w:rsidP="00764E05">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D15014" w:rsidRPr="002644DE" w:rsidRDefault="00D15014" w:rsidP="00764E05">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D15014" w:rsidRPr="002644DE" w:rsidTr="00764E05">
        <w:tblPrEx>
          <w:tblBorders>
            <w:top w:val="none" w:sz="0" w:space="0" w:color="auto"/>
          </w:tblBorders>
        </w:tblPrEx>
        <w:trPr>
          <w:trHeight w:val="677"/>
          <w:jc w:val="center"/>
        </w:trPr>
        <w:tc>
          <w:tcPr>
            <w:tcW w:w="179" w:type="pct"/>
            <w:shd w:val="clear" w:color="auto" w:fill="auto"/>
            <w:vAlign w:val="center"/>
          </w:tcPr>
          <w:p w:rsidR="00D15014" w:rsidRPr="002644DE" w:rsidRDefault="00D15014" w:rsidP="00764E05">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D15014" w:rsidRPr="002644DE" w:rsidRDefault="00D15014" w:rsidP="00D15014">
            <w:pPr>
              <w:numPr>
                <w:ilvl w:val="0"/>
                <w:numId w:val="2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D15014" w:rsidRPr="002644DE" w:rsidRDefault="00D15014" w:rsidP="00764E05">
            <w:pPr>
              <w:spacing w:after="0" w:line="240" w:lineRule="auto"/>
              <w:rPr>
                <w:rFonts w:ascii="Times New Roman" w:eastAsia="Calibri" w:hAnsi="Times New Roman" w:cs="Times New Roman"/>
                <w:sz w:val="20"/>
                <w:lang w:eastAsia="sk-SK"/>
              </w:rPr>
            </w:pPr>
          </w:p>
        </w:tc>
      </w:tr>
    </w:tbl>
    <w:p w:rsidR="00D15014" w:rsidRPr="002644DE" w:rsidRDefault="00D15014" w:rsidP="00764E05">
      <w:pPr>
        <w:sectPr w:rsidR="00D15014" w:rsidRPr="002644DE" w:rsidSect="00764E05">
          <w:headerReference w:type="default" r:id="rId82"/>
          <w:footerReference w:type="default" r:id="rId83"/>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D15014" w:rsidRPr="002644DE" w:rsidTr="00764E05">
        <w:trPr>
          <w:jc w:val="center"/>
        </w:trPr>
        <w:tc>
          <w:tcPr>
            <w:tcW w:w="5000" w:type="pct"/>
            <w:gridSpan w:val="3"/>
            <w:shd w:val="clear" w:color="auto" w:fill="D9D9D9"/>
          </w:tcPr>
          <w:p w:rsidR="00D15014" w:rsidRPr="002644DE" w:rsidRDefault="00D15014" w:rsidP="00764E05">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D15014" w:rsidRPr="002644DE" w:rsidRDefault="00D15014" w:rsidP="00764E05">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D15014" w:rsidRPr="002644DE" w:rsidTr="00764E05">
        <w:trPr>
          <w:jc w:val="center"/>
        </w:trPr>
        <w:tc>
          <w:tcPr>
            <w:tcW w:w="132"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D15014" w:rsidRPr="002644DE" w:rsidRDefault="00D15014" w:rsidP="00764E05">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D15014" w:rsidRPr="002644DE" w:rsidTr="00764E05">
        <w:trPr>
          <w:trHeight w:val="928"/>
          <w:jc w:val="center"/>
        </w:trPr>
        <w:tc>
          <w:tcPr>
            <w:tcW w:w="132" w:type="pct"/>
            <w:tcBorders>
              <w:top w:val="nil"/>
              <w:bottom w:val="nil"/>
            </w:tcBorders>
            <w:shd w:val="clear" w:color="auto" w:fill="auto"/>
          </w:tcPr>
          <w:p w:rsidR="00D15014" w:rsidRPr="002644DE" w:rsidRDefault="00D15014" w:rsidP="00764E05">
            <w:pPr>
              <w:spacing w:after="0" w:line="240" w:lineRule="auto"/>
              <w:rPr>
                <w:rFonts w:ascii="Times New Roman" w:eastAsia="Calibri" w:hAnsi="Times New Roman" w:cs="Times New Roman"/>
                <w:sz w:val="20"/>
              </w:rPr>
            </w:pPr>
          </w:p>
          <w:p w:rsidR="00D15014" w:rsidRPr="002644DE" w:rsidRDefault="00D15014" w:rsidP="00764E05">
            <w:pPr>
              <w:spacing w:after="0" w:line="240" w:lineRule="auto"/>
              <w:rPr>
                <w:rFonts w:ascii="Times New Roman" w:eastAsia="Calibri" w:hAnsi="Times New Roman" w:cs="Times New Roman"/>
                <w:i/>
                <w:sz w:val="20"/>
              </w:rPr>
            </w:pPr>
          </w:p>
          <w:p w:rsidR="00D15014" w:rsidRPr="002644DE" w:rsidRDefault="00D15014" w:rsidP="00764E05">
            <w:pPr>
              <w:spacing w:after="0" w:line="240" w:lineRule="auto"/>
              <w:rPr>
                <w:rFonts w:ascii="Times New Roman" w:eastAsia="Calibri" w:hAnsi="Times New Roman" w:cs="Times New Roman"/>
                <w:i/>
                <w:sz w:val="20"/>
              </w:rPr>
            </w:pPr>
          </w:p>
          <w:p w:rsidR="00D15014" w:rsidRPr="002644DE" w:rsidRDefault="00D15014" w:rsidP="00764E05">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D15014" w:rsidRPr="002644DE" w:rsidRDefault="00D15014" w:rsidP="00764E05">
            <w:pPr>
              <w:spacing w:after="0" w:line="240" w:lineRule="auto"/>
              <w:rPr>
                <w:rFonts w:ascii="Times New Roman" w:eastAsia="Calibri" w:hAnsi="Times New Roman" w:cs="Times New Roman"/>
                <w:i/>
                <w:sz w:val="20"/>
              </w:rPr>
            </w:pPr>
          </w:p>
          <w:p w:rsidR="00D15014" w:rsidRPr="002644DE" w:rsidRDefault="00D15014" w:rsidP="00764E05">
            <w:pPr>
              <w:spacing w:after="0" w:line="240" w:lineRule="auto"/>
              <w:rPr>
                <w:rFonts w:ascii="Times New Roman" w:eastAsia="Calibri" w:hAnsi="Times New Roman" w:cs="Times New Roman"/>
                <w:i/>
                <w:sz w:val="20"/>
              </w:rPr>
            </w:pPr>
          </w:p>
          <w:p w:rsidR="00D15014" w:rsidRPr="002644DE" w:rsidRDefault="00D15014" w:rsidP="00764E05">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D15014" w:rsidRPr="002644DE" w:rsidRDefault="00D15014" w:rsidP="00764E05">
            <w:pPr>
              <w:rPr>
                <w:rFonts w:ascii="Times New Roman" w:eastAsia="Calibri" w:hAnsi="Times New Roman" w:cs="Times New Roman"/>
                <w:i/>
                <w:sz w:val="20"/>
              </w:rPr>
            </w:pPr>
          </w:p>
          <w:p w:rsidR="00D15014" w:rsidRPr="002644DE" w:rsidRDefault="00D15014" w:rsidP="00764E05">
            <w:pPr>
              <w:spacing w:after="0" w:line="240" w:lineRule="auto"/>
              <w:rPr>
                <w:rFonts w:ascii="Times New Roman" w:eastAsia="Calibri" w:hAnsi="Times New Roman" w:cs="Times New Roman"/>
                <w:i/>
                <w:sz w:val="20"/>
              </w:rPr>
            </w:pPr>
          </w:p>
        </w:tc>
      </w:tr>
      <w:tr w:rsidR="00D15014" w:rsidRPr="002644DE" w:rsidTr="00764E05">
        <w:trPr>
          <w:trHeight w:val="345"/>
          <w:jc w:val="center"/>
        </w:trPr>
        <w:tc>
          <w:tcPr>
            <w:tcW w:w="132"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D15014" w:rsidRPr="002644DE" w:rsidTr="00764E05">
        <w:tblPrEx>
          <w:tblBorders>
            <w:top w:val="none" w:sz="0" w:space="0" w:color="auto"/>
            <w:bottom w:val="none" w:sz="0" w:space="0" w:color="auto"/>
          </w:tblBorders>
        </w:tblPrEx>
        <w:trPr>
          <w:trHeight w:val="372"/>
          <w:jc w:val="center"/>
        </w:trPr>
        <w:tc>
          <w:tcPr>
            <w:tcW w:w="132" w:type="pct"/>
            <w:shd w:val="clear" w:color="auto" w:fill="auto"/>
            <w:vAlign w:val="center"/>
          </w:tcPr>
          <w:p w:rsidR="00D15014" w:rsidRPr="002644DE" w:rsidRDefault="00D15014" w:rsidP="00764E05">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D15014" w:rsidRPr="002644DE" w:rsidRDefault="00D15014" w:rsidP="00764E05">
            <w:pPr>
              <w:spacing w:after="0" w:line="240" w:lineRule="auto"/>
              <w:jc w:val="both"/>
              <w:rPr>
                <w:rFonts w:ascii="Times New Roman" w:eastAsia="Calibri" w:hAnsi="Times New Roman" w:cs="Times New Roman"/>
                <w:sz w:val="20"/>
              </w:rPr>
            </w:pPr>
          </w:p>
        </w:tc>
      </w:tr>
      <w:tr w:rsidR="00D15014" w:rsidRPr="002644DE" w:rsidTr="00764E05">
        <w:tblPrEx>
          <w:tblBorders>
            <w:top w:val="none" w:sz="0" w:space="0" w:color="auto"/>
            <w:bottom w:val="none" w:sz="0" w:space="0" w:color="auto"/>
          </w:tblBorders>
        </w:tblPrEx>
        <w:trPr>
          <w:trHeight w:val="371"/>
          <w:jc w:val="center"/>
        </w:trPr>
        <w:tc>
          <w:tcPr>
            <w:tcW w:w="132" w:type="pct"/>
            <w:shd w:val="clear" w:color="auto" w:fill="auto"/>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rPr>
            </w:pPr>
          </w:p>
        </w:tc>
      </w:tr>
      <w:tr w:rsidR="00D15014" w:rsidRPr="002644DE" w:rsidTr="00764E05">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rPr>
            </w:pPr>
          </w:p>
        </w:tc>
      </w:tr>
      <w:tr w:rsidR="00D15014" w:rsidRPr="002644DE" w:rsidTr="00764E05">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D15014" w:rsidRPr="002644DE" w:rsidRDefault="00D15014" w:rsidP="00764E05">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D15014" w:rsidRPr="002644DE" w:rsidRDefault="00D15014" w:rsidP="00D15014">
            <w:pPr>
              <w:numPr>
                <w:ilvl w:val="0"/>
                <w:numId w:val="3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D15014" w:rsidRPr="002644DE" w:rsidRDefault="00D15014" w:rsidP="00D15014">
            <w:pPr>
              <w:numPr>
                <w:ilvl w:val="0"/>
                <w:numId w:val="3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D15014" w:rsidRPr="002644DE" w:rsidRDefault="00D15014" w:rsidP="00D15014">
            <w:pPr>
              <w:numPr>
                <w:ilvl w:val="0"/>
                <w:numId w:val="3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D15014" w:rsidRPr="002644DE" w:rsidRDefault="00D15014" w:rsidP="00D15014">
            <w:pPr>
              <w:numPr>
                <w:ilvl w:val="0"/>
                <w:numId w:val="3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D15014" w:rsidRPr="002644DE" w:rsidRDefault="00D15014" w:rsidP="00D15014">
            <w:pPr>
              <w:numPr>
                <w:ilvl w:val="0"/>
                <w:numId w:val="3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D15014" w:rsidRPr="002644DE" w:rsidRDefault="00D15014" w:rsidP="00D15014">
            <w:pPr>
              <w:numPr>
                <w:ilvl w:val="0"/>
                <w:numId w:val="3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D15014" w:rsidRPr="002644DE" w:rsidRDefault="00D15014" w:rsidP="00D15014">
            <w:pPr>
              <w:numPr>
                <w:ilvl w:val="0"/>
                <w:numId w:val="3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D15014" w:rsidRPr="002644DE" w:rsidRDefault="00D15014" w:rsidP="00764E05">
            <w:pPr>
              <w:spacing w:after="0" w:line="240" w:lineRule="auto"/>
              <w:rPr>
                <w:rFonts w:ascii="Times New Roman" w:eastAsia="Calibri" w:hAnsi="Times New Roman" w:cs="Times New Roman"/>
                <w:sz w:val="20"/>
              </w:rPr>
            </w:pPr>
          </w:p>
        </w:tc>
      </w:tr>
    </w:tbl>
    <w:p w:rsidR="00D15014" w:rsidRPr="002644DE" w:rsidRDefault="00D15014" w:rsidP="00764E05">
      <w:pPr>
        <w:spacing w:after="0" w:line="240" w:lineRule="auto"/>
        <w:rPr>
          <w:rFonts w:ascii="Times New Roman" w:eastAsia="Calibri" w:hAnsi="Times New Roman" w:cs="Times New Roman"/>
          <w:b/>
          <w:sz w:val="24"/>
          <w:lang w:eastAsia="sk-SK"/>
        </w:rPr>
        <w:sectPr w:rsidR="00D15014" w:rsidRPr="002644DE" w:rsidSect="00764E05">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D15014" w:rsidRPr="002644DE" w:rsidTr="00764E05">
        <w:trPr>
          <w:jc w:val="center"/>
        </w:trPr>
        <w:tc>
          <w:tcPr>
            <w:tcW w:w="5000" w:type="pct"/>
            <w:gridSpan w:val="3"/>
            <w:shd w:val="clear" w:color="auto" w:fill="D9D9D9"/>
          </w:tcPr>
          <w:p w:rsidR="00D15014" w:rsidRPr="002644DE" w:rsidRDefault="00D15014" w:rsidP="00764E05">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D15014" w:rsidRPr="002644DE" w:rsidRDefault="00D15014" w:rsidP="00764E05">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D15014" w:rsidRPr="002644DE" w:rsidTr="00764E05">
        <w:trPr>
          <w:trHeight w:val="287"/>
          <w:jc w:val="center"/>
        </w:trPr>
        <w:tc>
          <w:tcPr>
            <w:tcW w:w="129" w:type="pct"/>
            <w:tcBorders>
              <w:top w:val="nil"/>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D15014" w:rsidRPr="002644DE" w:rsidTr="00764E05">
        <w:trPr>
          <w:trHeight w:val="567"/>
          <w:jc w:val="center"/>
        </w:trPr>
        <w:tc>
          <w:tcPr>
            <w:tcW w:w="129" w:type="pct"/>
            <w:tcBorders>
              <w:top w:val="nil"/>
              <w:bottom w:val="single" w:sz="4" w:space="0" w:color="auto"/>
            </w:tcBorders>
            <w:shd w:val="clear" w:color="auto" w:fill="FFFFFF"/>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D15014" w:rsidRPr="002644DE" w:rsidRDefault="00D15014" w:rsidP="00764E05">
            <w:pPr>
              <w:spacing w:after="0" w:line="240" w:lineRule="auto"/>
              <w:rPr>
                <w:rFonts w:ascii="Times New Roman" w:eastAsia="Calibri" w:hAnsi="Times New Roman" w:cs="Times New Roman"/>
                <w:sz w:val="20"/>
                <w:szCs w:val="18"/>
              </w:rPr>
            </w:pPr>
          </w:p>
        </w:tc>
      </w:tr>
      <w:tr w:rsidR="00D15014" w:rsidRPr="002644DE" w:rsidTr="00764E05">
        <w:trPr>
          <w:trHeight w:val="270"/>
          <w:jc w:val="center"/>
        </w:trPr>
        <w:tc>
          <w:tcPr>
            <w:tcW w:w="129"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D15014" w:rsidRPr="002644DE" w:rsidTr="00764E05">
        <w:trPr>
          <w:trHeight w:val="454"/>
          <w:jc w:val="center"/>
        </w:trPr>
        <w:tc>
          <w:tcPr>
            <w:tcW w:w="129" w:type="pct"/>
            <w:tcBorders>
              <w:bottom w:val="single" w:sz="4" w:space="0" w:color="auto"/>
            </w:tcBorders>
            <w:shd w:val="clear" w:color="auto" w:fill="FFFFFF"/>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D15014" w:rsidRPr="002644DE" w:rsidRDefault="00D15014" w:rsidP="00764E05">
            <w:pPr>
              <w:spacing w:after="0" w:line="240" w:lineRule="auto"/>
              <w:rPr>
                <w:rFonts w:ascii="Times New Roman" w:eastAsia="Calibri" w:hAnsi="Times New Roman" w:cs="Times New Roman"/>
                <w:sz w:val="20"/>
                <w:szCs w:val="18"/>
              </w:rPr>
            </w:pPr>
          </w:p>
        </w:tc>
      </w:tr>
      <w:tr w:rsidR="00D15014" w:rsidRPr="002644DE" w:rsidTr="00764E05">
        <w:trPr>
          <w:trHeight w:val="248"/>
          <w:jc w:val="center"/>
        </w:trPr>
        <w:tc>
          <w:tcPr>
            <w:tcW w:w="129"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D15014" w:rsidRPr="002644DE" w:rsidTr="00764E05">
        <w:trPr>
          <w:trHeight w:val="209"/>
          <w:jc w:val="center"/>
        </w:trPr>
        <w:tc>
          <w:tcPr>
            <w:tcW w:w="129" w:type="pct"/>
            <w:tcBorders>
              <w:bottom w:val="single" w:sz="4" w:space="0" w:color="auto"/>
            </w:tcBorders>
            <w:shd w:val="clear" w:color="auto" w:fill="FFFFFF"/>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D15014" w:rsidRPr="002644DE" w:rsidRDefault="00D15014" w:rsidP="00764E05">
            <w:pPr>
              <w:spacing w:after="0" w:line="240" w:lineRule="auto"/>
              <w:rPr>
                <w:rFonts w:ascii="Times New Roman" w:eastAsia="Calibri" w:hAnsi="Times New Roman" w:cs="Times New Roman"/>
                <w:sz w:val="20"/>
                <w:szCs w:val="18"/>
              </w:rPr>
            </w:pPr>
          </w:p>
        </w:tc>
      </w:tr>
      <w:tr w:rsidR="00D15014" w:rsidRPr="002644DE" w:rsidTr="00764E05">
        <w:trPr>
          <w:trHeight w:val="208"/>
          <w:jc w:val="center"/>
        </w:trPr>
        <w:tc>
          <w:tcPr>
            <w:tcW w:w="129"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D15014" w:rsidRPr="002644DE" w:rsidTr="00764E05">
        <w:trPr>
          <w:trHeight w:val="794"/>
          <w:jc w:val="center"/>
        </w:trPr>
        <w:tc>
          <w:tcPr>
            <w:tcW w:w="129" w:type="pct"/>
            <w:tcBorders>
              <w:bottom w:val="single" w:sz="4" w:space="0" w:color="auto"/>
            </w:tcBorders>
            <w:shd w:val="clear" w:color="auto" w:fill="FFFFFF"/>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D15014" w:rsidRPr="002644DE" w:rsidRDefault="00D15014" w:rsidP="00764E05">
            <w:pPr>
              <w:spacing w:after="0" w:line="240" w:lineRule="auto"/>
              <w:rPr>
                <w:rFonts w:ascii="Times New Roman" w:eastAsia="Calibri" w:hAnsi="Times New Roman" w:cs="Times New Roman"/>
                <w:sz w:val="20"/>
                <w:szCs w:val="18"/>
              </w:rPr>
            </w:pPr>
          </w:p>
        </w:tc>
      </w:tr>
      <w:tr w:rsidR="00D15014" w:rsidRPr="002644DE" w:rsidTr="00764E05">
        <w:trPr>
          <w:trHeight w:val="324"/>
          <w:jc w:val="center"/>
        </w:trPr>
        <w:tc>
          <w:tcPr>
            <w:tcW w:w="129"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D15014" w:rsidRPr="002644DE" w:rsidTr="00764E05">
        <w:trPr>
          <w:trHeight w:val="216"/>
          <w:jc w:val="center"/>
        </w:trPr>
        <w:tc>
          <w:tcPr>
            <w:tcW w:w="129" w:type="pct"/>
            <w:tcBorders>
              <w:bottom w:val="single" w:sz="4" w:space="0" w:color="auto"/>
            </w:tcBorders>
            <w:shd w:val="clear" w:color="auto" w:fill="FFFFFF"/>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D15014" w:rsidRPr="002644DE" w:rsidRDefault="00D15014" w:rsidP="00764E05">
            <w:pPr>
              <w:spacing w:after="0" w:line="240" w:lineRule="auto"/>
              <w:rPr>
                <w:rFonts w:ascii="Times New Roman" w:eastAsia="Calibri" w:hAnsi="Times New Roman" w:cs="Times New Roman"/>
                <w:sz w:val="20"/>
                <w:szCs w:val="18"/>
              </w:rPr>
            </w:pPr>
          </w:p>
        </w:tc>
      </w:tr>
      <w:tr w:rsidR="00D15014" w:rsidRPr="002644DE" w:rsidTr="00764E05">
        <w:trPr>
          <w:trHeight w:val="219"/>
          <w:jc w:val="center"/>
        </w:trPr>
        <w:tc>
          <w:tcPr>
            <w:tcW w:w="129" w:type="pct"/>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D15014" w:rsidRPr="002644DE" w:rsidRDefault="00D15014" w:rsidP="00764E0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D15014" w:rsidRPr="002644DE" w:rsidTr="00764E05">
        <w:trPr>
          <w:trHeight w:val="497"/>
          <w:jc w:val="center"/>
        </w:trPr>
        <w:tc>
          <w:tcPr>
            <w:tcW w:w="129" w:type="pct"/>
            <w:tcBorders>
              <w:bottom w:val="single" w:sz="4" w:space="0" w:color="auto"/>
            </w:tcBorders>
            <w:shd w:val="clear" w:color="auto" w:fill="FFFFFF"/>
            <w:vAlign w:val="center"/>
          </w:tcPr>
          <w:p w:rsidR="00D15014" w:rsidRPr="002644DE" w:rsidRDefault="00D15014" w:rsidP="00764E0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D15014" w:rsidRPr="002644DE" w:rsidRDefault="00D15014" w:rsidP="00764E0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D15014" w:rsidRPr="002644DE" w:rsidRDefault="00D15014" w:rsidP="00764E05">
            <w:pPr>
              <w:spacing w:after="0" w:line="240" w:lineRule="auto"/>
              <w:rPr>
                <w:rFonts w:ascii="Times New Roman" w:eastAsia="Calibri" w:hAnsi="Times New Roman" w:cs="Times New Roman"/>
                <w:sz w:val="20"/>
                <w:szCs w:val="18"/>
              </w:rPr>
            </w:pPr>
          </w:p>
        </w:tc>
      </w:tr>
    </w:tbl>
    <w:p w:rsidR="00D15014" w:rsidRPr="002644DE" w:rsidRDefault="00D15014" w:rsidP="00764E05">
      <w:pPr>
        <w:spacing w:after="0" w:line="240" w:lineRule="auto"/>
        <w:outlineLvl w:val="0"/>
        <w:rPr>
          <w:rFonts w:ascii="Times New Roman" w:eastAsia="Times New Roman" w:hAnsi="Times New Roman" w:cs="Times New Roman"/>
          <w:b/>
          <w:sz w:val="28"/>
          <w:szCs w:val="28"/>
          <w:lang w:eastAsia="sk-SK"/>
        </w:rPr>
        <w:sectPr w:rsidR="00D15014" w:rsidRPr="002644DE" w:rsidSect="00764E05">
          <w:footnotePr>
            <w:numFmt w:val="chicago"/>
          </w:footnotePr>
          <w:pgSz w:w="11906" w:h="16838"/>
          <w:pgMar w:top="1134" w:right="1418" w:bottom="1134" w:left="1418" w:header="510" w:footer="567" w:gutter="0"/>
          <w:cols w:space="708"/>
          <w:formProt w:val="0"/>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371"/>
        <w:gridCol w:w="1209"/>
        <w:gridCol w:w="850"/>
        <w:gridCol w:w="426"/>
        <w:gridCol w:w="1559"/>
      </w:tblGrid>
      <w:tr w:rsidR="00764E05" w:rsidRPr="005C4B9C" w:rsidTr="00764E05">
        <w:trPr>
          <w:trHeight w:val="20"/>
        </w:trPr>
        <w:tc>
          <w:tcPr>
            <w:tcW w:w="9371" w:type="dxa"/>
            <w:gridSpan w:val="6"/>
            <w:shd w:val="clear" w:color="auto" w:fill="BFBFBF"/>
            <w:vAlign w:val="center"/>
          </w:tcPr>
          <w:p w:rsidR="00764E05" w:rsidRPr="005C4B9C" w:rsidRDefault="00764E05" w:rsidP="00764E05">
            <w:pPr>
              <w:jc w:val="center"/>
              <w:rPr>
                <w:b/>
                <w:bCs/>
                <w:sz w:val="28"/>
                <w:szCs w:val="28"/>
              </w:rPr>
            </w:pPr>
            <w:r w:rsidRPr="005C4B9C">
              <w:rPr>
                <w:b/>
                <w:bCs/>
                <w:sz w:val="28"/>
                <w:szCs w:val="28"/>
              </w:rPr>
              <w:lastRenderedPageBreak/>
              <w:t>Analýza vplyvov na informatizáciu spoločnosti</w:t>
            </w:r>
          </w:p>
          <w:p w:rsidR="00764E05" w:rsidRPr="005C4B9C" w:rsidRDefault="00764E05" w:rsidP="00764E05">
            <w:pPr>
              <w:jc w:val="center"/>
              <w:rPr>
                <w:b/>
                <w:i/>
                <w:iCs/>
                <w:sz w:val="2"/>
              </w:rPr>
            </w:pPr>
          </w:p>
        </w:tc>
      </w:tr>
      <w:tr w:rsidR="00764E05" w:rsidRPr="005C4B9C" w:rsidTr="00764E05">
        <w:trPr>
          <w:trHeight w:val="20"/>
        </w:trPr>
        <w:tc>
          <w:tcPr>
            <w:tcW w:w="9371" w:type="dxa"/>
            <w:gridSpan w:val="6"/>
            <w:shd w:val="clear" w:color="auto" w:fill="BFBFBF"/>
            <w:vAlign w:val="center"/>
          </w:tcPr>
          <w:p w:rsidR="00764E05" w:rsidRPr="00F14E8D" w:rsidRDefault="00764E05" w:rsidP="00764E05">
            <w:pPr>
              <w:jc w:val="center"/>
              <w:rPr>
                <w:b/>
                <w:bCs/>
                <w:sz w:val="24"/>
                <w:szCs w:val="24"/>
              </w:rPr>
            </w:pPr>
            <w:r w:rsidRPr="00F14E8D">
              <w:rPr>
                <w:b/>
                <w:bCs/>
                <w:sz w:val="24"/>
                <w:szCs w:val="24"/>
              </w:rPr>
              <w:t>Budovanie základných pilierov informatizácie</w:t>
            </w:r>
          </w:p>
        </w:tc>
      </w:tr>
      <w:tr w:rsidR="00764E05" w:rsidRPr="005C4B9C" w:rsidTr="00764E05">
        <w:trPr>
          <w:trHeight w:val="681"/>
        </w:trPr>
        <w:tc>
          <w:tcPr>
            <w:tcW w:w="3956" w:type="dxa"/>
            <w:shd w:val="clear" w:color="auto" w:fill="C0C0C0"/>
            <w:vAlign w:val="center"/>
          </w:tcPr>
          <w:p w:rsidR="00764E05" w:rsidRPr="00F4692C" w:rsidRDefault="00764E05" w:rsidP="00764E05">
            <w:pPr>
              <w:jc w:val="center"/>
              <w:rPr>
                <w:b/>
              </w:rPr>
            </w:pPr>
            <w:r w:rsidRPr="00F4692C">
              <w:rPr>
                <w:b/>
              </w:rPr>
              <w:t>Biznis vrstva</w:t>
            </w:r>
          </w:p>
        </w:tc>
        <w:tc>
          <w:tcPr>
            <w:tcW w:w="1371" w:type="dxa"/>
            <w:shd w:val="clear" w:color="auto" w:fill="C0C0C0"/>
            <w:vAlign w:val="center"/>
          </w:tcPr>
          <w:p w:rsidR="00764E05" w:rsidRPr="00F4692C" w:rsidRDefault="00764E05" w:rsidP="00764E05">
            <w:pPr>
              <w:jc w:val="center"/>
              <w:rPr>
                <w:b/>
              </w:rPr>
            </w:pPr>
            <w:r w:rsidRPr="00F4692C">
              <w:rPr>
                <w:b/>
              </w:rPr>
              <w:t>A – nová služba</w:t>
            </w:r>
          </w:p>
          <w:p w:rsidR="00764E05" w:rsidRPr="00F4692C" w:rsidRDefault="00764E05" w:rsidP="00764E05">
            <w:pPr>
              <w:jc w:val="center"/>
              <w:rPr>
                <w:i/>
                <w:iCs/>
              </w:rPr>
            </w:pPr>
            <w:r w:rsidRPr="00F4692C">
              <w:rPr>
                <w:b/>
              </w:rPr>
              <w:t>B – zmena služby</w:t>
            </w:r>
            <w:r>
              <w:rPr>
                <w:b/>
              </w:rPr>
              <w:br/>
              <w:t xml:space="preserve"> C-zvýšené používanie služby</w:t>
            </w:r>
          </w:p>
        </w:tc>
        <w:tc>
          <w:tcPr>
            <w:tcW w:w="1209" w:type="dxa"/>
            <w:shd w:val="clear" w:color="auto" w:fill="C0C0C0"/>
            <w:vAlign w:val="center"/>
          </w:tcPr>
          <w:p w:rsidR="00764E05" w:rsidRPr="00F4692C" w:rsidRDefault="00764E05" w:rsidP="00764E05">
            <w:r w:rsidRPr="00F4692C">
              <w:rPr>
                <w:b/>
              </w:rPr>
              <w:t>Kód koncovej služby</w:t>
            </w:r>
          </w:p>
        </w:tc>
        <w:tc>
          <w:tcPr>
            <w:tcW w:w="1276" w:type="dxa"/>
            <w:gridSpan w:val="2"/>
            <w:shd w:val="clear" w:color="auto" w:fill="C0C0C0"/>
            <w:vAlign w:val="center"/>
          </w:tcPr>
          <w:p w:rsidR="00764E05" w:rsidRPr="00F4692C" w:rsidRDefault="00764E05" w:rsidP="00764E05">
            <w:pPr>
              <w:rPr>
                <w:i/>
                <w:iCs/>
              </w:rPr>
            </w:pPr>
            <w:r w:rsidRPr="00F4692C">
              <w:rPr>
                <w:b/>
              </w:rPr>
              <w:t>Názov koncovej služby</w:t>
            </w:r>
          </w:p>
        </w:tc>
        <w:tc>
          <w:tcPr>
            <w:tcW w:w="1559" w:type="dxa"/>
            <w:shd w:val="clear" w:color="auto" w:fill="C0C0C0"/>
          </w:tcPr>
          <w:p w:rsidR="00764E05" w:rsidRPr="00F4692C" w:rsidRDefault="00764E05" w:rsidP="00764E05">
            <w:pPr>
              <w:rPr>
                <w:b/>
              </w:rPr>
            </w:pPr>
            <w:r w:rsidRPr="00F4692C">
              <w:rPr>
                <w:b/>
              </w:rPr>
              <w:t>Úroveň elektronizácie</w:t>
            </w:r>
            <w:r>
              <w:rPr>
                <w:b/>
              </w:rPr>
              <w:t xml:space="preserve"> – pre C odhad počtu podaní</w:t>
            </w:r>
          </w:p>
        </w:tc>
      </w:tr>
      <w:tr w:rsidR="00764E05" w:rsidRPr="005C4B9C" w:rsidTr="00764E05">
        <w:trPr>
          <w:trHeight w:val="20"/>
        </w:trPr>
        <w:tc>
          <w:tcPr>
            <w:tcW w:w="3956" w:type="dxa"/>
          </w:tcPr>
          <w:p w:rsidR="00764E05" w:rsidRPr="0021424E" w:rsidRDefault="00764E05" w:rsidP="00764E05">
            <w:r w:rsidRPr="005C4B9C">
              <w:rPr>
                <w:b/>
              </w:rPr>
              <w:t>6.1.</w:t>
            </w:r>
            <w:r w:rsidRPr="005C4B9C">
              <w:t xml:space="preserve"> Predpokladá predložený návrh zmenu existujúcich </w:t>
            </w:r>
            <w:r>
              <w:t>koncových</w:t>
            </w:r>
            <w:r w:rsidRPr="005C4B9C">
              <w:t xml:space="preserve"> služieb verejnej správy </w:t>
            </w:r>
            <w:r>
              <w:t>,</w:t>
            </w:r>
            <w:r w:rsidRPr="005C4B9C">
              <w:t>vytvorenie nových služieb</w:t>
            </w:r>
            <w:r>
              <w:t xml:space="preserve"> pre občana alebo podnikateľa alebo má vplyv na zvýšené používanie existujúcich služieb</w:t>
            </w:r>
            <w:r w:rsidRPr="005C4B9C">
              <w:t>?</w:t>
            </w:r>
          </w:p>
        </w:tc>
        <w:tc>
          <w:tcPr>
            <w:tcW w:w="1371" w:type="dxa"/>
          </w:tcPr>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Default="00764E05" w:rsidP="00764E05">
            <w:pPr>
              <w:jc w:val="center"/>
            </w:pPr>
          </w:p>
          <w:p w:rsidR="00764E05" w:rsidRPr="00E82746" w:rsidRDefault="00764E05" w:rsidP="00764E05">
            <w:pPr>
              <w:jc w:val="center"/>
            </w:pPr>
            <w:r w:rsidRPr="00E82746">
              <w:t>B</w:t>
            </w:r>
          </w:p>
        </w:tc>
        <w:tc>
          <w:tcPr>
            <w:tcW w:w="1209" w:type="dxa"/>
          </w:tcPr>
          <w:p w:rsidR="00764E05" w:rsidRPr="00E82746" w:rsidRDefault="00764E05" w:rsidP="00764E05">
            <w:pPr>
              <w:jc w:val="center"/>
              <w:rPr>
                <w:bCs/>
                <w:iCs/>
              </w:rPr>
            </w:pPr>
            <w:r w:rsidRPr="00E82746">
              <w:rPr>
                <w:bCs/>
                <w:iCs/>
              </w:rPr>
              <w:t>ks_338997</w:t>
            </w:r>
          </w:p>
          <w:p w:rsidR="00764E05" w:rsidRPr="00E82746" w:rsidRDefault="00764E05" w:rsidP="00764E05">
            <w:pPr>
              <w:jc w:val="center"/>
              <w:rPr>
                <w:b/>
              </w:rPr>
            </w:pPr>
          </w:p>
          <w:p w:rsidR="00764E05" w:rsidRPr="00E82746" w:rsidRDefault="00764E05" w:rsidP="00764E05">
            <w:pPr>
              <w:jc w:val="center"/>
              <w:rPr>
                <w:b/>
              </w:rPr>
            </w:pPr>
          </w:p>
          <w:p w:rsidR="00764E05" w:rsidRPr="00E82746" w:rsidRDefault="00764E05" w:rsidP="00764E05">
            <w:pPr>
              <w:jc w:val="center"/>
              <w:rPr>
                <w:b/>
              </w:rPr>
            </w:pPr>
          </w:p>
          <w:p w:rsidR="00764E05" w:rsidRPr="00E82746" w:rsidRDefault="00764E05" w:rsidP="00764E05">
            <w:pPr>
              <w:jc w:val="center"/>
              <w:rPr>
                <w:b/>
              </w:rPr>
            </w:pPr>
          </w:p>
          <w:p w:rsidR="00764E05" w:rsidRPr="00E82746" w:rsidRDefault="00764E05" w:rsidP="00764E05">
            <w:pPr>
              <w:jc w:val="center"/>
              <w:rPr>
                <w:b/>
              </w:rPr>
            </w:pPr>
          </w:p>
          <w:p w:rsidR="00764E05" w:rsidRPr="00E82746" w:rsidRDefault="00764E05" w:rsidP="00764E05">
            <w:pPr>
              <w:jc w:val="center"/>
              <w:rPr>
                <w:b/>
              </w:rPr>
            </w:pPr>
          </w:p>
          <w:p w:rsidR="00764E05" w:rsidRPr="00E82746" w:rsidRDefault="00764E05" w:rsidP="00764E05">
            <w:pPr>
              <w:jc w:val="center"/>
              <w:rPr>
                <w:b/>
              </w:rPr>
            </w:pPr>
          </w:p>
          <w:p w:rsidR="00764E05" w:rsidRDefault="00764E05" w:rsidP="00764E05">
            <w:pPr>
              <w:jc w:val="center"/>
              <w:rPr>
                <w:bCs/>
                <w:iCs/>
              </w:rPr>
            </w:pPr>
          </w:p>
          <w:p w:rsidR="00764E05" w:rsidRDefault="00764E05" w:rsidP="00764E05">
            <w:pPr>
              <w:jc w:val="center"/>
              <w:rPr>
                <w:bCs/>
                <w:iCs/>
              </w:rPr>
            </w:pPr>
          </w:p>
          <w:p w:rsidR="00764E05" w:rsidRPr="00E82746" w:rsidRDefault="00764E05" w:rsidP="00764E05">
            <w:pPr>
              <w:jc w:val="center"/>
              <w:rPr>
                <w:bCs/>
                <w:iCs/>
              </w:rPr>
            </w:pPr>
            <w:r w:rsidRPr="00E82746">
              <w:rPr>
                <w:bCs/>
                <w:iCs/>
              </w:rPr>
              <w:t>ks_339003</w:t>
            </w:r>
          </w:p>
          <w:p w:rsidR="00764E05" w:rsidRPr="00E82746" w:rsidRDefault="00764E05" w:rsidP="00764E05">
            <w:pPr>
              <w:jc w:val="center"/>
              <w:rPr>
                <w:b/>
              </w:rPr>
            </w:pPr>
          </w:p>
          <w:p w:rsidR="00764E05" w:rsidRPr="00E82746" w:rsidRDefault="00764E05" w:rsidP="00764E05">
            <w:pPr>
              <w:jc w:val="center"/>
              <w:rPr>
                <w:b/>
              </w:rPr>
            </w:pPr>
          </w:p>
          <w:p w:rsidR="00764E05" w:rsidRPr="00E82746" w:rsidRDefault="00764E05" w:rsidP="00764E05">
            <w:pPr>
              <w:rPr>
                <w:b/>
              </w:rPr>
            </w:pPr>
          </w:p>
          <w:p w:rsidR="00764E05" w:rsidRDefault="00764E05" w:rsidP="00764E05">
            <w:pPr>
              <w:jc w:val="center"/>
              <w:rPr>
                <w:bCs/>
                <w:iCs/>
              </w:rPr>
            </w:pPr>
          </w:p>
          <w:p w:rsidR="00764E05" w:rsidRDefault="00764E05" w:rsidP="00764E05">
            <w:pPr>
              <w:jc w:val="center"/>
              <w:rPr>
                <w:bCs/>
                <w:iCs/>
              </w:rPr>
            </w:pPr>
          </w:p>
          <w:p w:rsidR="00764E05" w:rsidRDefault="00764E05" w:rsidP="00764E05">
            <w:pPr>
              <w:jc w:val="center"/>
              <w:rPr>
                <w:bCs/>
                <w:iCs/>
              </w:rPr>
            </w:pPr>
          </w:p>
          <w:p w:rsidR="00764E05" w:rsidRPr="00E82746" w:rsidRDefault="00764E05" w:rsidP="00764E05">
            <w:pPr>
              <w:jc w:val="center"/>
              <w:rPr>
                <w:bCs/>
                <w:iCs/>
              </w:rPr>
            </w:pPr>
            <w:r w:rsidRPr="00E82746">
              <w:rPr>
                <w:bCs/>
                <w:iCs/>
              </w:rPr>
              <w:t>sluzba_egov_1922</w:t>
            </w:r>
          </w:p>
          <w:p w:rsidR="00764E05" w:rsidRPr="00E82746" w:rsidRDefault="00764E05" w:rsidP="00764E05">
            <w:pPr>
              <w:jc w:val="center"/>
              <w:rPr>
                <w:b/>
              </w:rPr>
            </w:pPr>
          </w:p>
          <w:p w:rsidR="00764E05" w:rsidRDefault="00764E05" w:rsidP="00764E05">
            <w:pPr>
              <w:jc w:val="center"/>
              <w:rPr>
                <w:bCs/>
                <w:iCs/>
              </w:rPr>
            </w:pPr>
          </w:p>
          <w:p w:rsidR="00764E05" w:rsidRPr="00E82746" w:rsidRDefault="00764E05" w:rsidP="00764E05">
            <w:pPr>
              <w:jc w:val="center"/>
              <w:rPr>
                <w:bCs/>
                <w:iCs/>
              </w:rPr>
            </w:pPr>
            <w:r w:rsidRPr="00E82746">
              <w:rPr>
                <w:bCs/>
                <w:iCs/>
              </w:rPr>
              <w:t>sluzba_egov_1930</w:t>
            </w:r>
          </w:p>
          <w:p w:rsidR="00764E05" w:rsidRPr="00E82746" w:rsidRDefault="00764E05" w:rsidP="00764E05">
            <w:pPr>
              <w:jc w:val="center"/>
              <w:rPr>
                <w:bCs/>
                <w:iCs/>
              </w:rPr>
            </w:pPr>
          </w:p>
          <w:p w:rsidR="00764E05" w:rsidRPr="00E82746" w:rsidRDefault="00764E05" w:rsidP="00764E05">
            <w:pPr>
              <w:jc w:val="center"/>
              <w:rPr>
                <w:bCs/>
                <w:iCs/>
              </w:rPr>
            </w:pPr>
          </w:p>
          <w:p w:rsidR="00764E05" w:rsidRPr="00E82746" w:rsidRDefault="00764E05" w:rsidP="00764E05">
            <w:pPr>
              <w:jc w:val="center"/>
              <w:rPr>
                <w:bCs/>
                <w:iCs/>
              </w:rPr>
            </w:pPr>
          </w:p>
          <w:p w:rsidR="00764E05" w:rsidRPr="00E82746" w:rsidRDefault="00764E05" w:rsidP="00764E05">
            <w:pPr>
              <w:jc w:val="center"/>
              <w:rPr>
                <w:bCs/>
                <w:iCs/>
              </w:rPr>
            </w:pPr>
            <w:r w:rsidRPr="00E82746">
              <w:rPr>
                <w:bCs/>
                <w:iCs/>
              </w:rPr>
              <w:t>sluzba_egov_1932</w:t>
            </w:r>
          </w:p>
          <w:p w:rsidR="00764E05" w:rsidRPr="00E82746" w:rsidRDefault="00764E05" w:rsidP="00764E05">
            <w:pPr>
              <w:jc w:val="center"/>
              <w:rPr>
                <w:bCs/>
                <w:iCs/>
              </w:rPr>
            </w:pPr>
          </w:p>
          <w:p w:rsidR="00764E05" w:rsidRPr="00E82746" w:rsidRDefault="00764E05" w:rsidP="00764E05">
            <w:pPr>
              <w:jc w:val="center"/>
              <w:rPr>
                <w:bCs/>
                <w:iCs/>
              </w:rPr>
            </w:pPr>
          </w:p>
          <w:p w:rsidR="00764E05" w:rsidRPr="00E82746" w:rsidRDefault="00764E05" w:rsidP="00764E05">
            <w:pPr>
              <w:jc w:val="center"/>
              <w:rPr>
                <w:bCs/>
                <w:iCs/>
              </w:rPr>
            </w:pPr>
          </w:p>
          <w:p w:rsidR="00764E05" w:rsidRPr="00E82746" w:rsidRDefault="00764E05" w:rsidP="00764E05">
            <w:pPr>
              <w:jc w:val="center"/>
              <w:rPr>
                <w:bCs/>
                <w:iCs/>
              </w:rPr>
            </w:pPr>
          </w:p>
          <w:p w:rsidR="00764E05" w:rsidRPr="00E82746" w:rsidRDefault="00764E05" w:rsidP="00764E05">
            <w:pPr>
              <w:jc w:val="center"/>
              <w:rPr>
                <w:b/>
              </w:rPr>
            </w:pPr>
            <w:r w:rsidRPr="00E82746">
              <w:rPr>
                <w:bCs/>
                <w:iCs/>
              </w:rPr>
              <w:t>sluzba_egov_1937</w:t>
            </w:r>
          </w:p>
        </w:tc>
        <w:tc>
          <w:tcPr>
            <w:tcW w:w="1276" w:type="dxa"/>
            <w:gridSpan w:val="2"/>
          </w:tcPr>
          <w:p w:rsidR="00764E05" w:rsidRPr="00E82746" w:rsidRDefault="00764E05" w:rsidP="00764E05">
            <w:pPr>
              <w:jc w:val="both"/>
              <w:rPr>
                <w:bCs/>
                <w:iCs/>
              </w:rPr>
            </w:pPr>
            <w:r w:rsidRPr="00E82746">
              <w:rPr>
                <w:bCs/>
                <w:iCs/>
              </w:rPr>
              <w:lastRenderedPageBreak/>
              <w:t>Podávanie daňového priznania k dani z príjmov právnickej osoby</w:t>
            </w:r>
          </w:p>
          <w:p w:rsidR="00764E05" w:rsidRPr="00E82746" w:rsidRDefault="00764E05" w:rsidP="00764E05">
            <w:pPr>
              <w:jc w:val="both"/>
              <w:rPr>
                <w:bCs/>
                <w:iCs/>
              </w:rPr>
            </w:pPr>
            <w:r w:rsidRPr="00E82746">
              <w:rPr>
                <w:bCs/>
                <w:iCs/>
              </w:rPr>
              <w:t>Podávanie daňového priznania k dani z príjmov fyzickej osoby SZČO (typ B)</w:t>
            </w:r>
          </w:p>
          <w:p w:rsidR="00764E05" w:rsidRPr="00E82746" w:rsidRDefault="00764E05" w:rsidP="00764E05">
            <w:pPr>
              <w:jc w:val="both"/>
              <w:rPr>
                <w:bCs/>
                <w:iCs/>
              </w:rPr>
            </w:pPr>
            <w:r w:rsidRPr="00E82746">
              <w:rPr>
                <w:bCs/>
                <w:iCs/>
              </w:rPr>
              <w:t>Poskytovanie informácii o saldokonte fyzickej osoby</w:t>
            </w:r>
          </w:p>
          <w:p w:rsidR="00764E05" w:rsidRPr="00E82746" w:rsidRDefault="00764E05" w:rsidP="00764E05">
            <w:pPr>
              <w:jc w:val="both"/>
              <w:rPr>
                <w:bCs/>
                <w:iCs/>
              </w:rPr>
            </w:pPr>
            <w:r w:rsidRPr="00E82746">
              <w:rPr>
                <w:bCs/>
                <w:iCs/>
              </w:rPr>
              <w:t>Podávanie daňových priznaní právnickej osoby</w:t>
            </w:r>
          </w:p>
          <w:p w:rsidR="00764E05" w:rsidRPr="00E82746" w:rsidRDefault="00764E05" w:rsidP="00764E05">
            <w:pPr>
              <w:jc w:val="both"/>
              <w:rPr>
                <w:bCs/>
                <w:iCs/>
              </w:rPr>
            </w:pPr>
            <w:r w:rsidRPr="00E82746">
              <w:rPr>
                <w:bCs/>
                <w:iCs/>
              </w:rPr>
              <w:t>Používanie osobného účtu právnickej osoby (saldokonto)</w:t>
            </w:r>
          </w:p>
          <w:p w:rsidR="00764E05" w:rsidRPr="00E82746" w:rsidRDefault="00764E05" w:rsidP="00764E05">
            <w:pPr>
              <w:jc w:val="both"/>
              <w:rPr>
                <w:bCs/>
                <w:iCs/>
              </w:rPr>
            </w:pPr>
            <w:r w:rsidRPr="00E82746">
              <w:rPr>
                <w:bCs/>
                <w:iCs/>
              </w:rPr>
              <w:lastRenderedPageBreak/>
              <w:t>Podávanie daňových priznaní</w:t>
            </w:r>
          </w:p>
          <w:p w:rsidR="00764E05" w:rsidRPr="00E82746" w:rsidRDefault="00764E05" w:rsidP="00764E05">
            <w:pPr>
              <w:jc w:val="both"/>
              <w:rPr>
                <w:bCs/>
                <w:iCs/>
              </w:rPr>
            </w:pPr>
          </w:p>
          <w:p w:rsidR="00764E05" w:rsidRPr="00E82746" w:rsidRDefault="00764E05" w:rsidP="00764E05">
            <w:pPr>
              <w:jc w:val="both"/>
            </w:pPr>
            <w:r w:rsidRPr="00E82746">
              <w:t xml:space="preserve"> </w:t>
            </w:r>
          </w:p>
          <w:p w:rsidR="00764E05" w:rsidRPr="00E82746" w:rsidRDefault="00764E05" w:rsidP="00764E05">
            <w:pPr>
              <w:jc w:val="both"/>
              <w:rPr>
                <w:b/>
              </w:rPr>
            </w:pPr>
          </w:p>
        </w:tc>
        <w:tc>
          <w:tcPr>
            <w:tcW w:w="1559" w:type="dxa"/>
          </w:tcPr>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Default="00764E05" w:rsidP="00764E05"/>
          <w:p w:rsidR="00764E05" w:rsidRPr="00E82746" w:rsidRDefault="00764E05" w:rsidP="00764E05">
            <w:r>
              <w:t xml:space="preserve">          </w:t>
            </w:r>
            <w:r w:rsidRPr="00E82746">
              <w:t>4</w:t>
            </w:r>
          </w:p>
        </w:tc>
      </w:tr>
      <w:tr w:rsidR="00764E05" w:rsidRPr="005C4B9C" w:rsidTr="00764E05">
        <w:trPr>
          <w:trHeight w:val="20"/>
        </w:trPr>
        <w:tc>
          <w:tcPr>
            <w:tcW w:w="3956" w:type="dxa"/>
            <w:shd w:val="clear" w:color="auto" w:fill="C0C0C0"/>
            <w:vAlign w:val="center"/>
          </w:tcPr>
          <w:p w:rsidR="00764E05" w:rsidRPr="00F4692C" w:rsidRDefault="00764E05" w:rsidP="00764E05">
            <w:pPr>
              <w:jc w:val="center"/>
              <w:rPr>
                <w:b/>
              </w:rPr>
            </w:pPr>
            <w:r w:rsidRPr="00F4692C">
              <w:rPr>
                <w:b/>
              </w:rPr>
              <w:t>Aplikačná a technologická vrstva</w:t>
            </w:r>
          </w:p>
        </w:tc>
        <w:tc>
          <w:tcPr>
            <w:tcW w:w="1371" w:type="dxa"/>
            <w:shd w:val="clear" w:color="auto" w:fill="C0C0C0"/>
          </w:tcPr>
          <w:p w:rsidR="00764E05" w:rsidRPr="00F4692C" w:rsidRDefault="00764E05" w:rsidP="00764E05">
            <w:pPr>
              <w:jc w:val="center"/>
              <w:rPr>
                <w:b/>
              </w:rPr>
            </w:pPr>
            <w:r w:rsidRPr="00F4692C">
              <w:rPr>
                <w:b/>
              </w:rPr>
              <w:t>A – nový systém</w:t>
            </w:r>
          </w:p>
          <w:p w:rsidR="00764E05" w:rsidRPr="00F4692C" w:rsidRDefault="00764E05" w:rsidP="00764E05">
            <w:pPr>
              <w:jc w:val="center"/>
              <w:rPr>
                <w:b/>
              </w:rPr>
            </w:pPr>
            <w:r w:rsidRPr="00F4692C">
              <w:rPr>
                <w:b/>
              </w:rPr>
              <w:t>B – zmena systému</w:t>
            </w:r>
          </w:p>
        </w:tc>
        <w:tc>
          <w:tcPr>
            <w:tcW w:w="1209" w:type="dxa"/>
            <w:shd w:val="clear" w:color="auto" w:fill="C0C0C0"/>
            <w:vAlign w:val="center"/>
          </w:tcPr>
          <w:p w:rsidR="00764E05" w:rsidRPr="00F4692C" w:rsidRDefault="00764E05" w:rsidP="00764E05">
            <w:pPr>
              <w:jc w:val="center"/>
              <w:rPr>
                <w:b/>
              </w:rPr>
            </w:pPr>
            <w:r w:rsidRPr="00F4692C">
              <w:rPr>
                <w:b/>
              </w:rPr>
              <w:t>Kód systému</w:t>
            </w:r>
          </w:p>
        </w:tc>
        <w:tc>
          <w:tcPr>
            <w:tcW w:w="1276" w:type="dxa"/>
            <w:gridSpan w:val="2"/>
            <w:shd w:val="clear" w:color="auto" w:fill="C0C0C0"/>
            <w:vAlign w:val="center"/>
          </w:tcPr>
          <w:p w:rsidR="00764E05" w:rsidRPr="00F4692C" w:rsidRDefault="00764E05" w:rsidP="00764E05">
            <w:pPr>
              <w:jc w:val="center"/>
              <w:rPr>
                <w:b/>
              </w:rPr>
            </w:pPr>
            <w:r w:rsidRPr="00F4692C">
              <w:rPr>
                <w:b/>
              </w:rPr>
              <w:t>Názov systému</w:t>
            </w:r>
          </w:p>
        </w:tc>
        <w:tc>
          <w:tcPr>
            <w:tcW w:w="1559" w:type="dxa"/>
            <w:shd w:val="clear" w:color="auto" w:fill="C0C0C0"/>
            <w:vAlign w:val="center"/>
          </w:tcPr>
          <w:p w:rsidR="00764E05" w:rsidRPr="00F4692C" w:rsidRDefault="00764E05" w:rsidP="00764E05">
            <w:pPr>
              <w:jc w:val="center"/>
              <w:rPr>
                <w:b/>
              </w:rPr>
            </w:pPr>
            <w:r w:rsidRPr="00F4692C">
              <w:rPr>
                <w:b/>
              </w:rPr>
              <w:t>Vo vládnom cloude – áno / nie</w:t>
            </w:r>
          </w:p>
        </w:tc>
      </w:tr>
      <w:tr w:rsidR="00764E05" w:rsidRPr="005C4B9C" w:rsidTr="00764E05">
        <w:trPr>
          <w:trHeight w:val="20"/>
        </w:trPr>
        <w:tc>
          <w:tcPr>
            <w:tcW w:w="3956" w:type="dxa"/>
          </w:tcPr>
          <w:p w:rsidR="00764E05" w:rsidRPr="005C4B9C" w:rsidRDefault="00764E05" w:rsidP="00764E05">
            <w:pPr>
              <w:rPr>
                <w:sz w:val="24"/>
                <w:szCs w:val="24"/>
              </w:rPr>
            </w:pPr>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cloude?</w:t>
            </w:r>
          </w:p>
        </w:tc>
        <w:tc>
          <w:tcPr>
            <w:tcW w:w="1371" w:type="dxa"/>
          </w:tcPr>
          <w:p w:rsidR="00764E05" w:rsidRPr="007F1E9D" w:rsidRDefault="00764E05" w:rsidP="00764E05">
            <w:pPr>
              <w:jc w:val="center"/>
              <w:rPr>
                <w:iCs/>
              </w:rPr>
            </w:pPr>
          </w:p>
          <w:p w:rsidR="00764E05" w:rsidRPr="007F1E9D" w:rsidRDefault="00764E05" w:rsidP="00764E05">
            <w:pPr>
              <w:jc w:val="center"/>
              <w:rPr>
                <w:iCs/>
              </w:rPr>
            </w:pPr>
            <w:r w:rsidRPr="007F1E9D">
              <w:rPr>
                <w:iCs/>
              </w:rPr>
              <w:t>B</w:t>
            </w:r>
          </w:p>
          <w:p w:rsidR="00764E05" w:rsidRPr="007F1E9D" w:rsidRDefault="00764E05" w:rsidP="00764E05">
            <w:pPr>
              <w:jc w:val="center"/>
              <w:rPr>
                <w:iCs/>
              </w:rPr>
            </w:pPr>
          </w:p>
          <w:p w:rsidR="00764E05" w:rsidRPr="007F1E9D" w:rsidRDefault="00764E05" w:rsidP="00764E05">
            <w:pPr>
              <w:jc w:val="center"/>
              <w:rPr>
                <w:iCs/>
              </w:rPr>
            </w:pPr>
          </w:p>
          <w:p w:rsidR="00764E05" w:rsidRPr="007F1E9D" w:rsidRDefault="00764E05" w:rsidP="00764E05">
            <w:pPr>
              <w:jc w:val="center"/>
              <w:rPr>
                <w:iCs/>
              </w:rPr>
            </w:pPr>
          </w:p>
          <w:p w:rsidR="00764E05" w:rsidRDefault="00764E05" w:rsidP="00764E05">
            <w:pPr>
              <w:jc w:val="center"/>
              <w:rPr>
                <w:iCs/>
              </w:rPr>
            </w:pPr>
          </w:p>
          <w:p w:rsidR="00764E05" w:rsidRPr="007F1E9D" w:rsidRDefault="00764E05" w:rsidP="00764E05">
            <w:pPr>
              <w:jc w:val="center"/>
              <w:rPr>
                <w:iCs/>
              </w:rPr>
            </w:pPr>
            <w:r w:rsidRPr="007F1E9D">
              <w:rPr>
                <w:iCs/>
              </w:rPr>
              <w:t>B</w:t>
            </w:r>
          </w:p>
        </w:tc>
        <w:tc>
          <w:tcPr>
            <w:tcW w:w="1209" w:type="dxa"/>
          </w:tcPr>
          <w:p w:rsidR="00764E05" w:rsidRDefault="00764E05" w:rsidP="00764E05">
            <w:pPr>
              <w:rPr>
                <w:iCs/>
              </w:rPr>
            </w:pPr>
          </w:p>
          <w:p w:rsidR="00764E05" w:rsidRPr="007F1E9D" w:rsidRDefault="00764E05" w:rsidP="00764E05">
            <w:pPr>
              <w:rPr>
                <w:iCs/>
              </w:rPr>
            </w:pPr>
            <w:r w:rsidRPr="007F1E9D">
              <w:rPr>
                <w:iCs/>
              </w:rPr>
              <w:t>isvs_7213</w:t>
            </w:r>
          </w:p>
          <w:p w:rsidR="00764E05" w:rsidRPr="007F1E9D" w:rsidRDefault="00764E05" w:rsidP="00764E05">
            <w:pPr>
              <w:rPr>
                <w:iCs/>
              </w:rPr>
            </w:pPr>
          </w:p>
          <w:p w:rsidR="00764E05" w:rsidRPr="007F1E9D" w:rsidRDefault="00764E05" w:rsidP="00764E05">
            <w:pPr>
              <w:rPr>
                <w:iCs/>
              </w:rPr>
            </w:pPr>
          </w:p>
          <w:p w:rsidR="00764E05" w:rsidRPr="007F1E9D" w:rsidRDefault="00764E05" w:rsidP="00764E05">
            <w:pPr>
              <w:rPr>
                <w:iCs/>
              </w:rPr>
            </w:pPr>
          </w:p>
          <w:p w:rsidR="00764E05" w:rsidRPr="007F1E9D" w:rsidRDefault="00764E05" w:rsidP="00764E05">
            <w:pPr>
              <w:rPr>
                <w:iCs/>
                <w:color w:val="333333"/>
                <w:shd w:val="clear" w:color="auto" w:fill="FFFFFF"/>
              </w:rPr>
            </w:pPr>
          </w:p>
          <w:p w:rsidR="00764E05" w:rsidRPr="007F1E9D" w:rsidRDefault="00764E05" w:rsidP="00764E05">
            <w:pPr>
              <w:rPr>
                <w:iCs/>
              </w:rPr>
            </w:pPr>
            <w:r w:rsidRPr="007F1E9D">
              <w:rPr>
                <w:iCs/>
              </w:rPr>
              <w:t>isvs_7714</w:t>
            </w:r>
          </w:p>
          <w:p w:rsidR="00764E05" w:rsidRPr="007F1E9D" w:rsidRDefault="00764E05" w:rsidP="00764E05">
            <w:pPr>
              <w:rPr>
                <w:iCs/>
              </w:rPr>
            </w:pPr>
          </w:p>
        </w:tc>
        <w:tc>
          <w:tcPr>
            <w:tcW w:w="1276" w:type="dxa"/>
            <w:gridSpan w:val="2"/>
          </w:tcPr>
          <w:p w:rsidR="00764E05" w:rsidRPr="007F1E9D" w:rsidRDefault="00764E05" w:rsidP="00764E05">
            <w:pPr>
              <w:rPr>
                <w:iCs/>
              </w:rPr>
            </w:pPr>
            <w:r w:rsidRPr="007F1E9D">
              <w:rPr>
                <w:iCs/>
              </w:rPr>
              <w:t>Portál Finančnej správy (PFS)</w:t>
            </w:r>
          </w:p>
          <w:p w:rsidR="00764E05" w:rsidRPr="007F1E9D" w:rsidRDefault="00764E05" w:rsidP="00764E05">
            <w:pPr>
              <w:rPr>
                <w:iCs/>
              </w:rPr>
            </w:pPr>
          </w:p>
          <w:p w:rsidR="00764E05" w:rsidRPr="007F1E9D" w:rsidRDefault="00764E05" w:rsidP="00764E05">
            <w:pPr>
              <w:rPr>
                <w:iCs/>
              </w:rPr>
            </w:pPr>
            <w:r w:rsidRPr="007F1E9D">
              <w:rPr>
                <w:iCs/>
              </w:rPr>
              <w:t>Integrovaný systém finančnej správy – správa daní (ISFS-SD)</w:t>
            </w:r>
          </w:p>
        </w:tc>
        <w:tc>
          <w:tcPr>
            <w:tcW w:w="1559" w:type="dxa"/>
          </w:tcPr>
          <w:p w:rsidR="00764E05" w:rsidRDefault="00764E05" w:rsidP="00764E05">
            <w:pPr>
              <w:rPr>
                <w:iCs/>
              </w:rPr>
            </w:pPr>
          </w:p>
          <w:p w:rsidR="00764E05" w:rsidRPr="007F1E9D" w:rsidRDefault="00764E05" w:rsidP="00764E05">
            <w:pPr>
              <w:rPr>
                <w:iCs/>
              </w:rPr>
            </w:pPr>
            <w:r>
              <w:rPr>
                <w:iCs/>
              </w:rPr>
              <w:t xml:space="preserve">           </w:t>
            </w:r>
            <w:r w:rsidRPr="007F1E9D">
              <w:rPr>
                <w:iCs/>
              </w:rPr>
              <w:t>NIE</w:t>
            </w:r>
          </w:p>
          <w:p w:rsidR="00764E05" w:rsidRPr="007F1E9D" w:rsidRDefault="00764E05" w:rsidP="00764E05">
            <w:pPr>
              <w:rPr>
                <w:iCs/>
              </w:rPr>
            </w:pPr>
          </w:p>
          <w:p w:rsidR="00764E05" w:rsidRPr="007F1E9D" w:rsidRDefault="00764E05" w:rsidP="00764E05">
            <w:pPr>
              <w:rPr>
                <w:iCs/>
              </w:rPr>
            </w:pPr>
          </w:p>
          <w:p w:rsidR="00764E05" w:rsidRPr="007F1E9D" w:rsidRDefault="00764E05" w:rsidP="00764E05">
            <w:pPr>
              <w:rPr>
                <w:iCs/>
              </w:rPr>
            </w:pPr>
          </w:p>
          <w:p w:rsidR="00764E05" w:rsidRPr="007F1E9D" w:rsidRDefault="00764E05" w:rsidP="00764E05">
            <w:pPr>
              <w:rPr>
                <w:iCs/>
              </w:rPr>
            </w:pPr>
          </w:p>
          <w:p w:rsidR="00764E05" w:rsidRPr="007F1E9D" w:rsidRDefault="00764E05" w:rsidP="00764E05">
            <w:pPr>
              <w:rPr>
                <w:iCs/>
              </w:rPr>
            </w:pPr>
            <w:r>
              <w:rPr>
                <w:iCs/>
              </w:rPr>
              <w:t xml:space="preserve">           </w:t>
            </w:r>
            <w:r w:rsidRPr="007F1E9D">
              <w:rPr>
                <w:iCs/>
              </w:rPr>
              <w:t>NIE</w:t>
            </w:r>
          </w:p>
        </w:tc>
      </w:tr>
      <w:tr w:rsidR="00764E05" w:rsidRPr="005C4B9C" w:rsidTr="00764E05">
        <w:trPr>
          <w:trHeight w:val="20"/>
        </w:trPr>
        <w:tc>
          <w:tcPr>
            <w:tcW w:w="3956" w:type="dxa"/>
            <w:shd w:val="clear" w:color="auto" w:fill="BFBFBF"/>
            <w:vAlign w:val="center"/>
          </w:tcPr>
          <w:p w:rsidR="00764E05" w:rsidRPr="00F4692C" w:rsidRDefault="00764E05" w:rsidP="00764E05">
            <w:pPr>
              <w:spacing w:line="20" w:lineRule="atLeast"/>
              <w:ind w:hanging="55"/>
              <w:jc w:val="center"/>
              <w:rPr>
                <w:b/>
              </w:rPr>
            </w:pPr>
            <w:r w:rsidRPr="00F4692C">
              <w:rPr>
                <w:b/>
              </w:rPr>
              <w:t>Financovanie procesu informatizácie</w:t>
            </w:r>
          </w:p>
        </w:tc>
        <w:tc>
          <w:tcPr>
            <w:tcW w:w="1371" w:type="dxa"/>
            <w:shd w:val="clear" w:color="auto" w:fill="BFBFBF"/>
            <w:vAlign w:val="center"/>
          </w:tcPr>
          <w:p w:rsidR="00764E05" w:rsidRPr="00F4692C" w:rsidRDefault="00764E05" w:rsidP="00764E05">
            <w:pPr>
              <w:jc w:val="center"/>
              <w:rPr>
                <w:b/>
                <w:i/>
                <w:iCs/>
              </w:rPr>
            </w:pPr>
            <w:r w:rsidRPr="00F4692C">
              <w:rPr>
                <w:b/>
              </w:rPr>
              <w:t>Rezortná úroveň</w:t>
            </w:r>
          </w:p>
        </w:tc>
        <w:tc>
          <w:tcPr>
            <w:tcW w:w="2059" w:type="dxa"/>
            <w:gridSpan w:val="2"/>
            <w:shd w:val="clear" w:color="auto" w:fill="BFBFBF"/>
            <w:vAlign w:val="center"/>
          </w:tcPr>
          <w:p w:rsidR="00764E05" w:rsidRPr="00F4692C" w:rsidRDefault="00764E05" w:rsidP="00764E05">
            <w:pPr>
              <w:jc w:val="center"/>
              <w:rPr>
                <w:b/>
                <w:i/>
                <w:iCs/>
              </w:rPr>
            </w:pPr>
            <w:r w:rsidRPr="00F4692C">
              <w:rPr>
                <w:b/>
              </w:rPr>
              <w:t>Nadrezortná úroveň</w:t>
            </w:r>
          </w:p>
          <w:p w:rsidR="00764E05" w:rsidRPr="00F4692C" w:rsidRDefault="00764E05" w:rsidP="00764E05">
            <w:pPr>
              <w:jc w:val="center"/>
              <w:rPr>
                <w:b/>
              </w:rPr>
            </w:pPr>
          </w:p>
        </w:tc>
        <w:tc>
          <w:tcPr>
            <w:tcW w:w="1985" w:type="dxa"/>
            <w:gridSpan w:val="2"/>
            <w:shd w:val="clear" w:color="auto" w:fill="BFBFBF"/>
            <w:vAlign w:val="center"/>
          </w:tcPr>
          <w:p w:rsidR="00764E05" w:rsidRPr="00F4692C" w:rsidRDefault="00764E05" w:rsidP="00764E05">
            <w:pPr>
              <w:rPr>
                <w:b/>
              </w:rPr>
            </w:pPr>
            <w:r w:rsidRPr="00F4692C">
              <w:rPr>
                <w:b/>
              </w:rPr>
              <w:t>A - z prostriedkov EÚ   B - z ďalších zdrojov financovania</w:t>
            </w:r>
          </w:p>
        </w:tc>
      </w:tr>
      <w:tr w:rsidR="00764E05" w:rsidRPr="005C4B9C" w:rsidTr="00764E05">
        <w:trPr>
          <w:trHeight w:val="20"/>
        </w:trPr>
        <w:tc>
          <w:tcPr>
            <w:tcW w:w="3956" w:type="dxa"/>
            <w:tcBorders>
              <w:bottom w:val="single" w:sz="4" w:space="0" w:color="auto"/>
            </w:tcBorders>
          </w:tcPr>
          <w:p w:rsidR="00764E05" w:rsidRPr="005C4B9C" w:rsidRDefault="00764E05" w:rsidP="00764E05">
            <w:pPr>
              <w:jc w:val="both"/>
            </w:pPr>
            <w:r w:rsidRPr="005C4B9C">
              <w:rPr>
                <w:b/>
              </w:rPr>
              <w:t>6.3.</w:t>
            </w:r>
            <w:r w:rsidRPr="005C4B9C">
              <w:t xml:space="preserve"> Vyžaduje si proces informatizácie  finančné investície?</w:t>
            </w:r>
          </w:p>
          <w:p w:rsidR="00764E05" w:rsidRPr="005C4B9C" w:rsidRDefault="00764E05" w:rsidP="00764E05">
            <w:pPr>
              <w:spacing w:line="20" w:lineRule="atLeast"/>
              <w:jc w:val="both"/>
              <w:rPr>
                <w:sz w:val="24"/>
                <w:szCs w:val="24"/>
              </w:rPr>
            </w:pPr>
            <w:r w:rsidRPr="005C4B9C">
              <w:rPr>
                <w:i/>
                <w:iCs/>
              </w:rPr>
              <w:t>(Uveďte príslušnú úroveň financovania a kvantifikáciu finančných výdavkov uveďte  v analýze vplyvov na rozpočet verejnej správy.)</w:t>
            </w:r>
          </w:p>
        </w:tc>
        <w:tc>
          <w:tcPr>
            <w:tcW w:w="1371" w:type="dxa"/>
            <w:tcBorders>
              <w:bottom w:val="single" w:sz="4" w:space="0" w:color="auto"/>
            </w:tcBorders>
          </w:tcPr>
          <w:p w:rsidR="00764E05" w:rsidRDefault="00764E05" w:rsidP="00764E05">
            <w:pPr>
              <w:rPr>
                <w:i/>
                <w:iCs/>
                <w:sz w:val="24"/>
                <w:szCs w:val="24"/>
              </w:rPr>
            </w:pPr>
          </w:p>
          <w:p w:rsidR="00764E05" w:rsidRPr="003E147F" w:rsidRDefault="00764E05" w:rsidP="00764E05">
            <w:pPr>
              <w:rPr>
                <w:b/>
                <w:i/>
                <w:iCs/>
                <w:sz w:val="24"/>
                <w:szCs w:val="24"/>
              </w:rPr>
            </w:pPr>
            <w:r>
              <w:rPr>
                <w:i/>
                <w:iCs/>
                <w:sz w:val="24"/>
                <w:szCs w:val="24"/>
              </w:rPr>
              <w:t xml:space="preserve">        </w:t>
            </w:r>
            <w:r w:rsidRPr="003E147F">
              <w:rPr>
                <w:b/>
                <w:i/>
                <w:iCs/>
                <w:sz w:val="24"/>
                <w:szCs w:val="24"/>
              </w:rPr>
              <w:t>X</w:t>
            </w:r>
          </w:p>
        </w:tc>
        <w:tc>
          <w:tcPr>
            <w:tcW w:w="2059" w:type="dxa"/>
            <w:gridSpan w:val="2"/>
            <w:tcBorders>
              <w:bottom w:val="single" w:sz="4" w:space="0" w:color="auto"/>
            </w:tcBorders>
          </w:tcPr>
          <w:p w:rsidR="00764E05" w:rsidRPr="005C4B9C" w:rsidRDefault="00764E05" w:rsidP="00764E05">
            <w:pPr>
              <w:rPr>
                <w:i/>
                <w:iCs/>
                <w:sz w:val="24"/>
                <w:szCs w:val="24"/>
              </w:rPr>
            </w:pPr>
          </w:p>
        </w:tc>
        <w:tc>
          <w:tcPr>
            <w:tcW w:w="1985" w:type="dxa"/>
            <w:gridSpan w:val="2"/>
            <w:tcBorders>
              <w:bottom w:val="single" w:sz="4" w:space="0" w:color="auto"/>
            </w:tcBorders>
          </w:tcPr>
          <w:p w:rsidR="00764E05" w:rsidRDefault="00764E05" w:rsidP="00764E05">
            <w:pPr>
              <w:rPr>
                <w:i/>
                <w:iCs/>
                <w:sz w:val="24"/>
                <w:szCs w:val="24"/>
              </w:rPr>
            </w:pPr>
          </w:p>
          <w:p w:rsidR="00764E05" w:rsidRPr="003E147F" w:rsidRDefault="00764E05" w:rsidP="00764E05">
            <w:pPr>
              <w:rPr>
                <w:b/>
                <w:i/>
                <w:iCs/>
                <w:sz w:val="24"/>
                <w:szCs w:val="24"/>
              </w:rPr>
            </w:pPr>
            <w:r>
              <w:rPr>
                <w:i/>
                <w:iCs/>
                <w:sz w:val="24"/>
                <w:szCs w:val="24"/>
              </w:rPr>
              <w:t xml:space="preserve">          </w:t>
            </w:r>
            <w:r w:rsidRPr="003E147F">
              <w:rPr>
                <w:b/>
                <w:i/>
                <w:iCs/>
                <w:sz w:val="24"/>
                <w:szCs w:val="24"/>
              </w:rPr>
              <w:t>B</w:t>
            </w:r>
          </w:p>
        </w:tc>
      </w:tr>
      <w:tr w:rsidR="00764E05" w:rsidRPr="005C4B9C" w:rsidTr="00764E05">
        <w:trPr>
          <w:trHeight w:val="20"/>
        </w:trPr>
        <w:tc>
          <w:tcPr>
            <w:tcW w:w="9371" w:type="dxa"/>
            <w:gridSpan w:val="6"/>
            <w:shd w:val="pct25" w:color="auto" w:fill="auto"/>
          </w:tcPr>
          <w:p w:rsidR="00764E05" w:rsidRPr="00F14E8D" w:rsidRDefault="00764E05" w:rsidP="00764E05">
            <w:pPr>
              <w:spacing w:line="20" w:lineRule="atLeast"/>
              <w:ind w:hanging="55"/>
              <w:jc w:val="center"/>
              <w:rPr>
                <w:i/>
                <w:iCs/>
                <w:sz w:val="24"/>
                <w:szCs w:val="24"/>
                <w:highlight w:val="darkGray"/>
              </w:rPr>
            </w:pPr>
            <w:r w:rsidRPr="00F14E8D">
              <w:rPr>
                <w:b/>
                <w:sz w:val="24"/>
                <w:szCs w:val="24"/>
              </w:rPr>
              <w:t>Zjednodušenie prístupu ku konaniu a odstraňovanie byrokracie</w:t>
            </w:r>
          </w:p>
        </w:tc>
      </w:tr>
      <w:tr w:rsidR="00764E05" w:rsidRPr="005C4B9C" w:rsidTr="00764E05">
        <w:trPr>
          <w:trHeight w:val="20"/>
        </w:trPr>
        <w:tc>
          <w:tcPr>
            <w:tcW w:w="9371" w:type="dxa"/>
            <w:gridSpan w:val="6"/>
            <w:shd w:val="pct25" w:color="auto" w:fill="auto"/>
          </w:tcPr>
          <w:p w:rsidR="00764E05" w:rsidRPr="00F4692C" w:rsidRDefault="00764E05" w:rsidP="00764E05">
            <w:pPr>
              <w:spacing w:line="20" w:lineRule="atLeast"/>
              <w:ind w:hanging="55"/>
              <w:jc w:val="center"/>
              <w:rPr>
                <w:b/>
              </w:rPr>
            </w:pPr>
            <w:r>
              <w:rPr>
                <w:b/>
              </w:rPr>
              <w:lastRenderedPageBreak/>
              <w:t>Elektronické konanie</w:t>
            </w:r>
          </w:p>
        </w:tc>
      </w:tr>
      <w:tr w:rsidR="00764E05" w:rsidRPr="005C4B9C" w:rsidTr="00764E05">
        <w:trPr>
          <w:trHeight w:val="20"/>
        </w:trPr>
        <w:tc>
          <w:tcPr>
            <w:tcW w:w="3956" w:type="dxa"/>
          </w:tcPr>
          <w:p w:rsidR="00764E05" w:rsidRPr="005C4B9C" w:rsidRDefault="00764E05" w:rsidP="00764E05">
            <w:pPr>
              <w:jc w:val="both"/>
              <w:rPr>
                <w:b/>
              </w:rPr>
            </w:pPr>
            <w:r>
              <w:rPr>
                <w:b/>
              </w:rPr>
              <w:t xml:space="preserve">6.4.1. </w:t>
            </w:r>
            <w:r w:rsidRPr="00FA16FE">
              <w:t xml:space="preserve">Predpokladá predložený návrh </w:t>
            </w:r>
            <w:r>
              <w:t>vedenie konania o právach, právom chránených záujmoch alebo povinnostiach fyzických osôb a právnických osôb</w:t>
            </w:r>
            <w:r w:rsidRPr="00FA16FE">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1051428338"/>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200025544"/>
                  <w14:checkbox>
                    <w14:checked w14:val="1"/>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shd w:val="clear" w:color="auto" w:fill="auto"/>
          </w:tcPr>
          <w:p w:rsidR="00764E05" w:rsidRDefault="00764E05" w:rsidP="00764E05">
            <w:pPr>
              <w:rPr>
                <w:i/>
                <w:iCs/>
              </w:rPr>
            </w:pPr>
            <w:r w:rsidRPr="00FA16FE">
              <w:rPr>
                <w:i/>
                <w:iCs/>
              </w:rPr>
              <w:t xml:space="preserve">(Uveďte, o aké </w:t>
            </w:r>
            <w:r>
              <w:rPr>
                <w:i/>
                <w:iCs/>
              </w:rPr>
              <w:t>konanie ide.</w:t>
            </w:r>
            <w:r w:rsidRPr="00FA16FE">
              <w:rPr>
                <w:i/>
                <w:iCs/>
              </w:rPr>
              <w:t>)</w:t>
            </w:r>
          </w:p>
          <w:p w:rsidR="00764E05" w:rsidRPr="001D147D" w:rsidRDefault="00764E05" w:rsidP="00764E05">
            <w:pPr>
              <w:rPr>
                <w:iCs/>
                <w:sz w:val="24"/>
                <w:szCs w:val="24"/>
              </w:rPr>
            </w:pPr>
          </w:p>
        </w:tc>
      </w:tr>
      <w:tr w:rsidR="00764E05" w:rsidRPr="005C4B9C" w:rsidTr="00764E05">
        <w:trPr>
          <w:trHeight w:val="20"/>
        </w:trPr>
        <w:tc>
          <w:tcPr>
            <w:tcW w:w="3956" w:type="dxa"/>
          </w:tcPr>
          <w:p w:rsidR="00764E05" w:rsidRPr="005C4B9C" w:rsidRDefault="00764E05" w:rsidP="00764E05">
            <w:pPr>
              <w:jc w:val="both"/>
              <w:rPr>
                <w:b/>
              </w:rPr>
            </w:pPr>
            <w:r>
              <w:rPr>
                <w:b/>
              </w:rPr>
              <w:t xml:space="preserve">6.4.2. </w:t>
            </w:r>
            <w:r>
              <w:t>Je dané konanie možné v celku vykonať elektronicky</w:t>
            </w:r>
            <w:r w:rsidRPr="00FA16FE">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945843635"/>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31386459"/>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shd w:val="clear" w:color="auto" w:fill="auto"/>
          </w:tcPr>
          <w:p w:rsidR="00764E05" w:rsidRPr="005C4B9C" w:rsidRDefault="00764E05" w:rsidP="00764E05">
            <w:pPr>
              <w:rPr>
                <w:i/>
                <w:iCs/>
                <w:sz w:val="24"/>
                <w:szCs w:val="24"/>
              </w:rPr>
            </w:pPr>
            <w:r w:rsidRPr="00FA16FE">
              <w:rPr>
                <w:i/>
                <w:iCs/>
              </w:rPr>
              <w:t>(</w:t>
            </w:r>
            <w:r>
              <w:rPr>
                <w:i/>
                <w:iCs/>
              </w:rPr>
              <w:t>Ak sú niektoré úkony v konaní, alebo celé konanie viazané na listinnú podobu komunikácie, uveďte o aké ide a z akého dôvodu.</w:t>
            </w:r>
            <w:r w:rsidRPr="00FA16FE">
              <w:rPr>
                <w:i/>
                <w:iCs/>
              </w:rPr>
              <w:t>)</w:t>
            </w:r>
          </w:p>
        </w:tc>
      </w:tr>
      <w:tr w:rsidR="00764E05" w:rsidRPr="005C4B9C" w:rsidTr="00764E05">
        <w:trPr>
          <w:trHeight w:val="20"/>
        </w:trPr>
        <w:tc>
          <w:tcPr>
            <w:tcW w:w="3956" w:type="dxa"/>
          </w:tcPr>
          <w:p w:rsidR="00764E05" w:rsidRPr="005C4B9C" w:rsidRDefault="00764E05" w:rsidP="00764E05">
            <w:pPr>
              <w:jc w:val="both"/>
              <w:rPr>
                <w:b/>
              </w:rPr>
            </w:pPr>
            <w:r>
              <w:rPr>
                <w:b/>
              </w:rPr>
              <w:t xml:space="preserve">6.4.3. </w:t>
            </w:r>
            <w:r>
              <w:t>Je úprava konania kompatibilná s inštitútmi zákona o e-Governmente a je na dané konanie zákon o e-Governmente možné použiť?</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812871524"/>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441276830"/>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shd w:val="clear" w:color="auto" w:fill="auto"/>
          </w:tcPr>
          <w:p w:rsidR="00764E05" w:rsidRPr="005C4B9C" w:rsidRDefault="00764E05" w:rsidP="00764E05">
            <w:pPr>
              <w:rPr>
                <w:i/>
                <w:iCs/>
                <w:sz w:val="24"/>
                <w:szCs w:val="24"/>
              </w:rPr>
            </w:pPr>
            <w:r w:rsidRPr="00FA16FE">
              <w:rPr>
                <w:i/>
                <w:iCs/>
              </w:rPr>
              <w:t>(</w:t>
            </w:r>
            <w:r>
              <w:rPr>
                <w:i/>
                <w:iCs/>
              </w:rPr>
              <w:t>Ak úprava konania je odlišná od úpravy v zákone o e-Governmente alebo ak je použitie zákona o e-Governmente vylúčené, uveďte čoho sa to týka a z akého dôvodu.</w:t>
            </w:r>
            <w:r w:rsidRPr="00FA16FE">
              <w:rPr>
                <w:i/>
                <w:iCs/>
              </w:rPr>
              <w:t>)</w:t>
            </w:r>
          </w:p>
        </w:tc>
      </w:tr>
      <w:tr w:rsidR="00764E05" w:rsidRPr="005C4B9C" w:rsidTr="00764E05">
        <w:trPr>
          <w:trHeight w:val="20"/>
        </w:trPr>
        <w:tc>
          <w:tcPr>
            <w:tcW w:w="9371" w:type="dxa"/>
            <w:gridSpan w:val="6"/>
            <w:shd w:val="clear" w:color="auto" w:fill="BFBFBF" w:themeFill="background1" w:themeFillShade="BF"/>
          </w:tcPr>
          <w:p w:rsidR="00764E05" w:rsidRPr="00F4692C" w:rsidRDefault="00764E05" w:rsidP="00764E05">
            <w:pPr>
              <w:spacing w:line="20" w:lineRule="atLeast"/>
              <w:ind w:hanging="55"/>
              <w:jc w:val="center"/>
              <w:rPr>
                <w:i/>
                <w:iCs/>
              </w:rPr>
            </w:pPr>
            <w:r w:rsidRPr="00F4692C">
              <w:rPr>
                <w:b/>
              </w:rPr>
              <w:t>Zásada „jedenkrát a dosť“</w:t>
            </w:r>
          </w:p>
        </w:tc>
      </w:tr>
      <w:tr w:rsidR="00764E05" w:rsidRPr="005C4B9C" w:rsidTr="00764E05">
        <w:trPr>
          <w:trHeight w:val="20"/>
        </w:trPr>
        <w:tc>
          <w:tcPr>
            <w:tcW w:w="3956" w:type="dxa"/>
          </w:tcPr>
          <w:p w:rsidR="00764E05" w:rsidRPr="005C4B9C" w:rsidRDefault="00764E05" w:rsidP="00764E05">
            <w:pPr>
              <w:jc w:val="both"/>
              <w:rPr>
                <w:b/>
              </w:rPr>
            </w:pPr>
            <w:r>
              <w:rPr>
                <w:b/>
              </w:rPr>
              <w:t xml:space="preserve">6.5.1. </w:t>
            </w:r>
            <w:r w:rsidRPr="00F14E8D">
              <w:rPr>
                <w:bCs/>
              </w:rPr>
              <w:t>Predpokladá predložený návrh predklada</w:t>
            </w:r>
            <w:r>
              <w:rPr>
                <w:bCs/>
              </w:rPr>
              <w:t>nie</w:t>
            </w:r>
            <w:r w:rsidRPr="00F14E8D">
              <w:rPr>
                <w:bCs/>
              </w:rPr>
              <w:t xml:space="preserve"> dokument</w:t>
            </w:r>
            <w:r>
              <w:rPr>
                <w:bCs/>
              </w:rPr>
              <w:t>ov</w:t>
            </w:r>
            <w:r w:rsidRPr="00F14E8D">
              <w:rPr>
                <w:bCs/>
              </w:rPr>
              <w:t>, informáci</w:t>
            </w:r>
            <w:r>
              <w:rPr>
                <w:bCs/>
              </w:rPr>
              <w:t>í</w:t>
            </w:r>
            <w:r w:rsidRPr="00F14E8D">
              <w:rPr>
                <w:bCs/>
              </w:rPr>
              <w:t xml:space="preserve"> alebo preukazova</w:t>
            </w:r>
            <w:r>
              <w:rPr>
                <w:bCs/>
              </w:rPr>
              <w:t>nie</w:t>
            </w:r>
            <w:r w:rsidRPr="00F14E8D">
              <w:rPr>
                <w:bCs/>
              </w:rPr>
              <w:t xml:space="preserve"> skutočnost</w:t>
            </w:r>
            <w:r>
              <w:rPr>
                <w:bCs/>
              </w:rPr>
              <w:t>í</w:t>
            </w:r>
            <w:r w:rsidRPr="00F14E8D">
              <w:rPr>
                <w:bCs/>
              </w:rPr>
              <w:t xml:space="preserve"> (ďalej len „údaje“) orgánu, ktorý konanie vedie?</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43339831"/>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79453833"/>
                  <w14:checkbox>
                    <w14:checked w14:val="1"/>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Pr>
          <w:p w:rsidR="00764E05" w:rsidRDefault="00764E05" w:rsidP="00764E05">
            <w:pPr>
              <w:spacing w:line="20" w:lineRule="atLeast"/>
              <w:jc w:val="both"/>
              <w:rPr>
                <w:i/>
                <w:iCs/>
              </w:rPr>
            </w:pPr>
            <w:r w:rsidRPr="00FA16FE">
              <w:rPr>
                <w:i/>
                <w:iCs/>
              </w:rPr>
              <w:t>(Uveďte, o aké údaje ide a v akom konaní</w:t>
            </w:r>
            <w:r>
              <w:rPr>
                <w:i/>
                <w:iCs/>
              </w:rPr>
              <w:t>.</w:t>
            </w:r>
            <w:r w:rsidRPr="00FA16FE">
              <w:rPr>
                <w:i/>
                <w:iCs/>
              </w:rPr>
              <w:t>)</w:t>
            </w:r>
          </w:p>
          <w:p w:rsidR="00764E05" w:rsidRPr="00390CB5" w:rsidRDefault="00764E05" w:rsidP="00764E05">
            <w:pPr>
              <w:spacing w:line="20" w:lineRule="atLeast"/>
              <w:jc w:val="both"/>
              <w:rPr>
                <w:iCs/>
                <w:sz w:val="24"/>
                <w:szCs w:val="24"/>
              </w:rPr>
            </w:pPr>
          </w:p>
        </w:tc>
      </w:tr>
      <w:tr w:rsidR="00764E05" w:rsidRPr="005C4B9C" w:rsidTr="00764E05">
        <w:trPr>
          <w:trHeight w:val="20"/>
        </w:trPr>
        <w:tc>
          <w:tcPr>
            <w:tcW w:w="3956" w:type="dxa"/>
          </w:tcPr>
          <w:p w:rsidR="00764E05" w:rsidRPr="005C4B9C" w:rsidRDefault="00764E05" w:rsidP="00764E05">
            <w:pPr>
              <w:jc w:val="both"/>
              <w:rPr>
                <w:b/>
              </w:rPr>
            </w:pPr>
            <w:r>
              <w:rPr>
                <w:b/>
              </w:rPr>
              <w:t xml:space="preserve">6.5.2. </w:t>
            </w:r>
            <w:r w:rsidRPr="00F14E8D">
              <w:rPr>
                <w:bCs/>
              </w:rPr>
              <w:t xml:space="preserve">Predpokladá predložený návrh, aby </w:t>
            </w:r>
            <w:r>
              <w:rPr>
                <w:bCs/>
              </w:rPr>
              <w:t>sa</w:t>
            </w:r>
            <w:r w:rsidRPr="00F14E8D">
              <w:rPr>
                <w:bCs/>
              </w:rPr>
              <w:t xml:space="preserve"> predkladal</w:t>
            </w:r>
            <w:r>
              <w:rPr>
                <w:bCs/>
              </w:rPr>
              <w:t>i</w:t>
            </w:r>
            <w:r w:rsidRPr="00F14E8D">
              <w:rPr>
                <w:bCs/>
              </w:rPr>
              <w:t xml:space="preserve"> údaje, ktoré sa nachádzajú v zákonom ustanovenej evidencii</w:t>
            </w:r>
            <w:r>
              <w:rPr>
                <w:bCs/>
              </w:rPr>
              <w:t xml:space="preserve"> vedenej orgánom, ktorý konanie vedie alebo iným orgánom</w:t>
            </w:r>
            <w:r w:rsidRPr="00F14E8D">
              <w:rPr>
                <w:bCs/>
              </w:rPr>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450372319"/>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617261598"/>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Pr>
          <w:p w:rsidR="00764E05" w:rsidRDefault="00764E05" w:rsidP="00764E05">
            <w:pPr>
              <w:rPr>
                <w:i/>
                <w:iCs/>
              </w:rPr>
            </w:pPr>
            <w:r w:rsidRPr="00FA16FE">
              <w:rPr>
                <w:i/>
                <w:iCs/>
              </w:rPr>
              <w:t>(Uveďte, o</w:t>
            </w:r>
            <w:r>
              <w:rPr>
                <w:i/>
                <w:iCs/>
              </w:rPr>
              <w:t> </w:t>
            </w:r>
            <w:r w:rsidRPr="00FA16FE">
              <w:rPr>
                <w:i/>
                <w:iCs/>
              </w:rPr>
              <w:t>ak</w:t>
            </w:r>
            <w:r>
              <w:rPr>
                <w:i/>
                <w:iCs/>
              </w:rPr>
              <w:t>ú evidenciu ide.</w:t>
            </w:r>
            <w:r w:rsidRPr="00FA16FE">
              <w:rPr>
                <w:i/>
                <w:iCs/>
              </w:rPr>
              <w:t>)</w:t>
            </w:r>
          </w:p>
          <w:p w:rsidR="00764E05" w:rsidRPr="00390CB5" w:rsidRDefault="00764E05" w:rsidP="00764E05">
            <w:pPr>
              <w:rPr>
                <w:iCs/>
              </w:rPr>
            </w:pPr>
          </w:p>
        </w:tc>
      </w:tr>
      <w:tr w:rsidR="00764E05" w:rsidRPr="005C4B9C" w:rsidTr="00764E05">
        <w:trPr>
          <w:trHeight w:val="20"/>
        </w:trPr>
        <w:tc>
          <w:tcPr>
            <w:tcW w:w="3956" w:type="dxa"/>
          </w:tcPr>
          <w:p w:rsidR="00764E05" w:rsidRPr="005C4B9C" w:rsidRDefault="00764E05" w:rsidP="00764E05">
            <w:pPr>
              <w:jc w:val="both"/>
              <w:rPr>
                <w:b/>
              </w:rPr>
            </w:pPr>
            <w:r>
              <w:rPr>
                <w:b/>
              </w:rPr>
              <w:t xml:space="preserve">6.5.3. </w:t>
            </w:r>
            <w:r w:rsidRPr="00FA16FE">
              <w:t>Budú údaje poskytované režimom podľa zákona č. 177/2018 Z.z. v znení neskorších predpisov alebo iným obdobným spôsobom, ktorý zabezpečí, aby si údaje orgán</w:t>
            </w:r>
            <w:r>
              <w:t>, ktorý konanie vedie,</w:t>
            </w:r>
            <w:r w:rsidRPr="00FA16FE">
              <w:t xml:space="preserve"> získaval </w:t>
            </w:r>
            <w:r>
              <w:t>z úradnej moci</w:t>
            </w:r>
            <w:r w:rsidRPr="00FA16FE">
              <w:t xml:space="preserve"> a nemuseli mu byť predkladané</w:t>
            </w:r>
            <w:r>
              <w:t xml:space="preserve"> </w:t>
            </w:r>
            <w:r>
              <w:rPr>
                <w:bCs/>
              </w:rPr>
              <w:t xml:space="preserve">subjektom súkromného práva, </w:t>
            </w:r>
            <w:r w:rsidRPr="001E754E">
              <w:rPr>
                <w:bCs/>
              </w:rPr>
              <w:t>navrhovateľ</w:t>
            </w:r>
            <w:r>
              <w:rPr>
                <w:bCs/>
              </w:rPr>
              <w:t xml:space="preserve">om, </w:t>
            </w:r>
            <w:r w:rsidRPr="001E754E">
              <w:rPr>
                <w:bCs/>
              </w:rPr>
              <w:t>žiadateľ</w:t>
            </w:r>
            <w:r>
              <w:rPr>
                <w:bCs/>
              </w:rPr>
              <w:t>om, účastníkom konania (ďalej len „účastník konania“)</w:t>
            </w:r>
            <w:r w:rsidRPr="00FA16FE">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2115887386"/>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1730609562"/>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Pr>
          <w:p w:rsidR="00764E05" w:rsidRPr="005C4B9C" w:rsidRDefault="00764E05" w:rsidP="00764E05">
            <w:pPr>
              <w:rPr>
                <w:i/>
                <w:iCs/>
                <w:sz w:val="24"/>
                <w:szCs w:val="24"/>
              </w:rPr>
            </w:pPr>
            <w:r w:rsidRPr="00FA16FE">
              <w:rPr>
                <w:i/>
                <w:iCs/>
              </w:rPr>
              <w:t>(Uveďte</w:t>
            </w:r>
            <w:r>
              <w:rPr>
                <w:i/>
                <w:iCs/>
              </w:rPr>
              <w:t>, akým spôsobom budú údaje v konaní predkladané/preukazované. Ak sa vyžaduje predloženie účastníkom konania, uveďte dôvod.</w:t>
            </w:r>
            <w:r w:rsidRPr="00FA16FE">
              <w:rPr>
                <w:i/>
                <w:iCs/>
              </w:rPr>
              <w:t>)</w:t>
            </w:r>
          </w:p>
        </w:tc>
      </w:tr>
      <w:tr w:rsidR="00764E05" w:rsidRPr="005C4B9C" w:rsidTr="00764E05">
        <w:trPr>
          <w:trHeight w:val="20"/>
        </w:trPr>
        <w:tc>
          <w:tcPr>
            <w:tcW w:w="3956" w:type="dxa"/>
            <w:tcBorders>
              <w:bottom w:val="single" w:sz="4" w:space="0" w:color="auto"/>
            </w:tcBorders>
          </w:tcPr>
          <w:p w:rsidR="00764E05" w:rsidRPr="005C4B9C" w:rsidRDefault="00764E05" w:rsidP="00764E05">
            <w:pPr>
              <w:jc w:val="both"/>
              <w:rPr>
                <w:b/>
              </w:rPr>
            </w:pPr>
            <w:r>
              <w:rPr>
                <w:b/>
              </w:rPr>
              <w:t xml:space="preserve">6.5.4. </w:t>
            </w:r>
            <w:r w:rsidRPr="00FC10E0">
              <w:t xml:space="preserve">Ak </w:t>
            </w:r>
            <w:r>
              <w:t xml:space="preserve">si orgán, ktorý konanie vedie, údaje nebude získavať z úradnej moci ale mu budú predkladané účastníkom konania, </w:t>
            </w:r>
            <w:r w:rsidRPr="00FC10E0">
              <w:t xml:space="preserve">je v návrhu upravené prechodné obdobie, po ktorého uplynutí </w:t>
            </w:r>
            <w:r w:rsidRPr="00FA16FE">
              <w:t>si údaje orgán</w:t>
            </w:r>
            <w:r>
              <w:t>, ktorý konanie vedie, bude získavať z úradnej moci</w:t>
            </w:r>
            <w:r w:rsidRPr="00FC10E0">
              <w:t>?</w:t>
            </w:r>
          </w:p>
        </w:tc>
        <w:tc>
          <w:tcPr>
            <w:tcW w:w="1371"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2088412960"/>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439767500"/>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Borders>
              <w:bottom w:val="single" w:sz="4" w:space="0" w:color="auto"/>
            </w:tcBorders>
          </w:tcPr>
          <w:p w:rsidR="00764E05" w:rsidRPr="005C4B9C" w:rsidRDefault="00764E05" w:rsidP="00764E05">
            <w:pPr>
              <w:rPr>
                <w:i/>
                <w:iCs/>
                <w:sz w:val="24"/>
                <w:szCs w:val="24"/>
              </w:rPr>
            </w:pPr>
            <w:r w:rsidRPr="00FA16FE">
              <w:rPr>
                <w:i/>
                <w:iCs/>
              </w:rPr>
              <w:t>(Uveďte</w:t>
            </w:r>
            <w:r>
              <w:rPr>
                <w:i/>
                <w:iCs/>
              </w:rPr>
              <w:t>, akým spôsobom budú údaje v konaní predkladané/preukazované v budúcnosti. Ak sa vyžaduje predloženie účastníkom konania, uveďte dôvod.</w:t>
            </w:r>
            <w:r w:rsidRPr="00FA16FE">
              <w:rPr>
                <w:i/>
                <w:iCs/>
              </w:rPr>
              <w:t>)</w:t>
            </w:r>
          </w:p>
        </w:tc>
      </w:tr>
      <w:tr w:rsidR="00764E05" w:rsidRPr="005C4B9C" w:rsidTr="00764E05">
        <w:trPr>
          <w:trHeight w:val="20"/>
        </w:trPr>
        <w:tc>
          <w:tcPr>
            <w:tcW w:w="9371" w:type="dxa"/>
            <w:gridSpan w:val="6"/>
            <w:shd w:val="pct25" w:color="auto" w:fill="auto"/>
          </w:tcPr>
          <w:p w:rsidR="00764E05" w:rsidRPr="00F4692C" w:rsidRDefault="00764E05" w:rsidP="00764E05">
            <w:pPr>
              <w:spacing w:line="20" w:lineRule="atLeast"/>
              <w:ind w:hanging="55"/>
              <w:jc w:val="center"/>
              <w:rPr>
                <w:i/>
                <w:iCs/>
              </w:rPr>
            </w:pPr>
            <w:r w:rsidRPr="00F4692C">
              <w:rPr>
                <w:b/>
              </w:rPr>
              <w:lastRenderedPageBreak/>
              <w:t>Výmena údajov medzi orgánmi verejnej moci</w:t>
            </w:r>
          </w:p>
        </w:tc>
      </w:tr>
      <w:tr w:rsidR="00764E05" w:rsidRPr="005C4B9C" w:rsidTr="00764E05">
        <w:trPr>
          <w:trHeight w:val="20"/>
        </w:trPr>
        <w:tc>
          <w:tcPr>
            <w:tcW w:w="3956" w:type="dxa"/>
          </w:tcPr>
          <w:p w:rsidR="00764E05" w:rsidRPr="005C4B9C" w:rsidRDefault="00764E05" w:rsidP="00764E05">
            <w:pPr>
              <w:jc w:val="both"/>
              <w:rPr>
                <w:b/>
              </w:rPr>
            </w:pPr>
            <w:r>
              <w:rPr>
                <w:b/>
              </w:rPr>
              <w:t xml:space="preserve">6.6.1. </w:t>
            </w:r>
            <w:r>
              <w:t>Predpokladá predložený návrh zriadenie novej evidencie údajov alebo upravuje vedenie evidencie údajov</w:t>
            </w:r>
            <w:r w:rsidRPr="00FC10E0">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581141114"/>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561481988"/>
                  <w14:checkbox>
                    <w14:checked w14:val="1"/>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Pr>
          <w:p w:rsidR="00764E05" w:rsidRDefault="00764E05" w:rsidP="00764E05">
            <w:pPr>
              <w:rPr>
                <w:i/>
                <w:iCs/>
              </w:rPr>
            </w:pPr>
            <w:r w:rsidRPr="00FA16FE">
              <w:rPr>
                <w:i/>
                <w:iCs/>
              </w:rPr>
              <w:t>(Uveďte</w:t>
            </w:r>
            <w:r>
              <w:rPr>
                <w:i/>
                <w:iCs/>
              </w:rPr>
              <w:t>, aká nová evidencia údajov sa zriaďuje, resp. akú evidenciu údajov návrh upravuje.</w:t>
            </w:r>
            <w:r w:rsidRPr="00FA16FE">
              <w:rPr>
                <w:i/>
                <w:iCs/>
              </w:rPr>
              <w:t>)</w:t>
            </w:r>
          </w:p>
          <w:p w:rsidR="00764E05" w:rsidRPr="00390CB5" w:rsidRDefault="00764E05" w:rsidP="00764E05">
            <w:pPr>
              <w:rPr>
                <w:iCs/>
              </w:rPr>
            </w:pPr>
          </w:p>
        </w:tc>
      </w:tr>
      <w:tr w:rsidR="00764E05" w:rsidRPr="005C4B9C" w:rsidTr="00764E05">
        <w:trPr>
          <w:trHeight w:val="20"/>
        </w:trPr>
        <w:tc>
          <w:tcPr>
            <w:tcW w:w="3956" w:type="dxa"/>
          </w:tcPr>
          <w:p w:rsidR="00764E05" w:rsidRPr="005C4B9C" w:rsidRDefault="00764E05" w:rsidP="00764E05">
            <w:pPr>
              <w:jc w:val="both"/>
              <w:rPr>
                <w:b/>
              </w:rPr>
            </w:pPr>
            <w:r>
              <w:rPr>
                <w:b/>
              </w:rPr>
              <w:t xml:space="preserve">6.6.2. </w:t>
            </w:r>
            <w: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1434169894"/>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1288507644"/>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Pr>
          <w:p w:rsidR="00764E05" w:rsidRDefault="00764E05" w:rsidP="00764E05">
            <w:pPr>
              <w:rPr>
                <w:i/>
                <w:iCs/>
              </w:rPr>
            </w:pPr>
            <w:r w:rsidRPr="00FA16FE">
              <w:rPr>
                <w:i/>
                <w:iCs/>
              </w:rPr>
              <w:t>(Uveďte</w:t>
            </w:r>
            <w:r>
              <w:rPr>
                <w:i/>
                <w:iCs/>
              </w:rPr>
              <w:t>, ktorým orgánom verejnej moci, resp. iným osobám nie je možné údaje z evidencie poskytnúť, aj ak ich na plnenie zákonných úloh potrebujú a z akého dôvodu.</w:t>
            </w:r>
            <w:r w:rsidRPr="00FA16FE">
              <w:rPr>
                <w:i/>
                <w:iCs/>
              </w:rPr>
              <w:t>)</w:t>
            </w:r>
          </w:p>
          <w:p w:rsidR="00764E05" w:rsidRPr="00390CB5" w:rsidRDefault="00764E05" w:rsidP="00764E05">
            <w:pPr>
              <w:rPr>
                <w:iCs/>
                <w:sz w:val="24"/>
                <w:szCs w:val="24"/>
              </w:rPr>
            </w:pPr>
          </w:p>
        </w:tc>
      </w:tr>
      <w:tr w:rsidR="00764E05" w:rsidRPr="005C4B9C" w:rsidTr="00764E05">
        <w:trPr>
          <w:trHeight w:val="20"/>
        </w:trPr>
        <w:tc>
          <w:tcPr>
            <w:tcW w:w="3956" w:type="dxa"/>
          </w:tcPr>
          <w:p w:rsidR="00764E05" w:rsidRPr="005C4B9C" w:rsidRDefault="00764E05" w:rsidP="00764E05">
            <w:pPr>
              <w:jc w:val="both"/>
              <w:rPr>
                <w:b/>
              </w:rPr>
            </w:pPr>
            <w:r>
              <w:rPr>
                <w:b/>
              </w:rPr>
              <w:t xml:space="preserve">6.6.3. </w:t>
            </w:r>
            <w:r>
              <w:t>Je zabezpečené poskytovanie údajov z evidencie elektronicky a automatizovaným spôsobom</w:t>
            </w:r>
            <w:r w:rsidRPr="00FC10E0">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1355335144"/>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116884503"/>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Pr>
          <w:p w:rsidR="00764E05" w:rsidRPr="005C4B9C" w:rsidRDefault="00764E05" w:rsidP="00764E05">
            <w:pPr>
              <w:rPr>
                <w:i/>
                <w:iCs/>
                <w:sz w:val="24"/>
                <w:szCs w:val="24"/>
              </w:rPr>
            </w:pPr>
            <w:r w:rsidRPr="00FA16FE">
              <w:rPr>
                <w:i/>
                <w:iCs/>
              </w:rPr>
              <w:t>(Uveďte</w:t>
            </w:r>
            <w:r>
              <w:rPr>
                <w:i/>
                <w:iCs/>
              </w:rPr>
              <w:t>,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A16FE">
              <w:rPr>
                <w:i/>
                <w:iCs/>
              </w:rPr>
              <w:t>)</w:t>
            </w:r>
            <w:r>
              <w:t xml:space="preserve"> </w:t>
            </w:r>
          </w:p>
        </w:tc>
      </w:tr>
      <w:tr w:rsidR="00764E05" w:rsidRPr="005C4B9C" w:rsidTr="00764E05">
        <w:trPr>
          <w:trHeight w:val="20"/>
        </w:trPr>
        <w:tc>
          <w:tcPr>
            <w:tcW w:w="3956" w:type="dxa"/>
          </w:tcPr>
          <w:p w:rsidR="00764E05" w:rsidRPr="005C4B9C" w:rsidRDefault="00764E05" w:rsidP="00764E05">
            <w:pPr>
              <w:jc w:val="both"/>
              <w:rPr>
                <w:b/>
              </w:rPr>
            </w:pPr>
            <w:r>
              <w:rPr>
                <w:b/>
              </w:rPr>
              <w:t xml:space="preserve">6.6.4. </w:t>
            </w:r>
            <w:r>
              <w:t xml:space="preserve">Je na poskytovanie údajov z evidencie využitý režim podľa zákona č. </w:t>
            </w:r>
            <w:r w:rsidRPr="00FA16FE">
              <w:t>177/2018 Z.z. v znení neskorších predpisov</w:t>
            </w:r>
            <w:r>
              <w:t>?</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295379826"/>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1689520971"/>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Pr="00FA16FE" w:rsidRDefault="00764E05" w:rsidP="00764E05">
            <w:pPr>
              <w:rPr>
                <w:sz w:val="24"/>
                <w:szCs w:val="24"/>
              </w:rPr>
            </w:pPr>
          </w:p>
        </w:tc>
        <w:tc>
          <w:tcPr>
            <w:tcW w:w="4044" w:type="dxa"/>
            <w:gridSpan w:val="4"/>
          </w:tcPr>
          <w:p w:rsidR="00764E05" w:rsidRDefault="00764E05" w:rsidP="00764E05">
            <w:pPr>
              <w:rPr>
                <w:i/>
                <w:iCs/>
              </w:rPr>
            </w:pPr>
            <w:r w:rsidRPr="00FA16FE">
              <w:rPr>
                <w:i/>
                <w:iCs/>
              </w:rPr>
              <w:t>(Uveďte</w:t>
            </w:r>
            <w:r>
              <w:rPr>
                <w:i/>
                <w:iCs/>
              </w:rPr>
              <w:t>, ako je na zákonnej úrovni inštitucionalizované elektronické a automatizované poskytovanie údajov z evidencie, akým režimom sa riadi. Ak je použitie zákona č. 177/2018 Z.z. v znení neskorších predpisov vylúčené, uveďte dôvod.</w:t>
            </w:r>
            <w:r w:rsidRPr="00FA16FE">
              <w:rPr>
                <w:i/>
                <w:iCs/>
              </w:rPr>
              <w:t>)</w:t>
            </w:r>
          </w:p>
          <w:p w:rsidR="00764E05" w:rsidRPr="002E601D" w:rsidRDefault="00764E05" w:rsidP="00764E05">
            <w:pPr>
              <w:rPr>
                <w:iCs/>
                <w:sz w:val="24"/>
                <w:szCs w:val="24"/>
              </w:rPr>
            </w:pPr>
          </w:p>
        </w:tc>
      </w:tr>
      <w:tr w:rsidR="00764E05" w:rsidRPr="005C4B9C" w:rsidTr="00764E05">
        <w:trPr>
          <w:trHeight w:val="20"/>
        </w:trPr>
        <w:tc>
          <w:tcPr>
            <w:tcW w:w="9371" w:type="dxa"/>
            <w:gridSpan w:val="6"/>
            <w:shd w:val="clear" w:color="auto" w:fill="A6A6A6" w:themeFill="background1" w:themeFillShade="A6"/>
          </w:tcPr>
          <w:p w:rsidR="00764E05" w:rsidRPr="00FA16FE" w:rsidRDefault="00764E05" w:rsidP="00764E05">
            <w:pPr>
              <w:spacing w:line="20" w:lineRule="atLeast"/>
              <w:ind w:hanging="55"/>
              <w:jc w:val="center"/>
              <w:rPr>
                <w:i/>
                <w:iCs/>
              </w:rPr>
            </w:pPr>
            <w:r>
              <w:rPr>
                <w:b/>
              </w:rPr>
              <w:t>Referenčné údaje</w:t>
            </w:r>
          </w:p>
        </w:tc>
      </w:tr>
      <w:tr w:rsidR="00764E05" w:rsidRPr="005C4B9C" w:rsidTr="00764E05">
        <w:trPr>
          <w:trHeight w:val="20"/>
        </w:trPr>
        <w:tc>
          <w:tcPr>
            <w:tcW w:w="3956" w:type="dxa"/>
          </w:tcPr>
          <w:p w:rsidR="00764E05" w:rsidRPr="00F14E8D" w:rsidRDefault="00764E05" w:rsidP="00764E05">
            <w:pPr>
              <w:jc w:val="both"/>
            </w:pPr>
            <w:r w:rsidRPr="002003D2">
              <w:rPr>
                <w:b/>
                <w:bCs/>
              </w:rPr>
              <w:t>6.</w:t>
            </w:r>
            <w:r w:rsidRPr="00556083">
              <w:rPr>
                <w:b/>
                <w:bCs/>
              </w:rPr>
              <w:t>7.1</w:t>
            </w:r>
            <w:r w:rsidRPr="00867E33">
              <w:rPr>
                <w:b/>
                <w:bCs/>
              </w:rPr>
              <w:t>.</w:t>
            </w:r>
            <w:r w:rsidRPr="00F14E8D">
              <w:t xml:space="preserve"> Predpokladá predložený návrh zriadenie novej evidencie údajov</w:t>
            </w:r>
            <w:r>
              <w:t xml:space="preserve"> alebo upravuje vedenie evidencie údajov</w:t>
            </w:r>
            <w:r w:rsidRPr="00F14E8D">
              <w:t xml:space="preserve">, </w:t>
            </w:r>
            <w:r>
              <w:t>ktoré budú navrhnuté na zaradenie</w:t>
            </w:r>
            <w:r w:rsidRPr="00F14E8D">
              <w:t xml:space="preserve"> do </w:t>
            </w:r>
            <w:r>
              <w:t>z</w:t>
            </w:r>
            <w:r w:rsidRPr="00F14E8D">
              <w:t xml:space="preserve">oznamu referenčných údajov </w:t>
            </w:r>
            <w:r>
              <w:t>podľa</w:t>
            </w:r>
            <w:r w:rsidRPr="00F14E8D">
              <w:t xml:space="preserve"> § 51 zákona č. 305/20</w:t>
            </w:r>
            <w:r>
              <w:t>1</w:t>
            </w:r>
            <w:r w:rsidRPr="00F14E8D">
              <w:t>3 Z.z. o e-Governmente?</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sdt>
                <w:sdtPr>
                  <w:id w:val="-677810283"/>
                  <w14:checkbox>
                    <w14:checked w14:val="0"/>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Áno</w:t>
                  </w:r>
                </w:p>
              </w:tc>
            </w:tr>
            <w:tr w:rsidR="00764E05" w:rsidRPr="00F04CCD" w:rsidTr="00764E05">
              <w:sdt>
                <w:sdtPr>
                  <w:id w:val="-159857975"/>
                  <w14:checkbox>
                    <w14:checked w14:val="1"/>
                    <w14:checkedState w14:val="2612" w14:font="MS Gothic"/>
                    <w14:uncheckedState w14:val="2610" w14:font="MS Gothic"/>
                  </w14:checkbox>
                </w:sdtPr>
                <w:sdtEndPr/>
                <w:sdtContent>
                  <w:tc>
                    <w:tcPr>
                      <w:tcW w:w="436" w:type="dxa"/>
                    </w:tcPr>
                    <w:p w:rsidR="00764E05" w:rsidRPr="00F04CCD" w:rsidRDefault="00764E05" w:rsidP="00764E05">
                      <w:pPr>
                        <w:jc w:val="center"/>
                      </w:pPr>
                      <w:r>
                        <w:rPr>
                          <w:rFonts w:ascii="MS Gothic" w:eastAsia="MS Gothic" w:hAnsi="MS Gothic" w:hint="eastAsia"/>
                        </w:rPr>
                        <w:t>☒</w:t>
                      </w:r>
                    </w:p>
                  </w:tc>
                </w:sdtContent>
              </w:sdt>
              <w:tc>
                <w:tcPr>
                  <w:tcW w:w="8545" w:type="dxa"/>
                </w:tcPr>
                <w:p w:rsidR="00764E05" w:rsidRPr="00F04CCD" w:rsidRDefault="00764E05" w:rsidP="00764E05">
                  <w:pPr>
                    <w:rPr>
                      <w:b/>
                    </w:rPr>
                  </w:pPr>
                  <w:r>
                    <w:rPr>
                      <w:b/>
                    </w:rPr>
                    <w:t>Nie</w:t>
                  </w:r>
                </w:p>
              </w:tc>
            </w:tr>
          </w:tbl>
          <w:p w:rsidR="00764E05" w:rsidRDefault="00764E05" w:rsidP="00764E05">
            <w:pPr>
              <w:jc w:val="center"/>
            </w:pPr>
          </w:p>
        </w:tc>
        <w:tc>
          <w:tcPr>
            <w:tcW w:w="4044" w:type="dxa"/>
            <w:gridSpan w:val="4"/>
          </w:tcPr>
          <w:p w:rsidR="00764E05" w:rsidRPr="00FA16FE" w:rsidRDefault="00764E05" w:rsidP="00764E05">
            <w:pPr>
              <w:rPr>
                <w:i/>
                <w:iCs/>
              </w:rPr>
            </w:pPr>
            <w:r w:rsidRPr="00FA16FE">
              <w:rPr>
                <w:i/>
                <w:iCs/>
              </w:rPr>
              <w:t>(Uveďte</w:t>
            </w:r>
            <w:r>
              <w:rPr>
                <w:i/>
                <w:iCs/>
              </w:rPr>
              <w:t>, aká nová evidencia údajov sa zriaďuje, resp. akú evidenciu údajov návrh upravuje a ktoré údaje z nej budú navrhnuté na zaradenie do zoznamu referenčných údajov. Ak sa neplánuje zaradenie žiadnych údajov, uveďte dôvod</w:t>
            </w:r>
            <w:r w:rsidRPr="00FA16FE">
              <w:rPr>
                <w:i/>
                <w:iCs/>
              </w:rPr>
              <w:t>)</w:t>
            </w:r>
          </w:p>
        </w:tc>
      </w:tr>
      <w:tr w:rsidR="00764E05" w:rsidRPr="005C4B9C" w:rsidTr="00764E05">
        <w:trPr>
          <w:trHeight w:val="20"/>
        </w:trPr>
        <w:tc>
          <w:tcPr>
            <w:tcW w:w="3956" w:type="dxa"/>
          </w:tcPr>
          <w:p w:rsidR="00764E05" w:rsidRPr="00F14E8D" w:rsidRDefault="00764E05" w:rsidP="00764E05">
            <w:pPr>
              <w:jc w:val="both"/>
            </w:pPr>
            <w:r w:rsidRPr="002003D2">
              <w:rPr>
                <w:b/>
                <w:bCs/>
              </w:rPr>
              <w:t>6.</w:t>
            </w:r>
            <w:r w:rsidRPr="001E754E">
              <w:rPr>
                <w:b/>
                <w:bCs/>
              </w:rPr>
              <w:t>7.</w:t>
            </w:r>
            <w:r>
              <w:rPr>
                <w:b/>
                <w:bCs/>
              </w:rPr>
              <w:t>2</w:t>
            </w:r>
            <w:r w:rsidRPr="001E754E">
              <w:rPr>
                <w:b/>
                <w:bCs/>
              </w:rPr>
              <w:t>.</w:t>
            </w:r>
            <w:r w:rsidRPr="001E754E">
              <w:t xml:space="preserve"> </w:t>
            </w:r>
            <w:r>
              <w:t>Kedy je plánované zaradenie údajov z evidencie do zoznamu referenčných údajov podľa</w:t>
            </w:r>
            <w:r w:rsidRPr="001E754E">
              <w:t xml:space="preserve"> § 51 zákona č. 305/20</w:t>
            </w:r>
            <w:r>
              <w:t>1</w:t>
            </w:r>
            <w:r w:rsidRPr="001E754E">
              <w:t>3 Z.z. o e-Governmente?</w:t>
            </w:r>
          </w:p>
        </w:tc>
        <w:tc>
          <w:tcPr>
            <w:tcW w:w="137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64E05" w:rsidRPr="00F04CCD" w:rsidTr="00764E05">
              <w:tc>
                <w:tcPr>
                  <w:tcW w:w="436" w:type="dxa"/>
                </w:tcPr>
                <w:p w:rsidR="00764E05" w:rsidRPr="00F04CCD" w:rsidRDefault="00764E05" w:rsidP="00764E05">
                  <w:pPr>
                    <w:jc w:val="center"/>
                  </w:pPr>
                </w:p>
              </w:tc>
              <w:tc>
                <w:tcPr>
                  <w:tcW w:w="8545" w:type="dxa"/>
                </w:tcPr>
                <w:p w:rsidR="00764E05" w:rsidRPr="00F04CCD" w:rsidRDefault="00764E05" w:rsidP="00764E05">
                  <w:pPr>
                    <w:rPr>
                      <w:b/>
                    </w:rPr>
                  </w:pPr>
                </w:p>
              </w:tc>
            </w:tr>
            <w:tr w:rsidR="00764E05" w:rsidRPr="00F04CCD" w:rsidTr="00764E05">
              <w:tc>
                <w:tcPr>
                  <w:tcW w:w="436" w:type="dxa"/>
                </w:tcPr>
                <w:p w:rsidR="00764E05" w:rsidRPr="00F04CCD" w:rsidRDefault="00764E05" w:rsidP="00764E05">
                  <w:pPr>
                    <w:jc w:val="center"/>
                  </w:pPr>
                </w:p>
              </w:tc>
              <w:tc>
                <w:tcPr>
                  <w:tcW w:w="8545" w:type="dxa"/>
                </w:tcPr>
                <w:p w:rsidR="00764E05" w:rsidRPr="00F04CCD" w:rsidRDefault="00764E05" w:rsidP="00764E05">
                  <w:pPr>
                    <w:rPr>
                      <w:b/>
                    </w:rPr>
                  </w:pPr>
                </w:p>
              </w:tc>
            </w:tr>
          </w:tbl>
          <w:p w:rsidR="00764E05" w:rsidRDefault="00764E05" w:rsidP="00764E05">
            <w:pPr>
              <w:jc w:val="center"/>
            </w:pPr>
          </w:p>
        </w:tc>
        <w:tc>
          <w:tcPr>
            <w:tcW w:w="4044" w:type="dxa"/>
            <w:gridSpan w:val="4"/>
          </w:tcPr>
          <w:p w:rsidR="00764E05" w:rsidRPr="00FA16FE" w:rsidRDefault="00764E05" w:rsidP="00764E05">
            <w:pPr>
              <w:rPr>
                <w:i/>
                <w:iCs/>
              </w:rPr>
            </w:pPr>
            <w:r w:rsidRPr="00FA16FE">
              <w:rPr>
                <w:i/>
                <w:iCs/>
              </w:rPr>
              <w:t>(Uveďte</w:t>
            </w:r>
            <w:r>
              <w:rPr>
                <w:i/>
                <w:iCs/>
              </w:rPr>
              <w:t>, kedy sa plánuje zaradenie vyššie uvedených údajov do zoznamu referenčných údajov.</w:t>
            </w:r>
            <w:r w:rsidRPr="00FA16FE">
              <w:rPr>
                <w:i/>
                <w:iCs/>
              </w:rPr>
              <w:t>)</w:t>
            </w:r>
          </w:p>
        </w:tc>
      </w:tr>
    </w:tbl>
    <w:p w:rsidR="00764E05" w:rsidRDefault="00764E05" w:rsidP="00764E05">
      <w:pPr>
        <w:pStyle w:val="Nzov"/>
      </w:pPr>
    </w:p>
    <w:p w:rsidR="006A6B44" w:rsidRDefault="006A6B44" w:rsidP="00764E05">
      <w:pPr>
        <w:pStyle w:val="Nzov"/>
        <w:sectPr w:rsidR="006A6B44" w:rsidSect="001733E1">
          <w:headerReference w:type="default" r:id="rId84"/>
          <w:footerReference w:type="default" r:id="rId85"/>
          <w:pgSz w:w="11906" w:h="16838"/>
          <w:pgMar w:top="1417" w:right="1417" w:bottom="1417" w:left="1417" w:header="708" w:footer="708" w:gutter="0"/>
          <w:cols w:space="708"/>
          <w:docGrid w:linePitch="360"/>
        </w:sectPr>
      </w:pPr>
    </w:p>
    <w:p w:rsidR="00764E05" w:rsidRPr="00181470" w:rsidRDefault="00764E05" w:rsidP="00764E05">
      <w:pPr>
        <w:pStyle w:val="Nzov"/>
      </w:pPr>
      <w:r w:rsidRPr="00181470">
        <w:lastRenderedPageBreak/>
        <w:t>DOLOŽKA ZLUČITEĽNOSTI</w:t>
      </w:r>
    </w:p>
    <w:p w:rsidR="00764E05" w:rsidRPr="00181470" w:rsidRDefault="00764E05" w:rsidP="00764E05">
      <w:pPr>
        <w:pStyle w:val="Zkladntext0"/>
        <w:pBdr>
          <w:bottom w:val="single" w:sz="12" w:space="1" w:color="auto"/>
        </w:pBdr>
        <w:jc w:val="center"/>
        <w:rPr>
          <w:b/>
          <w:bCs/>
          <w:szCs w:val="24"/>
        </w:rPr>
      </w:pPr>
    </w:p>
    <w:p w:rsidR="00764E05" w:rsidRPr="00181470" w:rsidRDefault="00764E05" w:rsidP="00764E05">
      <w:pPr>
        <w:pStyle w:val="Zkladntext0"/>
        <w:pBdr>
          <w:bottom w:val="single" w:sz="12" w:space="1" w:color="auto"/>
        </w:pBdr>
        <w:jc w:val="center"/>
        <w:rPr>
          <w:b/>
          <w:bCs/>
          <w:szCs w:val="24"/>
        </w:rPr>
      </w:pPr>
      <w:r w:rsidRPr="00181470">
        <w:rPr>
          <w:b/>
          <w:bCs/>
          <w:szCs w:val="24"/>
        </w:rPr>
        <w:t xml:space="preserve">návrhu </w:t>
      </w:r>
      <w:r>
        <w:rPr>
          <w:b/>
          <w:szCs w:val="24"/>
        </w:rPr>
        <w:t xml:space="preserve">zákona </w:t>
      </w:r>
      <w:r w:rsidRPr="00181470">
        <w:rPr>
          <w:b/>
          <w:bCs/>
          <w:szCs w:val="24"/>
        </w:rPr>
        <w:t>s právom Európskej únie</w:t>
      </w:r>
    </w:p>
    <w:p w:rsidR="00764E05" w:rsidRPr="00181470" w:rsidRDefault="00764E05" w:rsidP="00764E05">
      <w:pPr>
        <w:pStyle w:val="Zkladntext0"/>
        <w:pBdr>
          <w:bottom w:val="single" w:sz="12" w:space="1" w:color="auto"/>
        </w:pBdr>
        <w:jc w:val="center"/>
        <w:rPr>
          <w:b/>
          <w:bCs/>
          <w:szCs w:val="24"/>
        </w:rPr>
      </w:pPr>
    </w:p>
    <w:p w:rsidR="00764E05" w:rsidRPr="00181470" w:rsidRDefault="00764E05" w:rsidP="00764E05">
      <w:pPr>
        <w:pStyle w:val="Zkladntext0"/>
        <w:jc w:val="both"/>
        <w:rPr>
          <w:szCs w:val="24"/>
        </w:rPr>
      </w:pPr>
    </w:p>
    <w:p w:rsidR="00764E05" w:rsidRPr="00181470" w:rsidRDefault="00764E05" w:rsidP="00764E05">
      <w:pPr>
        <w:jc w:val="center"/>
        <w:rPr>
          <w:rFonts w:ascii="Times New Roman" w:hAnsi="Times New Roman" w:cs="Times New Roman"/>
          <w:b/>
          <w:bCs/>
        </w:rPr>
      </w:pPr>
    </w:p>
    <w:p w:rsidR="00764E05" w:rsidRPr="00181470" w:rsidRDefault="00764E05" w:rsidP="00764E05">
      <w:pPr>
        <w:numPr>
          <w:ilvl w:val="0"/>
          <w:numId w:val="32"/>
        </w:numPr>
        <w:spacing w:after="0" w:line="240" w:lineRule="auto"/>
        <w:jc w:val="both"/>
        <w:rPr>
          <w:rFonts w:ascii="Times New Roman" w:hAnsi="Times New Roman" w:cs="Times New Roman"/>
        </w:rPr>
      </w:pPr>
      <w:r w:rsidRPr="00181470">
        <w:rPr>
          <w:rFonts w:ascii="Times New Roman" w:hAnsi="Times New Roman" w:cs="Times New Roman"/>
          <w:b/>
          <w:bCs/>
        </w:rPr>
        <w:t>Navrhovateľ zákona:</w:t>
      </w:r>
    </w:p>
    <w:p w:rsidR="00764E05" w:rsidRDefault="00764E05" w:rsidP="00764E05">
      <w:pPr>
        <w:ind w:firstLine="425"/>
        <w:jc w:val="both"/>
        <w:rPr>
          <w:rFonts w:ascii="Times New Roman" w:hAnsi="Times New Roman" w:cs="Times New Roman"/>
        </w:rPr>
      </w:pPr>
      <w:r>
        <w:rPr>
          <w:rFonts w:ascii="Times New Roman" w:hAnsi="Times New Roman" w:cs="Times New Roman"/>
        </w:rPr>
        <w:t>Ministerstvo financií Slovenskej republiky</w:t>
      </w:r>
      <w:r w:rsidRPr="00181470">
        <w:rPr>
          <w:rFonts w:ascii="Times New Roman" w:hAnsi="Times New Roman" w:cs="Times New Roman"/>
        </w:rPr>
        <w:t xml:space="preserve"> </w:t>
      </w:r>
    </w:p>
    <w:p w:rsidR="00764E05" w:rsidRPr="00B648DC" w:rsidRDefault="00764E05" w:rsidP="00764E05">
      <w:pPr>
        <w:ind w:firstLine="425"/>
        <w:jc w:val="both"/>
        <w:rPr>
          <w:rFonts w:ascii="Times New Roman" w:hAnsi="Times New Roman" w:cs="Times New Roman"/>
        </w:rPr>
      </w:pPr>
    </w:p>
    <w:p w:rsidR="00764E05" w:rsidRPr="00181470" w:rsidRDefault="00764E05" w:rsidP="00764E05">
      <w:pPr>
        <w:numPr>
          <w:ilvl w:val="0"/>
          <w:numId w:val="32"/>
        </w:numPr>
        <w:spacing w:after="0" w:line="240" w:lineRule="auto"/>
        <w:jc w:val="both"/>
        <w:rPr>
          <w:rFonts w:ascii="Times New Roman" w:hAnsi="Times New Roman" w:cs="Times New Roman"/>
          <w:b/>
          <w:bCs/>
        </w:rPr>
      </w:pPr>
      <w:r w:rsidRPr="00181470">
        <w:rPr>
          <w:rFonts w:ascii="Times New Roman" w:hAnsi="Times New Roman" w:cs="Times New Roman"/>
          <w:b/>
          <w:bCs/>
        </w:rPr>
        <w:t>Názov návrhu zákona:</w:t>
      </w:r>
    </w:p>
    <w:p w:rsidR="00764E05" w:rsidRPr="00577313" w:rsidRDefault="00764E05" w:rsidP="00764E05">
      <w:pPr>
        <w:ind w:left="426"/>
        <w:jc w:val="both"/>
        <w:rPr>
          <w:rFonts w:ascii="Times New Roman" w:hAnsi="Times New Roman" w:cs="Times New Roman"/>
        </w:rPr>
      </w:pPr>
      <w:r w:rsidRPr="00627280">
        <w:rPr>
          <w:rFonts w:ascii="Times New Roman" w:hAnsi="Times New Roman" w:cs="Times New Roman"/>
        </w:rPr>
        <w:t>Návrh zákona, ktorým sa menia a dopĺňajú niektoré zákony v súvislosti so zlepšením stavu verejných financií</w:t>
      </w:r>
      <w:r w:rsidRPr="00577313">
        <w:rPr>
          <w:rFonts w:ascii="Times New Roman" w:hAnsi="Times New Roman" w:cs="Times New Roman"/>
        </w:rPr>
        <w:t xml:space="preserve"> </w:t>
      </w:r>
    </w:p>
    <w:p w:rsidR="00764E05" w:rsidRPr="00181470" w:rsidRDefault="00764E05" w:rsidP="00764E05">
      <w:pPr>
        <w:jc w:val="both"/>
        <w:rPr>
          <w:rFonts w:ascii="Times New Roman" w:hAnsi="Times New Roman" w:cs="Times New Roman"/>
          <w:bCs/>
        </w:rPr>
      </w:pPr>
    </w:p>
    <w:p w:rsidR="00764E05" w:rsidRPr="001C19A1" w:rsidRDefault="00764E05" w:rsidP="00764E05">
      <w:pPr>
        <w:numPr>
          <w:ilvl w:val="0"/>
          <w:numId w:val="32"/>
        </w:numPr>
        <w:spacing w:after="0" w:line="240" w:lineRule="auto"/>
        <w:jc w:val="both"/>
        <w:rPr>
          <w:rFonts w:ascii="Times New Roman" w:hAnsi="Times New Roman" w:cs="Times New Roman"/>
          <w:b/>
          <w:bCs/>
        </w:rPr>
      </w:pPr>
      <w:r w:rsidRPr="00181470">
        <w:rPr>
          <w:rFonts w:ascii="Times New Roman" w:hAnsi="Times New Roman" w:cs="Times New Roman"/>
          <w:b/>
          <w:bCs/>
        </w:rPr>
        <w:t xml:space="preserve">Predmet návrhu zákona </w:t>
      </w:r>
      <w:r w:rsidRPr="00181470">
        <w:rPr>
          <w:rFonts w:ascii="Times New Roman" w:hAnsi="Times New Roman" w:cs="Times New Roman"/>
          <w:b/>
        </w:rPr>
        <w:t>je upravený v práve Európskej únie:</w:t>
      </w:r>
    </w:p>
    <w:p w:rsidR="00764E05" w:rsidRPr="00181470" w:rsidRDefault="00764E05" w:rsidP="00764E05">
      <w:pPr>
        <w:ind w:left="425"/>
        <w:jc w:val="both"/>
        <w:rPr>
          <w:rFonts w:ascii="Times New Roman" w:hAnsi="Times New Roman" w:cs="Times New Roman"/>
          <w:b/>
          <w:bCs/>
        </w:rPr>
      </w:pPr>
    </w:p>
    <w:p w:rsidR="00764E05" w:rsidRDefault="00764E05" w:rsidP="00764E05">
      <w:pPr>
        <w:pStyle w:val="Zkladntext"/>
        <w:numPr>
          <w:ilvl w:val="1"/>
          <w:numId w:val="32"/>
        </w:numPr>
        <w:tabs>
          <w:tab w:val="left" w:pos="709"/>
          <w:tab w:val="left" w:pos="851"/>
        </w:tabs>
        <w:rPr>
          <w:b w:val="0"/>
          <w:bCs/>
          <w:iCs/>
        </w:rPr>
      </w:pPr>
      <w:r w:rsidRPr="00181470">
        <w:rPr>
          <w:bCs/>
          <w:iCs/>
        </w:rPr>
        <w:t xml:space="preserve">Primárne právo: </w:t>
      </w:r>
    </w:p>
    <w:p w:rsidR="00764E05" w:rsidRPr="00181470" w:rsidRDefault="00764E05" w:rsidP="00764E05">
      <w:pPr>
        <w:pStyle w:val="Zkladntext"/>
        <w:tabs>
          <w:tab w:val="left" w:pos="709"/>
          <w:tab w:val="left" w:pos="851"/>
        </w:tabs>
        <w:ind w:left="850"/>
        <w:rPr>
          <w:b w:val="0"/>
          <w:bCs/>
          <w:iCs/>
        </w:rPr>
      </w:pPr>
    </w:p>
    <w:p w:rsidR="00764E05" w:rsidRDefault="00764E05" w:rsidP="00764E05">
      <w:pPr>
        <w:pStyle w:val="Zkladntext"/>
        <w:numPr>
          <w:ilvl w:val="0"/>
          <w:numId w:val="33"/>
        </w:numPr>
        <w:tabs>
          <w:tab w:val="clear" w:pos="900"/>
          <w:tab w:val="num" w:pos="851"/>
        </w:tabs>
        <w:ind w:left="896" w:hanging="329"/>
        <w:jc w:val="both"/>
      </w:pPr>
      <w:r w:rsidRPr="00181470">
        <w:t xml:space="preserve">čl. </w:t>
      </w:r>
      <w:r>
        <w:t xml:space="preserve">106, čl. </w:t>
      </w:r>
      <w:r w:rsidRPr="00181470">
        <w:t>110 až 113,</w:t>
      </w:r>
      <w:r w:rsidRPr="00094183">
        <w:t xml:space="preserve"> </w:t>
      </w:r>
      <w:r w:rsidRPr="008C3089">
        <w:t>čl. 122 ods. 1</w:t>
      </w:r>
      <w:r>
        <w:t>,</w:t>
      </w:r>
      <w:r w:rsidRPr="008C3089">
        <w:t xml:space="preserve"> čl. 194</w:t>
      </w:r>
      <w:r>
        <w:t>,</w:t>
      </w:r>
      <w:r w:rsidRPr="008C3089">
        <w:t xml:space="preserve"> </w:t>
      </w:r>
      <w:r w:rsidRPr="00181470">
        <w:t>čl. 349 a</w:t>
      </w:r>
      <w:r>
        <w:t xml:space="preserve"> čl. </w:t>
      </w:r>
      <w:r w:rsidRPr="00181470">
        <w:t>355 ods. 1 Zmluvy o fungovaní Európskej únie</w:t>
      </w:r>
      <w:r>
        <w:t xml:space="preserve"> (Ú. v. EÚ C 202, 7. 6. 2016),</w:t>
      </w:r>
    </w:p>
    <w:p w:rsidR="00764E05" w:rsidRDefault="00764E05" w:rsidP="00764E05">
      <w:pPr>
        <w:pStyle w:val="Zkladntext"/>
        <w:numPr>
          <w:ilvl w:val="0"/>
          <w:numId w:val="33"/>
        </w:numPr>
        <w:tabs>
          <w:tab w:val="clear" w:pos="900"/>
          <w:tab w:val="num" w:pos="851"/>
        </w:tabs>
        <w:ind w:left="896" w:hanging="329"/>
      </w:pPr>
      <w:r>
        <w:t>čl. 52 Zmluvy o Európskej únii (Ú. v. EÚ C 202, 7. 6. 2016).</w:t>
      </w:r>
    </w:p>
    <w:p w:rsidR="00764E05" w:rsidRPr="00181470" w:rsidRDefault="00764E05" w:rsidP="00764E05">
      <w:pPr>
        <w:pStyle w:val="Zkladntext"/>
        <w:ind w:left="896"/>
      </w:pPr>
    </w:p>
    <w:p w:rsidR="00764E05" w:rsidRPr="005E68BC" w:rsidRDefault="00764E05" w:rsidP="00764E05">
      <w:pPr>
        <w:pStyle w:val="Zarkazkladnhotextu"/>
        <w:numPr>
          <w:ilvl w:val="1"/>
          <w:numId w:val="32"/>
        </w:numPr>
      </w:pPr>
      <w:r w:rsidRPr="005E68BC">
        <w:rPr>
          <w:b/>
          <w:bCs/>
          <w:iCs/>
        </w:rPr>
        <w:t>Sekundárne právo:</w:t>
      </w:r>
    </w:p>
    <w:p w:rsidR="00764E05" w:rsidRPr="005E68BC" w:rsidRDefault="00764E05" w:rsidP="00764E05">
      <w:pPr>
        <w:pStyle w:val="Zarkazkladnhotextu"/>
        <w:ind w:left="850" w:firstLine="0"/>
      </w:pPr>
    </w:p>
    <w:p w:rsidR="00764E05" w:rsidRDefault="00764E05" w:rsidP="00764E05">
      <w:pPr>
        <w:pStyle w:val="Odsekzoznamu"/>
        <w:widowControl w:val="0"/>
        <w:numPr>
          <w:ilvl w:val="0"/>
          <w:numId w:val="33"/>
        </w:numPr>
        <w:shd w:val="clear" w:color="auto" w:fill="FFFFFF"/>
        <w:adjustRightInd w:val="0"/>
        <w:spacing w:after="0" w:line="240" w:lineRule="auto"/>
        <w:ind w:right="-115"/>
        <w:jc w:val="both"/>
      </w:pPr>
      <w:r w:rsidRPr="00F94322">
        <w:t>s</w:t>
      </w:r>
      <w:r w:rsidRPr="00181470">
        <w:t xml:space="preserve">mernica Rady </w:t>
      </w:r>
      <w:r w:rsidRPr="00627280">
        <w:rPr>
          <w:u w:val="single"/>
        </w:rPr>
        <w:t>2006/112/ES</w:t>
      </w:r>
      <w:r w:rsidRPr="00181470">
        <w:t xml:space="preserve"> z  28. novembra 2006 o spoločnom systéme dane z pridanej hodnoty (</w:t>
      </w:r>
      <w:r w:rsidRPr="00627280">
        <w:rPr>
          <w:rStyle w:val="Zvraznenie"/>
        </w:rPr>
        <w:t>Ú. v. EÚ L 347, 11. 12. 2006) v platnom znení</w:t>
      </w:r>
      <w:r w:rsidRPr="00181470">
        <w:rPr>
          <w:rStyle w:val="Zvraznenie"/>
        </w:rPr>
        <w:t xml:space="preserve">, </w:t>
      </w:r>
      <w:r>
        <w:t>gestor: MF SR,</w:t>
      </w:r>
    </w:p>
    <w:p w:rsidR="00764E05" w:rsidRPr="00217CA8" w:rsidRDefault="00764E05" w:rsidP="00764E05">
      <w:pPr>
        <w:numPr>
          <w:ilvl w:val="0"/>
          <w:numId w:val="33"/>
        </w:numPr>
        <w:spacing w:before="120" w:after="120" w:line="240" w:lineRule="auto"/>
        <w:jc w:val="both"/>
        <w:rPr>
          <w:rStyle w:val="Zvraznenie"/>
          <w:rFonts w:ascii="Times New Roman" w:hAnsi="Times New Roman"/>
          <w:i w:val="0"/>
          <w:iCs w:val="0"/>
        </w:rPr>
      </w:pPr>
      <w:r w:rsidRPr="00217CA8">
        <w:rPr>
          <w:rStyle w:val="Zvraznenie"/>
          <w:rFonts w:ascii="Times New Roman" w:hAnsi="Times New Roman"/>
        </w:rPr>
        <w:t xml:space="preserve">smernica Rady (EÚ) </w:t>
      </w:r>
      <w:r w:rsidRPr="00217CA8">
        <w:rPr>
          <w:rStyle w:val="Zvraznenie"/>
          <w:rFonts w:ascii="Times New Roman" w:hAnsi="Times New Roman"/>
          <w:u w:val="single"/>
        </w:rPr>
        <w:t>2020/262</w:t>
      </w:r>
      <w:r w:rsidRPr="00217CA8">
        <w:rPr>
          <w:rStyle w:val="Zvraznenie"/>
          <w:rFonts w:ascii="Times New Roman" w:hAnsi="Times New Roman"/>
        </w:rPr>
        <w:t xml:space="preserve"> z 19. decembra 2019, ktorou sa ustanovuje všeobecný systém spotrebných daní (prepracované znenie) (</w:t>
      </w:r>
      <w:r w:rsidRPr="00217CA8">
        <w:rPr>
          <w:rFonts w:ascii="Times New Roman" w:hAnsi="Times New Roman"/>
          <w:iCs/>
          <w:shd w:val="clear" w:color="auto" w:fill="FFFFFF"/>
        </w:rPr>
        <w:t>Ú. v. EÚ L 58, 27.2.2020)</w:t>
      </w:r>
      <w:r>
        <w:rPr>
          <w:rFonts w:ascii="Times New Roman" w:hAnsi="Times New Roman"/>
          <w:iCs/>
          <w:shd w:val="clear" w:color="auto" w:fill="FFFFFF"/>
        </w:rPr>
        <w:t xml:space="preserve"> v platnom znení</w:t>
      </w:r>
      <w:r w:rsidRPr="00217CA8">
        <w:rPr>
          <w:rStyle w:val="Zvraznenie"/>
          <w:rFonts w:ascii="Times New Roman" w:hAnsi="Times New Roman"/>
        </w:rPr>
        <w:t xml:space="preserve">, gestor: </w:t>
      </w:r>
      <w:r>
        <w:rPr>
          <w:rStyle w:val="Zvraznenie"/>
          <w:rFonts w:ascii="Times New Roman" w:hAnsi="Times New Roman"/>
        </w:rPr>
        <w:t>MF SR</w:t>
      </w:r>
      <w:r w:rsidRPr="00217CA8">
        <w:rPr>
          <w:rStyle w:val="Zvraznenie"/>
          <w:rFonts w:ascii="Times New Roman" w:hAnsi="Times New Roman"/>
        </w:rPr>
        <w:t>,</w:t>
      </w:r>
    </w:p>
    <w:p w:rsidR="00764E05" w:rsidRPr="00217CA8" w:rsidRDefault="00764E05" w:rsidP="00764E05">
      <w:pPr>
        <w:numPr>
          <w:ilvl w:val="0"/>
          <w:numId w:val="33"/>
        </w:numPr>
        <w:spacing w:before="120" w:after="120" w:line="240" w:lineRule="auto"/>
        <w:jc w:val="both"/>
        <w:rPr>
          <w:rStyle w:val="Zvraznenie"/>
          <w:rFonts w:ascii="Times New Roman" w:hAnsi="Times New Roman"/>
          <w:i w:val="0"/>
          <w:iCs w:val="0"/>
        </w:rPr>
      </w:pPr>
      <w:r w:rsidRPr="00217CA8">
        <w:rPr>
          <w:rFonts w:ascii="Times New Roman" w:hAnsi="Times New Roman"/>
        </w:rPr>
        <w:t xml:space="preserve">smernica Rady (EÚ) </w:t>
      </w:r>
      <w:r w:rsidRPr="00217CA8">
        <w:rPr>
          <w:rFonts w:ascii="Times New Roman" w:hAnsi="Times New Roman"/>
          <w:u w:val="single"/>
        </w:rPr>
        <w:t>2019/2235</w:t>
      </w:r>
      <w:r w:rsidRPr="00217CA8">
        <w:rPr>
          <w:rFonts w:ascii="Times New Roman" w:hAnsi="Times New Roman"/>
        </w:rPr>
        <w:t xml:space="preserve"> zo 16. decembra 2019, ktorou sa mení smernica 2006/112/ES o spoločnom systéme dane z pridanej hodnoty a smernica 2008/118/ES o všeobecnom systéme spotrebných daní, pokiaľ ide o obranné úsilie v rámci Únie (</w:t>
      </w:r>
      <w:r w:rsidRPr="00217CA8">
        <w:rPr>
          <w:rStyle w:val="Zvraznenie"/>
          <w:rFonts w:ascii="Times New Roman" w:hAnsi="Times New Roman"/>
        </w:rPr>
        <w:t>Ú. v. EÚ L 336, 30.12.2019), gestor: MF SR,</w:t>
      </w:r>
    </w:p>
    <w:p w:rsidR="00764E05" w:rsidRPr="00217CA8" w:rsidRDefault="00764E05" w:rsidP="00764E05">
      <w:pPr>
        <w:numPr>
          <w:ilvl w:val="0"/>
          <w:numId w:val="33"/>
        </w:numPr>
        <w:spacing w:after="120" w:line="240" w:lineRule="auto"/>
        <w:jc w:val="both"/>
        <w:rPr>
          <w:rFonts w:ascii="Times New Roman" w:hAnsi="Times New Roman"/>
        </w:rPr>
      </w:pPr>
      <w:r w:rsidRPr="00217CA8">
        <w:rPr>
          <w:rFonts w:ascii="Times New Roman" w:hAnsi="Times New Roman"/>
        </w:rPr>
        <w:t xml:space="preserve">smernica Rady (EÚ) </w:t>
      </w:r>
      <w:r w:rsidRPr="00217CA8">
        <w:rPr>
          <w:rFonts w:ascii="Times New Roman" w:hAnsi="Times New Roman"/>
          <w:u w:val="single"/>
        </w:rPr>
        <w:t>2019/475</w:t>
      </w:r>
      <w:r w:rsidRPr="00217CA8">
        <w:rPr>
          <w:rFonts w:ascii="Times New Roman" w:hAnsi="Times New Roman"/>
        </w:rPr>
        <w:t xml:space="preserve"> z 18. februára 2019, ktorou sa menia smernice 2006/112/ES a 2008/118/ES, pokiaľ ide o začlenenie talianskej obce Campione d´Italia a talianskych vôd jazera Lugano do colného územia Únie a do územnej pôsobnosti smernice 2008/118/ES (</w:t>
      </w:r>
      <w:r w:rsidRPr="00217CA8">
        <w:rPr>
          <w:rFonts w:ascii="Times New Roman" w:hAnsi="Times New Roman"/>
          <w:iCs/>
        </w:rPr>
        <w:t xml:space="preserve">Ú. v. EÚ L 83, 25.3.2019), gestor: </w:t>
      </w:r>
      <w:r w:rsidRPr="00217CA8">
        <w:rPr>
          <w:rFonts w:ascii="Times New Roman" w:hAnsi="Times New Roman"/>
          <w:noProof/>
        </w:rPr>
        <w:t>MF SR,</w:t>
      </w:r>
    </w:p>
    <w:p w:rsidR="00764E05" w:rsidRPr="00217CA8" w:rsidRDefault="00764E05" w:rsidP="00764E05">
      <w:pPr>
        <w:numPr>
          <w:ilvl w:val="0"/>
          <w:numId w:val="33"/>
        </w:numPr>
        <w:spacing w:after="120" w:line="240" w:lineRule="auto"/>
        <w:jc w:val="both"/>
        <w:rPr>
          <w:rStyle w:val="Zvraznenie"/>
          <w:rFonts w:ascii="Times New Roman" w:hAnsi="Times New Roman"/>
          <w:i w:val="0"/>
          <w:iCs w:val="0"/>
        </w:rPr>
      </w:pPr>
      <w:r w:rsidRPr="00217CA8">
        <w:rPr>
          <w:rFonts w:ascii="Times New Roman" w:hAnsi="Times New Roman"/>
        </w:rPr>
        <w:t xml:space="preserve">smernica Rady </w:t>
      </w:r>
      <w:r w:rsidRPr="00217CA8">
        <w:rPr>
          <w:rFonts w:ascii="Times New Roman" w:hAnsi="Times New Roman"/>
          <w:u w:val="single"/>
        </w:rPr>
        <w:t>2011/64/EÚ</w:t>
      </w:r>
      <w:r w:rsidRPr="00217CA8">
        <w:rPr>
          <w:rFonts w:ascii="Times New Roman" w:hAnsi="Times New Roman"/>
        </w:rPr>
        <w:t xml:space="preserve"> </w:t>
      </w:r>
      <w:r w:rsidRPr="00217CA8">
        <w:rPr>
          <w:rStyle w:val="Siln"/>
          <w:rFonts w:ascii="Times New Roman" w:hAnsi="Times New Roman"/>
        </w:rPr>
        <w:t xml:space="preserve">z 21. júna 2011 o štruktúre a sadzbách spotrebnej dane </w:t>
      </w:r>
      <w:r w:rsidRPr="00217CA8">
        <w:rPr>
          <w:rStyle w:val="Siln"/>
          <w:rFonts w:ascii="Times New Roman" w:hAnsi="Times New Roman"/>
        </w:rPr>
        <w:br/>
        <w:t>z tabakových výrobkov (kodifikované znenie)</w:t>
      </w:r>
      <w:r w:rsidRPr="00217CA8">
        <w:rPr>
          <w:rFonts w:ascii="Times New Roman" w:hAnsi="Times New Roman"/>
        </w:rPr>
        <w:t xml:space="preserve"> (</w:t>
      </w:r>
      <w:r w:rsidRPr="00217CA8">
        <w:rPr>
          <w:rStyle w:val="Zvraznenie"/>
          <w:rFonts w:ascii="Times New Roman" w:hAnsi="Times New Roman"/>
        </w:rPr>
        <w:t>Ú. v. EÚ L 176, 5.7. 2011), gestor: MF SR,</w:t>
      </w:r>
    </w:p>
    <w:p w:rsidR="00764E05" w:rsidRPr="00217CA8" w:rsidRDefault="00764E05" w:rsidP="00764E05">
      <w:pPr>
        <w:numPr>
          <w:ilvl w:val="0"/>
          <w:numId w:val="33"/>
        </w:numPr>
        <w:spacing w:after="120" w:line="240" w:lineRule="auto"/>
        <w:jc w:val="both"/>
        <w:rPr>
          <w:rFonts w:ascii="Times New Roman" w:hAnsi="Times New Roman"/>
          <w:i/>
        </w:rPr>
      </w:pPr>
      <w:r w:rsidRPr="00217CA8">
        <w:rPr>
          <w:rFonts w:ascii="Times New Roman" w:hAnsi="Times New Roman"/>
        </w:rPr>
        <w:t xml:space="preserve">smernica Rady </w:t>
      </w:r>
      <w:r w:rsidRPr="00217CA8">
        <w:rPr>
          <w:rFonts w:ascii="Times New Roman" w:hAnsi="Times New Roman"/>
          <w:u w:val="single"/>
        </w:rPr>
        <w:t>2008/118/ES</w:t>
      </w:r>
      <w:r w:rsidRPr="00217CA8">
        <w:rPr>
          <w:rFonts w:ascii="Times New Roman" w:hAnsi="Times New Roman"/>
        </w:rPr>
        <w:t xml:space="preserve"> z 16. decembra 2008 o všeobecnom systéme spotrebných daní a o zrušení smernice 92/12/EHS  (Ú. v. EÚ L 9, 14.1. 2009) v platnom znení, </w:t>
      </w:r>
      <w:r w:rsidRPr="00217CA8">
        <w:rPr>
          <w:rStyle w:val="Zvraznenie"/>
          <w:rFonts w:ascii="Times New Roman" w:hAnsi="Times New Roman"/>
          <w:noProof/>
        </w:rPr>
        <w:t xml:space="preserve">gestor: </w:t>
      </w:r>
      <w:r w:rsidRPr="00217CA8">
        <w:rPr>
          <w:rFonts w:ascii="Times New Roman" w:hAnsi="Times New Roman"/>
          <w:noProof/>
        </w:rPr>
        <w:t>MF SR,</w:t>
      </w:r>
    </w:p>
    <w:p w:rsidR="00764E05" w:rsidRPr="00457D4C" w:rsidRDefault="00764E05" w:rsidP="00764E05">
      <w:pPr>
        <w:numPr>
          <w:ilvl w:val="0"/>
          <w:numId w:val="33"/>
        </w:numPr>
        <w:spacing w:after="120" w:line="240" w:lineRule="auto"/>
        <w:jc w:val="both"/>
        <w:rPr>
          <w:rFonts w:ascii="Times New Roman" w:hAnsi="Times New Roman"/>
          <w:i/>
        </w:rPr>
      </w:pPr>
      <w:r w:rsidRPr="00217CA8">
        <w:rPr>
          <w:rFonts w:ascii="Times New Roman" w:hAnsi="Times New Roman"/>
        </w:rPr>
        <w:t xml:space="preserve">smernica Rady </w:t>
      </w:r>
      <w:r w:rsidRPr="00217CA8">
        <w:rPr>
          <w:rFonts w:ascii="Times New Roman" w:hAnsi="Times New Roman"/>
          <w:u w:val="single"/>
        </w:rPr>
        <w:t>2007/74/ES</w:t>
      </w:r>
      <w:r w:rsidRPr="00217CA8">
        <w:rPr>
          <w:rFonts w:ascii="Times New Roman" w:hAnsi="Times New Roman"/>
        </w:rPr>
        <w:t xml:space="preserve"> z 20. decembra 2007 o oslobodení tovaru, ktorý dovážajú osoby cestujúce z tretích krajín, od dane z pridanej hodnoty a spotrebnej dane (Ú. v. EÚ L  346,</w:t>
      </w:r>
      <w:r>
        <w:rPr>
          <w:rFonts w:ascii="Times New Roman" w:hAnsi="Times New Roman"/>
        </w:rPr>
        <w:t xml:space="preserve"> </w:t>
      </w:r>
      <w:r w:rsidRPr="00217CA8">
        <w:rPr>
          <w:rFonts w:ascii="Times New Roman" w:hAnsi="Times New Roman"/>
        </w:rPr>
        <w:t xml:space="preserve">29. 12. 2007), </w:t>
      </w:r>
      <w:r w:rsidRPr="00217CA8">
        <w:rPr>
          <w:rStyle w:val="Zvraznenie"/>
          <w:rFonts w:ascii="Times New Roman" w:hAnsi="Times New Roman"/>
          <w:noProof/>
        </w:rPr>
        <w:t xml:space="preserve">gestor: </w:t>
      </w:r>
      <w:r w:rsidRPr="00217CA8">
        <w:rPr>
          <w:rFonts w:ascii="Times New Roman" w:hAnsi="Times New Roman"/>
          <w:noProof/>
        </w:rPr>
        <w:t>MF SR,</w:t>
      </w:r>
    </w:p>
    <w:p w:rsidR="00764E05" w:rsidRPr="00627280" w:rsidRDefault="00764E05" w:rsidP="00764E05">
      <w:pPr>
        <w:numPr>
          <w:ilvl w:val="0"/>
          <w:numId w:val="33"/>
        </w:numPr>
        <w:spacing w:after="120" w:line="276" w:lineRule="auto"/>
        <w:jc w:val="both"/>
        <w:rPr>
          <w:rStyle w:val="Zvraznenie"/>
          <w:rFonts w:ascii="Times New Roman" w:hAnsi="Times New Roman" w:cs="Times New Roman"/>
          <w:i w:val="0"/>
          <w:iCs w:val="0"/>
        </w:rPr>
      </w:pPr>
      <w:r w:rsidRPr="00627280">
        <w:rPr>
          <w:rFonts w:ascii="Times New Roman" w:hAnsi="Times New Roman" w:cs="Times New Roman"/>
        </w:rPr>
        <w:t xml:space="preserve">smernica Rady </w:t>
      </w:r>
      <w:r w:rsidRPr="00627280">
        <w:rPr>
          <w:rFonts w:ascii="Times New Roman" w:hAnsi="Times New Roman" w:cs="Times New Roman"/>
          <w:u w:val="single"/>
        </w:rPr>
        <w:t>2006/79/ES</w:t>
      </w:r>
      <w:r w:rsidRPr="00627280">
        <w:rPr>
          <w:rFonts w:ascii="Times New Roman" w:hAnsi="Times New Roman" w:cs="Times New Roman"/>
        </w:rPr>
        <w:t xml:space="preserve"> z  5. októbra 2006 o oslobodení od daní pri dovoze malých zásielok tovaru neobchodného charakteru z tretích krajín </w:t>
      </w:r>
      <w:r w:rsidRPr="00627280">
        <w:rPr>
          <w:rStyle w:val="Siln"/>
          <w:rFonts w:ascii="Times New Roman" w:hAnsi="Times New Roman" w:cs="Times New Roman"/>
        </w:rPr>
        <w:t>(kodifikované znenie)</w:t>
      </w:r>
      <w:r w:rsidRPr="00627280">
        <w:rPr>
          <w:rFonts w:ascii="Times New Roman" w:hAnsi="Times New Roman" w:cs="Times New Roman"/>
        </w:rPr>
        <w:t xml:space="preserve"> (</w:t>
      </w:r>
      <w:r w:rsidRPr="00627280">
        <w:rPr>
          <w:rStyle w:val="Zvraznenie"/>
          <w:rFonts w:ascii="Times New Roman" w:hAnsi="Times New Roman" w:cs="Times New Roman"/>
        </w:rPr>
        <w:t xml:space="preserve">Ú. v. EÚ L 286, 17.10.2006), </w:t>
      </w:r>
      <w:r w:rsidRPr="00627280">
        <w:rPr>
          <w:rStyle w:val="Zvraznenie"/>
          <w:rFonts w:ascii="Times New Roman" w:hAnsi="Times New Roman" w:cs="Times New Roman"/>
          <w:noProof/>
        </w:rPr>
        <w:t xml:space="preserve">gestor: </w:t>
      </w:r>
      <w:r w:rsidRPr="00627280">
        <w:rPr>
          <w:rFonts w:ascii="Times New Roman" w:hAnsi="Times New Roman" w:cs="Times New Roman"/>
          <w:noProof/>
        </w:rPr>
        <w:t>MF SR</w:t>
      </w:r>
      <w:r w:rsidRPr="00627280">
        <w:rPr>
          <w:rStyle w:val="Zvraznenie"/>
          <w:rFonts w:ascii="Times New Roman" w:hAnsi="Times New Roman" w:cs="Times New Roman"/>
        </w:rPr>
        <w:t>,</w:t>
      </w:r>
    </w:p>
    <w:p w:rsidR="00764E05" w:rsidRPr="00627280" w:rsidRDefault="00764E05" w:rsidP="00764E05">
      <w:pPr>
        <w:numPr>
          <w:ilvl w:val="0"/>
          <w:numId w:val="33"/>
        </w:numPr>
        <w:spacing w:after="120" w:line="276" w:lineRule="auto"/>
        <w:jc w:val="both"/>
        <w:rPr>
          <w:rStyle w:val="Zvraznenie"/>
          <w:rFonts w:ascii="Times New Roman" w:hAnsi="Times New Roman" w:cs="Times New Roman"/>
          <w:i w:val="0"/>
          <w:iCs w:val="0"/>
        </w:rPr>
      </w:pPr>
      <w:r w:rsidRPr="00627280">
        <w:rPr>
          <w:rFonts w:ascii="Times New Roman" w:hAnsi="Times New Roman" w:cs="Times New Roman"/>
        </w:rPr>
        <w:lastRenderedPageBreak/>
        <w:t xml:space="preserve">smernica Rady </w:t>
      </w:r>
      <w:r w:rsidRPr="00627280">
        <w:rPr>
          <w:rFonts w:ascii="Times New Roman" w:hAnsi="Times New Roman" w:cs="Times New Roman"/>
          <w:u w:val="single"/>
        </w:rPr>
        <w:t>92/84/EHS</w:t>
      </w:r>
      <w:r w:rsidRPr="00627280">
        <w:rPr>
          <w:rFonts w:ascii="Times New Roman" w:hAnsi="Times New Roman" w:cs="Times New Roman"/>
        </w:rPr>
        <w:t xml:space="preserve"> z 19. októbra 1992 o aproximácii sadzieb spotrebnej dane na alkohol a alkoholické nápoje (</w:t>
      </w:r>
      <w:r w:rsidRPr="00627280">
        <w:rPr>
          <w:rFonts w:ascii="Times New Roman" w:hAnsi="Times New Roman" w:cs="Times New Roman"/>
          <w:iCs/>
          <w:shd w:val="clear" w:color="auto" w:fill="FFFFFF"/>
        </w:rPr>
        <w:t xml:space="preserve">Ú. v. ES L 316, 31.10.1992; </w:t>
      </w:r>
      <w:r w:rsidRPr="00627280">
        <w:rPr>
          <w:rStyle w:val="Zvraznenie"/>
          <w:rFonts w:ascii="Times New Roman" w:hAnsi="Times New Roman" w:cs="Times New Roman"/>
        </w:rPr>
        <w:t>Mimoriadne vydanie Ú.</w:t>
      </w:r>
      <w:r>
        <w:rPr>
          <w:rStyle w:val="Zvraznenie"/>
          <w:rFonts w:ascii="Times New Roman" w:hAnsi="Times New Roman" w:cs="Times New Roman"/>
        </w:rPr>
        <w:t xml:space="preserve"> </w:t>
      </w:r>
      <w:r w:rsidRPr="00627280">
        <w:rPr>
          <w:rStyle w:val="Zvraznenie"/>
          <w:rFonts w:ascii="Times New Roman" w:hAnsi="Times New Roman" w:cs="Times New Roman"/>
        </w:rPr>
        <w:t xml:space="preserve">v. EÚ kap. 9/zv. 1), </w:t>
      </w:r>
      <w:r w:rsidRPr="00627280">
        <w:rPr>
          <w:rStyle w:val="Zvraznenie"/>
          <w:rFonts w:ascii="Times New Roman" w:hAnsi="Times New Roman" w:cs="Times New Roman"/>
          <w:noProof/>
        </w:rPr>
        <w:t>gestor:</w:t>
      </w:r>
      <w:r w:rsidRPr="00627280">
        <w:rPr>
          <w:rFonts w:ascii="Times New Roman" w:hAnsi="Times New Roman" w:cs="Times New Roman"/>
          <w:noProof/>
        </w:rPr>
        <w:t xml:space="preserve"> MF SR,</w:t>
      </w:r>
    </w:p>
    <w:p w:rsidR="00764E05" w:rsidRPr="00627280" w:rsidRDefault="00764E05" w:rsidP="00764E05">
      <w:pPr>
        <w:numPr>
          <w:ilvl w:val="0"/>
          <w:numId w:val="33"/>
        </w:numPr>
        <w:spacing w:after="120" w:line="276" w:lineRule="auto"/>
        <w:jc w:val="both"/>
        <w:rPr>
          <w:rFonts w:ascii="Times New Roman" w:hAnsi="Times New Roman"/>
          <w:i/>
        </w:rPr>
      </w:pPr>
      <w:r w:rsidRPr="00627280">
        <w:rPr>
          <w:rFonts w:ascii="Times New Roman" w:hAnsi="Times New Roman" w:cs="Times New Roman"/>
        </w:rPr>
        <w:t xml:space="preserve">smernica Rady </w:t>
      </w:r>
      <w:r w:rsidRPr="00627280">
        <w:rPr>
          <w:rFonts w:ascii="Times New Roman" w:hAnsi="Times New Roman" w:cs="Times New Roman"/>
          <w:u w:val="single"/>
        </w:rPr>
        <w:t>92/83/EHS</w:t>
      </w:r>
      <w:r w:rsidRPr="00627280">
        <w:rPr>
          <w:rFonts w:ascii="Times New Roman" w:hAnsi="Times New Roman" w:cs="Times New Roman"/>
        </w:rPr>
        <w:t xml:space="preserve"> z 19. októbra 1992 o zosúladení štruktúr spotrebných daní pre etanol a alkoholické nápoje (</w:t>
      </w:r>
      <w:r w:rsidRPr="00627280">
        <w:rPr>
          <w:rFonts w:ascii="Times New Roman" w:hAnsi="Times New Roman" w:cs="Times New Roman"/>
          <w:iCs/>
          <w:shd w:val="clear" w:color="auto" w:fill="FFFFFF"/>
        </w:rPr>
        <w:t xml:space="preserve">Ú. v. ES L 316, 31.10.1992; </w:t>
      </w:r>
      <w:r w:rsidRPr="00627280">
        <w:rPr>
          <w:rStyle w:val="Zvraznenie"/>
          <w:rFonts w:ascii="Times New Roman" w:hAnsi="Times New Roman" w:cs="Times New Roman"/>
        </w:rPr>
        <w:t>Mimoriadne vydanie Ú.</w:t>
      </w:r>
      <w:r>
        <w:rPr>
          <w:rStyle w:val="Zvraznenie"/>
          <w:rFonts w:ascii="Times New Roman" w:hAnsi="Times New Roman" w:cs="Times New Roman"/>
        </w:rPr>
        <w:t xml:space="preserve"> </w:t>
      </w:r>
      <w:r w:rsidRPr="00627280">
        <w:rPr>
          <w:rStyle w:val="Zvraznenie"/>
          <w:rFonts w:ascii="Times New Roman" w:hAnsi="Times New Roman" w:cs="Times New Roman"/>
        </w:rPr>
        <w:t xml:space="preserve">v. EÚ kap.9/zv. 1) v platnom znení, </w:t>
      </w:r>
      <w:r w:rsidRPr="00627280">
        <w:rPr>
          <w:rStyle w:val="Zvraznenie"/>
          <w:rFonts w:ascii="Times New Roman" w:hAnsi="Times New Roman" w:cs="Times New Roman"/>
          <w:noProof/>
        </w:rPr>
        <w:t>gestor:</w:t>
      </w:r>
      <w:r w:rsidRPr="00627280">
        <w:rPr>
          <w:rFonts w:ascii="Times New Roman" w:hAnsi="Times New Roman" w:cs="Times New Roman"/>
          <w:noProof/>
        </w:rPr>
        <w:t xml:space="preserve"> MF SR,</w:t>
      </w:r>
    </w:p>
    <w:p w:rsidR="00764E05" w:rsidRPr="00217CA8" w:rsidRDefault="00764E05" w:rsidP="00764E05">
      <w:pPr>
        <w:numPr>
          <w:ilvl w:val="0"/>
          <w:numId w:val="33"/>
        </w:numPr>
        <w:spacing w:after="120" w:line="240" w:lineRule="auto"/>
        <w:jc w:val="both"/>
        <w:rPr>
          <w:rFonts w:ascii="Times New Roman" w:hAnsi="Times New Roman"/>
        </w:rPr>
      </w:pPr>
      <w:r w:rsidRPr="00217CA8">
        <w:rPr>
          <w:rFonts w:ascii="Times New Roman" w:hAnsi="Times New Roman"/>
          <w:shd w:val="clear" w:color="auto" w:fill="FFFFFF"/>
        </w:rPr>
        <w:t xml:space="preserve">delegované nariadenie Komisie (EÚ) </w:t>
      </w:r>
      <w:r w:rsidRPr="00217CA8">
        <w:rPr>
          <w:rFonts w:ascii="Times New Roman" w:hAnsi="Times New Roman"/>
          <w:u w:val="single"/>
          <w:shd w:val="clear" w:color="auto" w:fill="FFFFFF"/>
        </w:rPr>
        <w:t>2015/2446</w:t>
      </w:r>
      <w:r w:rsidRPr="00217CA8">
        <w:rPr>
          <w:rFonts w:ascii="Times New Roman" w:hAnsi="Times New Roman"/>
          <w:shd w:val="clear" w:color="auto" w:fill="FFFFFF"/>
        </w:rPr>
        <w:t xml:space="preserve"> z 28. júla 2015, ktorým sa dopĺňa nariadenie Európskeho parlamentu a Rady (EÚ) č. 952/2013, pokiaľ ide o podrobné pravidlá, ktorými sa bližšie určujú niektoré ustanovenia Colného kódexu Únie (</w:t>
      </w:r>
      <w:r w:rsidRPr="00217CA8">
        <w:rPr>
          <w:rStyle w:val="Zvraznenie"/>
          <w:rFonts w:ascii="Times New Roman" w:hAnsi="Times New Roman"/>
          <w:shd w:val="clear" w:color="auto" w:fill="FFFFFF"/>
        </w:rPr>
        <w:t xml:space="preserve">Ú. v. EÚ L 343, 29.12.2015) </w:t>
      </w:r>
      <w:r w:rsidRPr="00217CA8">
        <w:rPr>
          <w:rFonts w:ascii="Times New Roman" w:hAnsi="Times New Roman"/>
        </w:rPr>
        <w:t xml:space="preserve">v platnom znení, gestor: </w:t>
      </w:r>
      <w:r w:rsidRPr="00217CA8">
        <w:rPr>
          <w:rFonts w:ascii="Times New Roman" w:hAnsi="Times New Roman"/>
          <w:noProof/>
        </w:rPr>
        <w:t>MF SR,</w:t>
      </w:r>
    </w:p>
    <w:p w:rsidR="00764E05" w:rsidRPr="00217CA8" w:rsidRDefault="00764E05" w:rsidP="00764E05">
      <w:pPr>
        <w:numPr>
          <w:ilvl w:val="0"/>
          <w:numId w:val="33"/>
        </w:numPr>
        <w:spacing w:after="120" w:line="240" w:lineRule="auto"/>
        <w:jc w:val="both"/>
        <w:rPr>
          <w:rFonts w:ascii="Times New Roman" w:hAnsi="Times New Roman"/>
        </w:rPr>
      </w:pPr>
      <w:r w:rsidRPr="00217CA8">
        <w:rPr>
          <w:rFonts w:ascii="Times New Roman" w:hAnsi="Times New Roman"/>
          <w:shd w:val="clear" w:color="auto" w:fill="FFFFFF"/>
        </w:rPr>
        <w:t xml:space="preserve">vykonávacie nariadenie Komisie (EÚ) </w:t>
      </w:r>
      <w:r w:rsidRPr="00217CA8">
        <w:rPr>
          <w:rFonts w:ascii="Times New Roman" w:hAnsi="Times New Roman"/>
          <w:u w:val="single"/>
          <w:shd w:val="clear" w:color="auto" w:fill="FFFFFF"/>
        </w:rPr>
        <w:t>2015/2447</w:t>
      </w:r>
      <w:r w:rsidRPr="00217CA8">
        <w:rPr>
          <w:rFonts w:ascii="Times New Roman" w:hAnsi="Times New Roman"/>
          <w:shd w:val="clear" w:color="auto" w:fill="FFFFFF"/>
        </w:rPr>
        <w:t xml:space="preserve"> z 24. novembra 2015, ktorým sa stanovujú podrobné pravidlá vykonávania určitých ustanovení nariadenia Európskeho parlamentu a Rady (EÚ) č. 952/2013, ktorým sa ustanovuje Colný kódex Únie (</w:t>
      </w:r>
      <w:r w:rsidRPr="00217CA8">
        <w:rPr>
          <w:rStyle w:val="Zvraznenie"/>
          <w:rFonts w:ascii="Times New Roman" w:hAnsi="Times New Roman"/>
          <w:shd w:val="clear" w:color="auto" w:fill="FFFFFF"/>
        </w:rPr>
        <w:t xml:space="preserve">Ú. v. EÚ L 343, 29.12.2015) </w:t>
      </w:r>
      <w:r w:rsidRPr="00217CA8">
        <w:rPr>
          <w:rFonts w:ascii="Times New Roman" w:hAnsi="Times New Roman"/>
        </w:rPr>
        <w:t xml:space="preserve">v platnom znení, gestor: </w:t>
      </w:r>
      <w:r w:rsidRPr="00217CA8">
        <w:rPr>
          <w:rFonts w:ascii="Times New Roman" w:hAnsi="Times New Roman"/>
          <w:noProof/>
        </w:rPr>
        <w:t>MF SR,</w:t>
      </w:r>
    </w:p>
    <w:p w:rsidR="00764E05" w:rsidRPr="00217CA8" w:rsidRDefault="00764E05" w:rsidP="00764E05">
      <w:pPr>
        <w:numPr>
          <w:ilvl w:val="0"/>
          <w:numId w:val="33"/>
        </w:numPr>
        <w:spacing w:after="120" w:line="240" w:lineRule="auto"/>
        <w:jc w:val="both"/>
        <w:rPr>
          <w:rFonts w:ascii="Times New Roman" w:hAnsi="Times New Roman"/>
        </w:rPr>
      </w:pPr>
      <w:r w:rsidRPr="00217CA8">
        <w:rPr>
          <w:rFonts w:ascii="Times New Roman" w:hAnsi="Times New Roman"/>
        </w:rPr>
        <w:t>nariadenie Európskeho parlamentu a Rady (EÚ) č. 910/2014 z 23. júla 2014 o elektronickej identifikácii a dôveryhodných službách pre elektronické transakcie na vnútornom trhu a o zrušení smernice 1999/93/ES (Ú. v. EÚ L 257, 28. 8. 2014), gestori: NBÚ, MIRRI SR, MV SR,</w:t>
      </w:r>
    </w:p>
    <w:p w:rsidR="00764E05" w:rsidRPr="00217CA8" w:rsidRDefault="00764E05" w:rsidP="00764E05">
      <w:pPr>
        <w:numPr>
          <w:ilvl w:val="0"/>
          <w:numId w:val="33"/>
        </w:numPr>
        <w:spacing w:after="120" w:line="240" w:lineRule="auto"/>
        <w:jc w:val="both"/>
        <w:rPr>
          <w:rFonts w:ascii="Times New Roman" w:hAnsi="Times New Roman"/>
        </w:rPr>
      </w:pPr>
      <w:r w:rsidRPr="00217CA8">
        <w:rPr>
          <w:rFonts w:ascii="Times New Roman" w:hAnsi="Times New Roman"/>
          <w:shd w:val="clear" w:color="auto" w:fill="FFFFFF"/>
        </w:rPr>
        <w:t>nariadenie Európskeho parlamentu a Rady (EÚ) č. </w:t>
      </w:r>
      <w:r w:rsidRPr="00217CA8">
        <w:rPr>
          <w:rFonts w:ascii="Times New Roman" w:hAnsi="Times New Roman"/>
          <w:u w:val="single"/>
          <w:shd w:val="clear" w:color="auto" w:fill="FFFFFF"/>
        </w:rPr>
        <w:t>952/2013</w:t>
      </w:r>
      <w:r w:rsidRPr="00217CA8">
        <w:rPr>
          <w:rFonts w:ascii="Times New Roman" w:hAnsi="Times New Roman"/>
          <w:shd w:val="clear" w:color="auto" w:fill="FFFFFF"/>
        </w:rPr>
        <w:t xml:space="preserve"> z  9. októbra 2013, ktorým sa ustanovuje Colný kódex Únie </w:t>
      </w:r>
      <w:r w:rsidRPr="00217CA8">
        <w:rPr>
          <w:rFonts w:ascii="Times New Roman" w:hAnsi="Times New Roman"/>
          <w:bCs/>
          <w:shd w:val="clear" w:color="auto" w:fill="FFFFFF"/>
        </w:rPr>
        <w:t>(prepracované znenie) (</w:t>
      </w:r>
      <w:r w:rsidRPr="00217CA8">
        <w:rPr>
          <w:rStyle w:val="Zvraznenie"/>
          <w:rFonts w:ascii="Times New Roman" w:hAnsi="Times New Roman"/>
          <w:shd w:val="clear" w:color="auto" w:fill="FFFFFF"/>
        </w:rPr>
        <w:t>Ú. v. EÚ L 269, 10.10.2013),</w:t>
      </w:r>
      <w:r w:rsidRPr="00217CA8">
        <w:rPr>
          <w:rFonts w:ascii="Times New Roman" w:hAnsi="Times New Roman"/>
        </w:rPr>
        <w:t xml:space="preserve"> v platnom znení, </w:t>
      </w:r>
      <w:r w:rsidRPr="00217CA8">
        <w:rPr>
          <w:rStyle w:val="Zvraznenie"/>
          <w:rFonts w:ascii="Times New Roman" w:hAnsi="Times New Roman"/>
          <w:noProof/>
        </w:rPr>
        <w:t xml:space="preserve">gestor: </w:t>
      </w:r>
      <w:r w:rsidRPr="00217CA8">
        <w:rPr>
          <w:rFonts w:ascii="Times New Roman" w:hAnsi="Times New Roman"/>
          <w:noProof/>
        </w:rPr>
        <w:t>MF SR</w:t>
      </w:r>
      <w:r w:rsidRPr="00217CA8">
        <w:rPr>
          <w:rStyle w:val="Zvraznenie"/>
          <w:rFonts w:ascii="Times New Roman" w:hAnsi="Times New Roman"/>
        </w:rPr>
        <w:t>,</w:t>
      </w:r>
    </w:p>
    <w:p w:rsidR="00764E05" w:rsidRPr="00217CA8" w:rsidRDefault="00764E05" w:rsidP="00764E05">
      <w:pPr>
        <w:numPr>
          <w:ilvl w:val="0"/>
          <w:numId w:val="33"/>
        </w:numPr>
        <w:spacing w:after="120" w:line="240" w:lineRule="auto"/>
        <w:jc w:val="both"/>
        <w:rPr>
          <w:rFonts w:ascii="Times New Roman" w:hAnsi="Times New Roman"/>
        </w:rPr>
      </w:pPr>
      <w:r w:rsidRPr="00217CA8">
        <w:rPr>
          <w:rFonts w:ascii="Times New Roman" w:hAnsi="Times New Roman"/>
        </w:rPr>
        <w:t xml:space="preserve">nariadenie Rady (EÚ) č. </w:t>
      </w:r>
      <w:r w:rsidRPr="00217CA8">
        <w:rPr>
          <w:rFonts w:ascii="Times New Roman" w:hAnsi="Times New Roman"/>
          <w:u w:val="single"/>
        </w:rPr>
        <w:t>389/2012</w:t>
      </w:r>
      <w:r w:rsidRPr="00217CA8">
        <w:rPr>
          <w:rFonts w:ascii="Times New Roman" w:hAnsi="Times New Roman"/>
        </w:rPr>
        <w:t xml:space="preserve"> z 2. mája 2012 o administratívnej spolupráci v oblasti spotrebných daní a zrušení nariadenia ES č. 2073/2004 (</w:t>
      </w:r>
      <w:r w:rsidRPr="00217CA8">
        <w:rPr>
          <w:rStyle w:val="Zvraznenie"/>
          <w:rFonts w:ascii="Times New Roman" w:hAnsi="Times New Roman"/>
        </w:rPr>
        <w:t xml:space="preserve">Ú. v. EÚ L 121, 8.5. 2012) v platnom znení, </w:t>
      </w:r>
      <w:r w:rsidRPr="00217CA8">
        <w:rPr>
          <w:rStyle w:val="Zvraznenie"/>
          <w:rFonts w:ascii="Times New Roman" w:hAnsi="Times New Roman"/>
          <w:noProof/>
        </w:rPr>
        <w:t xml:space="preserve">gestor: </w:t>
      </w:r>
      <w:r w:rsidRPr="00217CA8">
        <w:rPr>
          <w:rFonts w:ascii="Times New Roman" w:hAnsi="Times New Roman"/>
          <w:noProof/>
        </w:rPr>
        <w:t>MF SR</w:t>
      </w:r>
      <w:r w:rsidRPr="00217CA8">
        <w:rPr>
          <w:rStyle w:val="Zvraznenie"/>
          <w:rFonts w:ascii="Times New Roman" w:hAnsi="Times New Roman"/>
        </w:rPr>
        <w:t>,</w:t>
      </w:r>
    </w:p>
    <w:p w:rsidR="00764E05" w:rsidRPr="00217CA8" w:rsidRDefault="00764E05" w:rsidP="00764E05">
      <w:pPr>
        <w:numPr>
          <w:ilvl w:val="0"/>
          <w:numId w:val="33"/>
        </w:numPr>
        <w:spacing w:after="120" w:line="240" w:lineRule="auto"/>
        <w:jc w:val="both"/>
        <w:rPr>
          <w:rFonts w:ascii="Times New Roman" w:hAnsi="Times New Roman"/>
          <w:i/>
        </w:rPr>
      </w:pPr>
      <w:r w:rsidRPr="00217CA8">
        <w:rPr>
          <w:rFonts w:ascii="Times New Roman" w:hAnsi="Times New Roman"/>
        </w:rPr>
        <w:t xml:space="preserve">nariadenie Komisie (ES) č. </w:t>
      </w:r>
      <w:r w:rsidRPr="00217CA8">
        <w:rPr>
          <w:rFonts w:ascii="Times New Roman" w:hAnsi="Times New Roman"/>
          <w:u w:val="single"/>
        </w:rPr>
        <w:t>684/2009</w:t>
      </w:r>
      <w:r w:rsidRPr="00217CA8">
        <w:rPr>
          <w:rFonts w:ascii="Times New Roman" w:hAnsi="Times New Roman"/>
        </w:rPr>
        <w:t xml:space="preserve"> z 24. júla 2009, ktorým sa implementuje smernica Rady 2008/118/ES, pokiaľ ide o elektronické postupy pri preprave tovaru podliehajúceho spotrebnej dani v režime pozastavenia dane (Ú. v. EÚ L 197, 29.7.2009) v platnom znení, </w:t>
      </w:r>
      <w:r w:rsidRPr="00217CA8">
        <w:rPr>
          <w:rStyle w:val="Zvraznenie"/>
          <w:rFonts w:ascii="Times New Roman" w:hAnsi="Times New Roman"/>
          <w:noProof/>
        </w:rPr>
        <w:t xml:space="preserve">gestor: </w:t>
      </w:r>
      <w:r w:rsidRPr="00217CA8">
        <w:rPr>
          <w:rFonts w:ascii="Times New Roman" w:hAnsi="Times New Roman"/>
          <w:noProof/>
        </w:rPr>
        <w:t>MF SR</w:t>
      </w:r>
      <w:r w:rsidRPr="00217CA8">
        <w:rPr>
          <w:rStyle w:val="Zvraznenie"/>
          <w:rFonts w:ascii="Times New Roman" w:hAnsi="Times New Roman"/>
        </w:rPr>
        <w:t>,</w:t>
      </w:r>
    </w:p>
    <w:p w:rsidR="00764E05" w:rsidRPr="00217CA8" w:rsidRDefault="00764E05" w:rsidP="00764E05">
      <w:pPr>
        <w:numPr>
          <w:ilvl w:val="0"/>
          <w:numId w:val="33"/>
        </w:numPr>
        <w:spacing w:after="120" w:line="240" w:lineRule="auto"/>
        <w:jc w:val="both"/>
        <w:rPr>
          <w:rStyle w:val="Zvraznenie"/>
          <w:rFonts w:ascii="Times New Roman" w:hAnsi="Times New Roman"/>
          <w:iCs w:val="0"/>
        </w:rPr>
      </w:pPr>
      <w:r w:rsidRPr="00217CA8">
        <w:rPr>
          <w:rFonts w:ascii="Times New Roman" w:hAnsi="Times New Roman"/>
          <w:shd w:val="clear" w:color="auto" w:fill="FFFFFF"/>
        </w:rPr>
        <w:t xml:space="preserve">nariadenie Komisie (ES) </w:t>
      </w:r>
      <w:r w:rsidRPr="00217CA8">
        <w:rPr>
          <w:rFonts w:ascii="Times New Roman" w:hAnsi="Times New Roman"/>
          <w:u w:val="single"/>
          <w:shd w:val="clear" w:color="auto" w:fill="FFFFFF"/>
        </w:rPr>
        <w:t>31/96</w:t>
      </w:r>
      <w:r w:rsidRPr="00217CA8">
        <w:rPr>
          <w:rFonts w:ascii="Times New Roman" w:hAnsi="Times New Roman"/>
          <w:shd w:val="clear" w:color="auto" w:fill="FFFFFF"/>
        </w:rPr>
        <w:t xml:space="preserve"> z 10. januára 1996 o osvedčení o oslobodení od spotrebnej dane (</w:t>
      </w:r>
      <w:r w:rsidRPr="00217CA8">
        <w:rPr>
          <w:rStyle w:val="Zvraznenie"/>
          <w:rFonts w:ascii="Times New Roman" w:hAnsi="Times New Roman"/>
          <w:shd w:val="clear" w:color="auto" w:fill="FFFFFF"/>
        </w:rPr>
        <w:t xml:space="preserve">Ú. v. ES L 8, 11.1.1996; </w:t>
      </w:r>
      <w:r w:rsidRPr="00217CA8">
        <w:rPr>
          <w:rFonts w:ascii="Times New Roman" w:hAnsi="Times New Roman"/>
        </w:rPr>
        <w:t xml:space="preserve">Mimoriadne vydanie </w:t>
      </w:r>
      <w:r w:rsidRPr="00217CA8">
        <w:rPr>
          <w:rFonts w:ascii="Times New Roman" w:hAnsi="Times New Roman"/>
          <w:snapToGrid w:val="0"/>
        </w:rPr>
        <w:t>Ú.</w:t>
      </w:r>
      <w:r>
        <w:rPr>
          <w:rFonts w:ascii="Times New Roman" w:hAnsi="Times New Roman"/>
          <w:snapToGrid w:val="0"/>
        </w:rPr>
        <w:t xml:space="preserve"> </w:t>
      </w:r>
      <w:r w:rsidRPr="00217CA8">
        <w:rPr>
          <w:rFonts w:ascii="Times New Roman" w:hAnsi="Times New Roman"/>
          <w:snapToGrid w:val="0"/>
        </w:rPr>
        <w:t>v.</w:t>
      </w:r>
      <w:r w:rsidRPr="00217CA8">
        <w:rPr>
          <w:rFonts w:ascii="Times New Roman" w:hAnsi="Times New Roman"/>
          <w:i/>
          <w:iCs/>
          <w:snapToGrid w:val="0"/>
        </w:rPr>
        <w:t xml:space="preserve"> </w:t>
      </w:r>
      <w:r w:rsidRPr="00217CA8">
        <w:rPr>
          <w:rFonts w:ascii="Times New Roman" w:hAnsi="Times New Roman"/>
        </w:rPr>
        <w:t xml:space="preserve">EÚ, kap.  9/ zv. 1), </w:t>
      </w:r>
      <w:r w:rsidRPr="00217CA8">
        <w:rPr>
          <w:rStyle w:val="Zvraznenie"/>
          <w:rFonts w:ascii="Times New Roman" w:hAnsi="Times New Roman"/>
          <w:noProof/>
        </w:rPr>
        <w:t>gestor: nebol určený,</w:t>
      </w:r>
    </w:p>
    <w:p w:rsidR="00764E05" w:rsidRPr="00094183" w:rsidRDefault="00764E05" w:rsidP="00764E05">
      <w:pPr>
        <w:numPr>
          <w:ilvl w:val="0"/>
          <w:numId w:val="33"/>
        </w:numPr>
        <w:shd w:val="clear" w:color="auto" w:fill="FFFFFF"/>
        <w:spacing w:before="120" w:after="360" w:line="240" w:lineRule="auto"/>
        <w:ind w:right="-115"/>
        <w:jc w:val="both"/>
        <w:rPr>
          <w:rStyle w:val="Zvraznenie"/>
          <w:i w:val="0"/>
          <w:iCs w:val="0"/>
        </w:rPr>
      </w:pPr>
      <w:r w:rsidRPr="00627280">
        <w:rPr>
          <w:rFonts w:ascii="Times New Roman" w:hAnsi="Times New Roman"/>
          <w:shd w:val="clear" w:color="auto" w:fill="FFFFFF"/>
        </w:rPr>
        <w:t xml:space="preserve">rozhodnutie Európskeho Parlamentu a Rady (EÚ) </w:t>
      </w:r>
      <w:r w:rsidRPr="00627280">
        <w:rPr>
          <w:rFonts w:ascii="Times New Roman" w:hAnsi="Times New Roman"/>
          <w:u w:val="single"/>
          <w:shd w:val="clear" w:color="auto" w:fill="FFFFFF"/>
        </w:rPr>
        <w:t>2020/263</w:t>
      </w:r>
      <w:r w:rsidRPr="00627280">
        <w:rPr>
          <w:rFonts w:ascii="Times New Roman" w:hAnsi="Times New Roman"/>
          <w:shd w:val="clear" w:color="auto" w:fill="FFFFFF"/>
        </w:rPr>
        <w:t xml:space="preserve"> z 15. januára 2020 o informatizácii prepravy a kontroly tovaru podliehajúceho spotrebnej dani (prepracované znenie) (</w:t>
      </w:r>
      <w:r w:rsidRPr="00627280">
        <w:rPr>
          <w:rStyle w:val="Zvraznenie"/>
          <w:rFonts w:ascii="Times New Roman" w:hAnsi="Times New Roman"/>
          <w:shd w:val="clear" w:color="auto" w:fill="FFFFFF"/>
        </w:rPr>
        <w:t xml:space="preserve">Ú. v. EÚ L 58, 27.2.2020), </w:t>
      </w:r>
      <w:r w:rsidRPr="00627280">
        <w:rPr>
          <w:rStyle w:val="Zvraznenie"/>
          <w:rFonts w:ascii="Times New Roman" w:hAnsi="Times New Roman"/>
        </w:rPr>
        <w:t>gestor: zatiaľ nebol určený</w:t>
      </w:r>
      <w:r>
        <w:rPr>
          <w:rStyle w:val="Zvraznenie"/>
          <w:rFonts w:ascii="Times New Roman" w:hAnsi="Times New Roman"/>
        </w:rPr>
        <w:t>,</w:t>
      </w:r>
    </w:p>
    <w:p w:rsidR="00764E05" w:rsidRPr="00094183" w:rsidRDefault="00764E05" w:rsidP="00764E05">
      <w:pPr>
        <w:pStyle w:val="Odsekzoznamu"/>
        <w:widowControl w:val="0"/>
        <w:numPr>
          <w:ilvl w:val="0"/>
          <w:numId w:val="33"/>
        </w:numPr>
        <w:adjustRightInd w:val="0"/>
        <w:spacing w:after="0" w:line="240" w:lineRule="auto"/>
        <w:jc w:val="both"/>
        <w:rPr>
          <w:rStyle w:val="Zvraznenie"/>
          <w:i w:val="0"/>
          <w:shd w:val="clear" w:color="auto" w:fill="FFFFFF"/>
        </w:rPr>
      </w:pPr>
      <w:r w:rsidRPr="00781E12">
        <w:t>n</w:t>
      </w:r>
      <w:r w:rsidRPr="00781E12">
        <w:rPr>
          <w:bCs/>
          <w:shd w:val="clear" w:color="auto" w:fill="FFFFFF"/>
        </w:rPr>
        <w:t xml:space="preserve">ariadenie Rady </w:t>
      </w:r>
      <w:r w:rsidRPr="00094183">
        <w:rPr>
          <w:bCs/>
          <w:shd w:val="clear" w:color="auto" w:fill="FFFFFF"/>
        </w:rPr>
        <w:t xml:space="preserve">(EÚ) </w:t>
      </w:r>
      <w:r w:rsidRPr="00094183">
        <w:rPr>
          <w:bCs/>
          <w:u w:val="single"/>
          <w:shd w:val="clear" w:color="auto" w:fill="FFFFFF"/>
        </w:rPr>
        <w:t>2022/1854</w:t>
      </w:r>
      <w:r w:rsidRPr="00094183">
        <w:rPr>
          <w:bCs/>
          <w:shd w:val="clear" w:color="auto" w:fill="FFFFFF"/>
        </w:rPr>
        <w:t xml:space="preserve"> zo 6. októbra 2022 o núdzovom zásahu s cieľom riešiť vysoké ceny energie (</w:t>
      </w:r>
      <w:r w:rsidRPr="00094183">
        <w:rPr>
          <w:rStyle w:val="Zvraznenie"/>
          <w:shd w:val="clear" w:color="auto" w:fill="FFFFFF"/>
        </w:rPr>
        <w:t>Ú. v. EÚ L 261I , 7.10.2022), gestor: zatiaľ nebol určený,</w:t>
      </w:r>
    </w:p>
    <w:p w:rsidR="00764E05" w:rsidRPr="00D64712" w:rsidRDefault="00764E05" w:rsidP="00764E05">
      <w:pPr>
        <w:jc w:val="both"/>
        <w:rPr>
          <w:rStyle w:val="Zvraznenie"/>
          <w:rFonts w:ascii="Times New Roman" w:hAnsi="Times New Roman"/>
          <w:i w:val="0"/>
          <w:shd w:val="clear" w:color="auto" w:fill="FFFFFF"/>
        </w:rPr>
      </w:pPr>
    </w:p>
    <w:p w:rsidR="00764E05" w:rsidRPr="00094183" w:rsidRDefault="00764E05" w:rsidP="00764E05">
      <w:pPr>
        <w:pStyle w:val="Odsekzoznamu"/>
        <w:widowControl w:val="0"/>
        <w:numPr>
          <w:ilvl w:val="0"/>
          <w:numId w:val="33"/>
        </w:numPr>
        <w:adjustRightInd w:val="0"/>
        <w:spacing w:after="0" w:line="240" w:lineRule="auto"/>
        <w:jc w:val="both"/>
        <w:rPr>
          <w:rStyle w:val="Zvraznenie"/>
          <w:i w:val="0"/>
          <w:shd w:val="clear" w:color="auto" w:fill="FFFFFF"/>
        </w:rPr>
      </w:pPr>
      <w:r w:rsidRPr="00094183">
        <w:rPr>
          <w:rStyle w:val="Zvraznenie"/>
          <w:shd w:val="clear" w:color="auto" w:fill="FFFFFF"/>
        </w:rPr>
        <w:t>n</w:t>
      </w:r>
      <w:r w:rsidRPr="00094183">
        <w:rPr>
          <w:bCs/>
          <w:shd w:val="clear" w:color="auto" w:fill="FFFFFF"/>
        </w:rPr>
        <w:t xml:space="preserve">ariadenie Európskeho Parlamentu a Rady (ES) č. </w:t>
      </w:r>
      <w:r w:rsidRPr="00094183">
        <w:rPr>
          <w:bCs/>
          <w:u w:val="single"/>
          <w:shd w:val="clear" w:color="auto" w:fill="FFFFFF"/>
        </w:rPr>
        <w:t>1893/2006</w:t>
      </w:r>
      <w:r w:rsidRPr="00094183">
        <w:rPr>
          <w:bCs/>
          <w:shd w:val="clear" w:color="auto" w:fill="FFFFFF"/>
        </w:rPr>
        <w:t xml:space="preserve"> z 20. decembra 2006, ktorým sa zavádza štatistická klasifikácia ekonomických činností NACE Revision 2 a ktorým sa mení a dopĺňa nariadenie Rady (EHS) č. 3037/90 a niektoré nariadenia ES o osobitných oblastiach štatistiky (</w:t>
      </w:r>
      <w:r w:rsidRPr="00094183">
        <w:rPr>
          <w:rStyle w:val="Zvraznenie"/>
          <w:shd w:val="clear" w:color="auto" w:fill="FFFFFF"/>
        </w:rPr>
        <w:t>Ú. v. EÚ L 393, 30.12.2006), v platnom znení, gestor: ŠÚ SR.</w:t>
      </w:r>
    </w:p>
    <w:p w:rsidR="00764E05" w:rsidRDefault="00764E05" w:rsidP="00764E05">
      <w:pPr>
        <w:pStyle w:val="Odsekzoznamu"/>
        <w:ind w:left="900"/>
        <w:jc w:val="both"/>
        <w:rPr>
          <w:iCs/>
          <w:shd w:val="clear" w:color="auto" w:fill="FFFFFF"/>
        </w:rPr>
      </w:pPr>
    </w:p>
    <w:p w:rsidR="00764E05" w:rsidRPr="00094183" w:rsidRDefault="00764E05" w:rsidP="00764E05">
      <w:pPr>
        <w:pStyle w:val="Odsekzoznamu"/>
        <w:ind w:left="900"/>
        <w:jc w:val="both"/>
        <w:rPr>
          <w:iCs/>
          <w:shd w:val="clear" w:color="auto" w:fill="FFFFFF"/>
        </w:rPr>
      </w:pPr>
    </w:p>
    <w:p w:rsidR="00764E05" w:rsidRDefault="00764E05" w:rsidP="00764E05">
      <w:pPr>
        <w:pStyle w:val="Zkladntext"/>
        <w:numPr>
          <w:ilvl w:val="1"/>
          <w:numId w:val="32"/>
        </w:numPr>
        <w:tabs>
          <w:tab w:val="left" w:pos="851"/>
        </w:tabs>
        <w:jc w:val="both"/>
        <w:rPr>
          <w:b w:val="0"/>
        </w:rPr>
      </w:pPr>
      <w:r w:rsidRPr="00086851">
        <w:t>Judikatúra Súdneho dvora Európskej únie:</w:t>
      </w:r>
    </w:p>
    <w:p w:rsidR="00764E05" w:rsidRDefault="00764E05" w:rsidP="00764E05">
      <w:pPr>
        <w:pStyle w:val="Zkladntext"/>
        <w:tabs>
          <w:tab w:val="left" w:pos="851"/>
        </w:tabs>
        <w:jc w:val="both"/>
        <w:rPr>
          <w:b w:val="0"/>
        </w:rPr>
      </w:pPr>
    </w:p>
    <w:p w:rsidR="00764E05" w:rsidRPr="00021CF0" w:rsidRDefault="00764E05" w:rsidP="00764E05">
      <w:pPr>
        <w:pStyle w:val="Normlnywebov"/>
        <w:numPr>
          <w:ilvl w:val="0"/>
          <w:numId w:val="36"/>
        </w:numPr>
        <w:spacing w:before="0" w:beforeAutospacing="0" w:after="0" w:afterAutospacing="0"/>
        <w:ind w:left="896" w:right="-113" w:hanging="357"/>
        <w:jc w:val="both"/>
        <w:rPr>
          <w:lang w:eastAsia="cs-CZ"/>
        </w:rPr>
      </w:pPr>
      <w:r>
        <w:rPr>
          <w:lang w:eastAsia="cs-CZ"/>
        </w:rPr>
        <w:lastRenderedPageBreak/>
        <w:t>rozhodnutie</w:t>
      </w:r>
      <w:r w:rsidRPr="00021CF0">
        <w:rPr>
          <w:lang w:eastAsia="cs-CZ"/>
        </w:rPr>
        <w:t xml:space="preserve"> Súdneho </w:t>
      </w:r>
      <w:r w:rsidRPr="0098778A">
        <w:rPr>
          <w:lang w:eastAsia="cs-CZ"/>
        </w:rPr>
        <w:t>dvora (prvá komora) vo veci C‑703/19 J.</w:t>
      </w:r>
      <w:r>
        <w:rPr>
          <w:lang w:eastAsia="cs-CZ"/>
        </w:rPr>
        <w:t xml:space="preserve"> K. proti</w:t>
      </w:r>
      <w:r w:rsidRPr="0098778A">
        <w:rPr>
          <w:lang w:eastAsia="cs-CZ"/>
        </w:rPr>
        <w:t xml:space="preserve"> Dyrektor Izby Administracji Skarbowej w Katowicach</w:t>
      </w:r>
      <w:r>
        <w:rPr>
          <w:lang w:eastAsia="cs-CZ"/>
        </w:rPr>
        <w:t xml:space="preserve">, [2021] </w:t>
      </w:r>
    </w:p>
    <w:p w:rsidR="00764E05" w:rsidRPr="00021CF0" w:rsidRDefault="00764E05" w:rsidP="00764E05">
      <w:pPr>
        <w:pStyle w:val="Normlnywebov"/>
        <w:spacing w:before="0" w:after="0"/>
        <w:ind w:left="750" w:right="-113" w:firstLine="146"/>
        <w:jc w:val="both"/>
        <w:rPr>
          <w:lang w:eastAsia="cs-CZ"/>
        </w:rPr>
      </w:pPr>
      <w:r w:rsidRPr="00021CF0">
        <w:rPr>
          <w:lang w:eastAsia="cs-CZ"/>
        </w:rPr>
        <w:t xml:space="preserve">Výrok </w:t>
      </w:r>
      <w:r>
        <w:rPr>
          <w:lang w:eastAsia="cs-CZ"/>
        </w:rPr>
        <w:t>rozhodnutia</w:t>
      </w:r>
      <w:r w:rsidRPr="00021CF0">
        <w:rPr>
          <w:lang w:eastAsia="cs-CZ"/>
        </w:rPr>
        <w:t>:</w:t>
      </w:r>
    </w:p>
    <w:p w:rsidR="00764E05" w:rsidRDefault="00764E05" w:rsidP="00764E05">
      <w:pPr>
        <w:pStyle w:val="Normlnywebov"/>
        <w:spacing w:before="0" w:after="0"/>
        <w:ind w:left="896" w:right="-113"/>
        <w:jc w:val="both"/>
      </w:pPr>
      <w:r w:rsidRPr="00476232">
        <w:rPr>
          <w:lang w:eastAsia="cs-CZ"/>
        </w:rPr>
        <w:t>„Článok 98 ods. 2 smernice Rady 2006/112/ES z 28. novembra 2006 o spoločnom systéme dane z pridanej hodnoty, zmenenej smernicou Rady 2009/47/ES z 5. mája 2009, v spojení s prílohou III bodom 12a tejto smernice a článkom 6 vykonávacieho nariadenia Rady (EÚ) č. 282/2011 z 15. marca 2011, ktorým sa ustanovujú vykonávacie opatrenia smernice 2006/112/ES sa má vykladať v tom zmysle, že pod pojem „reštauračné a stravovacie služby“ patrí poskytovanie jedál sprevádzané dostatočne podpornými službami určenými na umožnenie okamžitej konzumácie týchto jedál konečným zákazníkom, čo prináleží overiť vnútroštátnemu súdu. Ak sa konečný zákazník rozhodne nepoužívať materiálne a ľudské prostriedky, ktoré mu zdaniteľná osoba poskytla na účely sprevádzania konzumácie dodaných jedál, treba dospieť k záveru, že poskytovanie týchto jedál nesprevádza žiadna podporná služba.</w:t>
      </w:r>
      <w:r>
        <w:t>“.</w:t>
      </w:r>
    </w:p>
    <w:p w:rsidR="00764E05" w:rsidRPr="00DF13CF" w:rsidRDefault="00764E05" w:rsidP="00764E05">
      <w:pPr>
        <w:pStyle w:val="Zkladntext"/>
        <w:numPr>
          <w:ilvl w:val="0"/>
          <w:numId w:val="35"/>
        </w:numPr>
        <w:tabs>
          <w:tab w:val="clear" w:pos="660"/>
          <w:tab w:val="num" w:pos="1086"/>
        </w:tabs>
        <w:autoSpaceDE w:val="0"/>
        <w:autoSpaceDN w:val="0"/>
        <w:ind w:left="846" w:hanging="279"/>
        <w:jc w:val="both"/>
      </w:pPr>
      <w:r w:rsidRPr="00DF13CF">
        <w:t>rozhodnutie Súdneho dvora (druhá komora) vo veci C-140/05, Amalia Valeško p</w:t>
      </w:r>
      <w:r>
        <w:t>roti Zollamt Klagenfurt, [2006]</w:t>
      </w:r>
    </w:p>
    <w:p w:rsidR="00764E05" w:rsidRPr="00DF13CF" w:rsidRDefault="00764E05" w:rsidP="00764E05">
      <w:pPr>
        <w:pStyle w:val="Zkladntext"/>
        <w:autoSpaceDE w:val="0"/>
        <w:autoSpaceDN w:val="0"/>
        <w:ind w:left="797" w:firstLine="49"/>
        <w:jc w:val="both"/>
      </w:pPr>
      <w:r w:rsidRPr="00DF13CF">
        <w:t>Výrok rozhodnutia:</w:t>
      </w:r>
    </w:p>
    <w:p w:rsidR="00764E05" w:rsidRDefault="00764E05" w:rsidP="00764E05">
      <w:pPr>
        <w:pStyle w:val="c08dispositif"/>
        <w:spacing w:before="0" w:beforeAutospacing="0" w:after="0"/>
        <w:ind w:left="851" w:firstLine="0"/>
        <w:rPr>
          <w:b w:val="0"/>
          <w:bCs w:val="0"/>
        </w:rPr>
      </w:pPr>
      <w:r>
        <w:rPr>
          <w:b w:val="0"/>
          <w:bCs w:val="0"/>
          <w:lang w:eastAsia="cs-CZ"/>
        </w:rPr>
        <w:t>„</w:t>
      </w:r>
      <w:r w:rsidRPr="00DF13CF">
        <w:rPr>
          <w:b w:val="0"/>
          <w:bCs w:val="0"/>
          <w:lang w:eastAsia="cs-CZ"/>
        </w:rPr>
        <w:t>1. Bod 6 ods. 2 prílohy XIII Aktu o podmienkach pristúpenia Českej republiky, Estónskej republiky, Cyperskej republiky, Lotyšskej republiky, Litovskej republiky, Maďarskej re</w:t>
      </w:r>
      <w:r w:rsidRPr="00DF13CF">
        <w:rPr>
          <w:b w:val="0"/>
          <w:bCs w:val="0"/>
        </w:rPr>
        <w:t>publiky, Maltskej republiky, Poľskej republiky, Slovinskej republiky a Slovenskej republiky a o úpravách zmlúv, na ktorých je založená Európska únia, sa má vykladať tak, že mu neodporuje to, aby Rakúska republika prechodne zachovala svoju právnu úpravu týkajúcu sa oslobodenia od spotrebnej dane obmedzeného na 25 kusov pre cigarety pochádzajúce zo Slovinska, dovezené na územie Rakúskej republiky v osobnej batožine cestujúcich, ktorí majú bydlisko v Rakúskej republike a vstupujú priamo na jej územie cez pozemnú hranicu alebo vnútrozemské vody tohto členského štátu.</w:t>
      </w:r>
    </w:p>
    <w:p w:rsidR="00764E05" w:rsidRDefault="00764E05" w:rsidP="00764E05">
      <w:pPr>
        <w:pStyle w:val="c08dispositif"/>
        <w:spacing w:before="0" w:beforeAutospacing="0" w:after="0"/>
        <w:ind w:left="851" w:firstLine="0"/>
        <w:rPr>
          <w:b w:val="0"/>
          <w:bCs w:val="0"/>
        </w:rPr>
      </w:pPr>
      <w:r w:rsidRPr="00DF13CF">
        <w:rPr>
          <w:b w:val="0"/>
          <w:bCs w:val="0"/>
        </w:rPr>
        <w:t>2. Články 23 ES, 25 ES a 26 ES sa majú vykladať tak, že im neodporuje vnútroštátna právna úprava, akou je právna úprava sporná v konaní vo veci samej, podľa ktorej je oslobodenie od spotrebnej dane obmedzené na 25 kusov pre cigarety dovážané v osobnej batožine cestujúcich pri vstupe na územie Rakúskej republiky z niektorých iných členských štátov, najmä Slovinskej republiky, bez ohľadu na skutočnosť, že v dôsledku posledného rozšírenia Únie sa už toto obmedzené oslobodenie od spotrebnej dane neuplatňuje na žiadny tretí štát s jedinou výnimkou švajčiarskeho slobodného colného pásma Samnauntal a že pri dovozoch cigariet pochádzajúcich z tretích krajín sa vo všeobecnosti oslobodenie od spotrebnej dane vzťahuje na 200 kusov.</w:t>
      </w:r>
      <w:r>
        <w:rPr>
          <w:b w:val="0"/>
          <w:bCs w:val="0"/>
        </w:rPr>
        <w:t>“</w:t>
      </w:r>
    </w:p>
    <w:p w:rsidR="00764E05" w:rsidRPr="00DF13CF" w:rsidRDefault="00764E05" w:rsidP="00764E05">
      <w:pPr>
        <w:pStyle w:val="c08dispositif"/>
        <w:spacing w:before="0" w:beforeAutospacing="0" w:after="0"/>
        <w:ind w:left="851" w:firstLine="0"/>
        <w:rPr>
          <w:b w:val="0"/>
          <w:bCs w:val="0"/>
        </w:rPr>
      </w:pPr>
    </w:p>
    <w:p w:rsidR="00764E05" w:rsidRPr="00DF13CF" w:rsidRDefault="00764E05" w:rsidP="00764E05">
      <w:pPr>
        <w:pStyle w:val="Zkladntext"/>
        <w:numPr>
          <w:ilvl w:val="0"/>
          <w:numId w:val="35"/>
        </w:numPr>
        <w:tabs>
          <w:tab w:val="clear" w:pos="660"/>
          <w:tab w:val="num" w:pos="802"/>
        </w:tabs>
        <w:autoSpaceDE w:val="0"/>
        <w:autoSpaceDN w:val="0"/>
        <w:ind w:left="802" w:hanging="235"/>
        <w:jc w:val="both"/>
      </w:pPr>
      <w:r w:rsidRPr="00DF13CF">
        <w:rPr>
          <w:bCs/>
        </w:rPr>
        <w:t xml:space="preserve">rozhodnutie </w:t>
      </w:r>
      <w:r w:rsidRPr="00DF13CF">
        <w:t>Súdneho dvora (prvá komora) vo veci C-64/15, BP Europa SE proti Hauptzollamt Hamburg</w:t>
      </w:r>
      <w:r w:rsidRPr="00DF13CF">
        <w:noBreakHyphen/>
        <w:t>Stadt, [</w:t>
      </w:r>
      <w:r w:rsidRPr="00DF13CF">
        <w:rPr>
          <w:iCs/>
        </w:rPr>
        <w:t>2016]</w:t>
      </w:r>
    </w:p>
    <w:p w:rsidR="00764E05" w:rsidRPr="00DF13CF" w:rsidRDefault="00764E05" w:rsidP="00764E05">
      <w:pPr>
        <w:pStyle w:val="Zkladntext"/>
        <w:autoSpaceDE w:val="0"/>
        <w:autoSpaceDN w:val="0"/>
        <w:ind w:left="753" w:firstLine="49"/>
        <w:jc w:val="both"/>
      </w:pPr>
      <w:r w:rsidRPr="00DF13CF">
        <w:t>Výrok rozhodnutia:</w:t>
      </w:r>
    </w:p>
    <w:p w:rsidR="00764E05" w:rsidRPr="00DF13CF" w:rsidRDefault="00764E05" w:rsidP="00764E05">
      <w:pPr>
        <w:pStyle w:val="c08dispositif"/>
        <w:tabs>
          <w:tab w:val="left" w:pos="993"/>
        </w:tabs>
        <w:spacing w:before="0" w:beforeAutospacing="0" w:after="0"/>
        <w:ind w:left="851" w:firstLine="0"/>
        <w:rPr>
          <w:b w:val="0"/>
          <w:bCs w:val="0"/>
        </w:rPr>
      </w:pPr>
      <w:r>
        <w:rPr>
          <w:b w:val="0"/>
          <w:bCs w:val="0"/>
        </w:rPr>
        <w:t>„</w:t>
      </w:r>
      <w:r w:rsidRPr="00DF13CF">
        <w:rPr>
          <w:b w:val="0"/>
          <w:bCs w:val="0"/>
        </w:rPr>
        <w:t>1. Článok 20 ods. 2 smernice Rady </w:t>
      </w:r>
      <w:bookmarkStart w:id="4" w:name="ctx46"/>
      <w:r w:rsidRPr="00DF13CF">
        <w:rPr>
          <w:b w:val="0"/>
          <w:bCs w:val="0"/>
        </w:rPr>
        <w:t>2008/118</w:t>
      </w:r>
      <w:bookmarkEnd w:id="4"/>
      <w:r w:rsidRPr="00DF13CF">
        <w:rPr>
          <w:b w:val="0"/>
          <w:bCs w:val="0"/>
        </w:rPr>
        <w:t>/ES zo 16. decembra 2008 o všeobecnom systéme spotrebných daní a o zrušení smernice 92/12/EHS sa má vykladať v tom zmysle, že preprava tovaru podliehajúceho spotrebnej dani v režime pozastavenia dane v zmysle tohto ustanovenia v situácii, ako je situácia v konaní vo veci samej, končí v čase, keď príjemca tohto tovaru pri ukončení úplnej vykládky dopravného prostriedku obsahujúceho predmetný tovar konštatuje, že chýba určité množstvo tohto tovaru v porovnaní s množstvom, ktoré sa mu malo dodať.</w:t>
      </w:r>
    </w:p>
    <w:p w:rsidR="00764E05" w:rsidRPr="00DF13CF" w:rsidRDefault="00764E05" w:rsidP="00764E05">
      <w:pPr>
        <w:pStyle w:val="c08dispositif"/>
        <w:tabs>
          <w:tab w:val="left" w:pos="993"/>
        </w:tabs>
        <w:spacing w:before="0" w:beforeAutospacing="0" w:after="0"/>
        <w:ind w:left="851" w:firstLine="0"/>
        <w:rPr>
          <w:b w:val="0"/>
          <w:bCs w:val="0"/>
        </w:rPr>
      </w:pPr>
      <w:r w:rsidRPr="00DF13CF">
        <w:rPr>
          <w:b w:val="0"/>
          <w:bCs w:val="0"/>
        </w:rPr>
        <w:lastRenderedPageBreak/>
        <w:t>2. Spojené ustanovenia článku 7 ods. 2 písm. a) a článku 10 ods. 2 smernice </w:t>
      </w:r>
      <w:bookmarkStart w:id="5" w:name="ctx47"/>
      <w:r w:rsidRPr="00DF13CF">
        <w:rPr>
          <w:b w:val="0"/>
          <w:bCs w:val="0"/>
        </w:rPr>
        <w:t>2008/118</w:t>
      </w:r>
      <w:bookmarkEnd w:id="5"/>
      <w:r w:rsidRPr="00DF13CF">
        <w:rPr>
          <w:b w:val="0"/>
          <w:bCs w:val="0"/>
        </w:rPr>
        <w:t> sa majú vykladať v tom zmysle, že:</w:t>
      </w:r>
    </w:p>
    <w:p w:rsidR="00764E05" w:rsidRPr="00DF13CF" w:rsidRDefault="00764E05" w:rsidP="00764E05">
      <w:pPr>
        <w:pStyle w:val="c31dispositiftiretlong"/>
        <w:spacing w:before="0" w:beforeAutospacing="0" w:after="0" w:afterAutospacing="0"/>
        <w:ind w:left="851"/>
        <w:jc w:val="both"/>
        <w:rPr>
          <w:bCs/>
        </w:rPr>
      </w:pPr>
      <w:r w:rsidRPr="00DF13CF">
        <w:rPr>
          <w:bCs/>
        </w:rPr>
        <w:t>– situácie, ktoré upravujú, sa odlišujú od situácie upravenej článkom 7 ods. 4 tejto smernice a</w:t>
      </w:r>
    </w:p>
    <w:p w:rsidR="00764E05" w:rsidRPr="00DF13CF" w:rsidRDefault="00764E05" w:rsidP="00764E05">
      <w:pPr>
        <w:pStyle w:val="c31dispositiftiretlong"/>
        <w:spacing w:before="0" w:beforeAutospacing="0" w:after="0" w:afterAutospacing="0"/>
        <w:ind w:left="851"/>
        <w:jc w:val="both"/>
        <w:rPr>
          <w:bCs/>
        </w:rPr>
      </w:pPr>
      <w:r w:rsidRPr="00DF13CF">
        <w:rPr>
          <w:bCs/>
        </w:rPr>
        <w:t>– okolnosť, že vnútroštátne ustanovenie preberajúce článok 10 ods. 2 smernice </w:t>
      </w:r>
      <w:bookmarkStart w:id="6" w:name="ctx48"/>
      <w:r w:rsidRPr="00DF13CF">
        <w:rPr>
          <w:bCs/>
        </w:rPr>
        <w:t>2008/118</w:t>
      </w:r>
      <w:bookmarkEnd w:id="6"/>
      <w:r w:rsidRPr="00DF13CF">
        <w:rPr>
          <w:bCs/>
        </w:rPr>
        <w:t>, ako je ustanovenie sporné v konaní vo veci samej, výslovne neuvádza, že nezrovnalosť, ktorú toto ustanovenie smernice upravuje, musí mať za následok uvedenie predmetného tovaru do daňového voľného obehu, nemôže brániť uplatneniu tohto vnútroštátneho ustanovenia pri konštatovaní chýbajúceho množstva, pri ktorom sa nevyhnutne predpokladá takéto uvedenie do daňového voľného obehu.</w:t>
      </w:r>
    </w:p>
    <w:p w:rsidR="00764E05" w:rsidRDefault="00764E05" w:rsidP="00764E05">
      <w:pPr>
        <w:pStyle w:val="c08dispositif"/>
        <w:numPr>
          <w:ilvl w:val="0"/>
          <w:numId w:val="37"/>
        </w:numPr>
        <w:tabs>
          <w:tab w:val="clear" w:pos="360"/>
          <w:tab w:val="left" w:pos="1134"/>
        </w:tabs>
        <w:spacing w:before="0" w:beforeAutospacing="0" w:after="0"/>
        <w:ind w:left="851" w:firstLine="0"/>
        <w:rPr>
          <w:b w:val="0"/>
          <w:bCs w:val="0"/>
        </w:rPr>
      </w:pPr>
      <w:r w:rsidRPr="00DF13CF">
        <w:rPr>
          <w:b w:val="0"/>
          <w:bCs w:val="0"/>
        </w:rPr>
        <w:t>Článok 10 ods. 4 smernice </w:t>
      </w:r>
      <w:bookmarkStart w:id="7" w:name="ctx49"/>
      <w:r w:rsidRPr="00DF13CF">
        <w:rPr>
          <w:b w:val="0"/>
          <w:bCs w:val="0"/>
        </w:rPr>
        <w:t>2008/118</w:t>
      </w:r>
      <w:bookmarkEnd w:id="7"/>
      <w:r w:rsidRPr="00DF13CF">
        <w:rPr>
          <w:b w:val="0"/>
          <w:bCs w:val="0"/>
        </w:rPr>
        <w:t> sa má vykladať v tom zmysle, že sa uplatňuje, nielen keď na miesto určenia nedorazí všetok tovar prepravovaný v režime pozastavenia dane, alebo tiež v prípade, ak na miesto určenia nedorazí len časť tohto tovaru.</w:t>
      </w:r>
      <w:r>
        <w:rPr>
          <w:b w:val="0"/>
          <w:bCs w:val="0"/>
        </w:rPr>
        <w:t>“</w:t>
      </w:r>
    </w:p>
    <w:p w:rsidR="00764E05" w:rsidRPr="00DF13CF" w:rsidRDefault="00764E05" w:rsidP="00764E05">
      <w:pPr>
        <w:pStyle w:val="c08dispositif"/>
        <w:tabs>
          <w:tab w:val="left" w:pos="1134"/>
        </w:tabs>
        <w:spacing w:before="0" w:beforeAutospacing="0" w:after="0"/>
        <w:ind w:left="851" w:firstLine="0"/>
        <w:rPr>
          <w:b w:val="0"/>
          <w:bCs w:val="0"/>
        </w:rPr>
      </w:pPr>
    </w:p>
    <w:p w:rsidR="00764E05" w:rsidRPr="00DF13CF" w:rsidRDefault="00764E05" w:rsidP="00764E05">
      <w:pPr>
        <w:pStyle w:val="Zkladntext"/>
        <w:numPr>
          <w:ilvl w:val="0"/>
          <w:numId w:val="35"/>
        </w:numPr>
        <w:tabs>
          <w:tab w:val="clear" w:pos="660"/>
          <w:tab w:val="num" w:pos="851"/>
        </w:tabs>
        <w:autoSpaceDE w:val="0"/>
        <w:autoSpaceDN w:val="0"/>
        <w:ind w:left="851" w:hanging="284"/>
        <w:jc w:val="both"/>
        <w:rPr>
          <w:rStyle w:val="Zvraznenie"/>
          <w:i w:val="0"/>
          <w:iCs w:val="0"/>
        </w:rPr>
      </w:pPr>
      <w:r w:rsidRPr="00DF13CF">
        <w:rPr>
          <w:bCs/>
        </w:rPr>
        <w:t xml:space="preserve">rozhodnutie Súdneho dvora (prvá komora) vo veci </w:t>
      </w:r>
      <w:r w:rsidRPr="00DF13CF">
        <w:t>C</w:t>
      </w:r>
      <w:r w:rsidRPr="00DF13CF">
        <w:noBreakHyphen/>
        <w:t>165/13</w:t>
      </w:r>
      <w:r w:rsidRPr="00DF13CF">
        <w:rPr>
          <w:bCs/>
        </w:rPr>
        <w:t>, Stanislav Gross proti Hauptzollamt Braunschweig, [</w:t>
      </w:r>
      <w:r w:rsidRPr="00DF13CF">
        <w:rPr>
          <w:rStyle w:val="Zvraznenie"/>
        </w:rPr>
        <w:t>2014</w:t>
      </w:r>
      <w:r>
        <w:rPr>
          <w:rStyle w:val="Zvraznenie"/>
        </w:rPr>
        <w:t>]</w:t>
      </w:r>
    </w:p>
    <w:p w:rsidR="00764E05" w:rsidRPr="00DF13CF" w:rsidRDefault="00764E05" w:rsidP="00764E05">
      <w:pPr>
        <w:pStyle w:val="Zkladntext"/>
        <w:autoSpaceDE w:val="0"/>
        <w:autoSpaceDN w:val="0"/>
        <w:ind w:left="802" w:firstLine="49"/>
        <w:jc w:val="both"/>
      </w:pPr>
      <w:r w:rsidRPr="00DF13CF">
        <w:rPr>
          <w:bCs/>
        </w:rPr>
        <w:t>Výrok rozhodnutia:</w:t>
      </w:r>
    </w:p>
    <w:p w:rsidR="00764E05" w:rsidRDefault="00764E05" w:rsidP="00764E05">
      <w:pPr>
        <w:pStyle w:val="c08dispositif"/>
        <w:spacing w:before="0" w:beforeAutospacing="0" w:after="0"/>
        <w:ind w:left="851" w:firstLine="0"/>
        <w:rPr>
          <w:b w:val="0"/>
          <w:bCs w:val="0"/>
        </w:rPr>
      </w:pPr>
      <w:r>
        <w:rPr>
          <w:b w:val="0"/>
          <w:bCs w:val="0"/>
        </w:rPr>
        <w:t>„</w:t>
      </w:r>
      <w:r w:rsidRPr="00DF13CF">
        <w:rPr>
          <w:b w:val="0"/>
          <w:bCs w:val="0"/>
        </w:rPr>
        <w:t>Článok 9 ods. 1 smernice Rady 92/12/EHS z 25. februára 1992 o všeobecných systémoch pre výrobky podliehajúce spotrebnej dani a o vlastníctve, pohybe a monitorovaní takýchto výrobkov, zmenenej a doplnenej smernicou Rady 92/108/EHS zo 14. decembra 1992, v spojení s článkom 7 tejto smernice sa má vykladať v tom zmysle, že toto ustanovenie umožňuje, aby členský štát označil za platiteľa spotrebnej dane osobu, ktorá má v držbe na daňovom území tohto štátu na komerčné účely výrobky podliehajúce spotrebnej dani uvoľnené na spotrebu v inom členskom štáte, za okolností, akými sú okolnosti sporu vo veci samej, aj keď táto osoba nebola v členskom štáte určenia prvým držiteľom týchto výrobkov.</w:t>
      </w:r>
      <w:r>
        <w:rPr>
          <w:b w:val="0"/>
          <w:bCs w:val="0"/>
        </w:rPr>
        <w:t>“</w:t>
      </w:r>
    </w:p>
    <w:p w:rsidR="00764E05" w:rsidRDefault="00764E05" w:rsidP="00764E05">
      <w:pPr>
        <w:pStyle w:val="c08dispositif"/>
        <w:spacing w:before="0" w:beforeAutospacing="0" w:after="0"/>
        <w:ind w:left="851" w:firstLine="0"/>
        <w:rPr>
          <w:b w:val="0"/>
          <w:bCs w:val="0"/>
        </w:rPr>
      </w:pPr>
    </w:p>
    <w:p w:rsidR="00764E05" w:rsidRPr="00457D4C" w:rsidRDefault="00764E05" w:rsidP="00764E05">
      <w:pPr>
        <w:pStyle w:val="Normlnywebov"/>
        <w:numPr>
          <w:ilvl w:val="0"/>
          <w:numId w:val="38"/>
        </w:numPr>
        <w:tabs>
          <w:tab w:val="clear" w:pos="644"/>
          <w:tab w:val="num" w:pos="709"/>
        </w:tabs>
        <w:spacing w:before="0" w:beforeAutospacing="0" w:after="0" w:afterAutospacing="0"/>
        <w:ind w:left="851" w:hanging="284"/>
        <w:jc w:val="both"/>
        <w:rPr>
          <w:i/>
          <w:noProof/>
        </w:rPr>
      </w:pPr>
      <w:r>
        <w:rPr>
          <w:noProof/>
        </w:rPr>
        <w:t xml:space="preserve">   </w:t>
      </w:r>
      <w:r w:rsidRPr="001A4746">
        <w:rPr>
          <w:noProof/>
        </w:rPr>
        <w:t xml:space="preserve">rozhodnutie Súdneho dvora vo veci C-83/08, </w:t>
      </w:r>
      <w:r w:rsidRPr="001A4746">
        <w:rPr>
          <w:bCs/>
          <w:noProof/>
        </w:rPr>
        <w:t>Glückauf Brauerei GmbH proti Hauptzollamt Erfurt, [2009</w:t>
      </w:r>
      <w:r w:rsidRPr="00457D4C">
        <w:rPr>
          <w:bCs/>
          <w:noProof/>
        </w:rPr>
        <w:t>]</w:t>
      </w:r>
    </w:p>
    <w:p w:rsidR="00764E05" w:rsidRPr="00457D4C" w:rsidRDefault="00764E05" w:rsidP="00764E05">
      <w:pPr>
        <w:pStyle w:val="Zkladntext"/>
        <w:autoSpaceDE w:val="0"/>
        <w:autoSpaceDN w:val="0"/>
        <w:ind w:left="786" w:firstLine="65"/>
        <w:jc w:val="both"/>
      </w:pPr>
      <w:r w:rsidRPr="00457D4C">
        <w:rPr>
          <w:bCs/>
        </w:rPr>
        <w:t>Výrok rozhodnutia:</w:t>
      </w:r>
    </w:p>
    <w:p w:rsidR="00764E05" w:rsidRDefault="00764E05" w:rsidP="00764E05">
      <w:pPr>
        <w:pStyle w:val="Normlnywebov"/>
        <w:spacing w:before="0" w:after="0"/>
        <w:ind w:left="851"/>
        <w:jc w:val="both"/>
        <w:rPr>
          <w:bCs/>
        </w:rPr>
      </w:pPr>
      <w:r>
        <w:rPr>
          <w:bCs/>
        </w:rPr>
        <w:t>„</w:t>
      </w:r>
      <w:r w:rsidRPr="00457D4C">
        <w:rPr>
          <w:bCs/>
        </w:rPr>
        <w:t>Článok 4 ods. 2 smernice Rady 92/83/EHS z 19. októbra 1992 o zosúladení štruktúr spotrebných daní pre etanol a alkoholické nápoje sa má vykladať v tom zmysle, že situácia charakterizovaná existenciou štrukturálnych prepojení medzi rôznymi pivovarmi z hľadiska majetkových účastí a hlasovacích práv, ktorá vyúsťuje do toho, že tá istá osoba vykonávajúca riadiace funkcie vo viacerých z dotknutých pivovarov má nezávisle od svojho skutočného správania možnosť vykonávať vplyv na prijímanie obchodných rozhodnutí týmito pivovarmi, vylučuje, aby sa tieto pivovary mohli považovať za hospodársky nezávislé jeden od druhého.</w:t>
      </w:r>
      <w:r>
        <w:rPr>
          <w:bCs/>
        </w:rPr>
        <w:t>“</w:t>
      </w:r>
    </w:p>
    <w:p w:rsidR="00764E05" w:rsidRPr="00457D4C" w:rsidRDefault="00764E05" w:rsidP="00764E05">
      <w:pPr>
        <w:pStyle w:val="Normlnywebov"/>
        <w:spacing w:before="0" w:after="0"/>
        <w:ind w:left="851"/>
        <w:jc w:val="both"/>
        <w:rPr>
          <w:i/>
          <w:noProof/>
        </w:rPr>
      </w:pPr>
    </w:p>
    <w:p w:rsidR="00764E05" w:rsidRPr="00457D4C" w:rsidRDefault="00764E05" w:rsidP="00764E05">
      <w:pPr>
        <w:pStyle w:val="Normlnywebov"/>
        <w:numPr>
          <w:ilvl w:val="0"/>
          <w:numId w:val="38"/>
        </w:numPr>
        <w:tabs>
          <w:tab w:val="clear" w:pos="644"/>
        </w:tabs>
        <w:spacing w:before="0" w:beforeAutospacing="0" w:after="0" w:afterAutospacing="0"/>
        <w:ind w:left="851" w:hanging="284"/>
        <w:jc w:val="both"/>
        <w:rPr>
          <w:i/>
          <w:noProof/>
        </w:rPr>
      </w:pPr>
      <w:r w:rsidRPr="00457D4C">
        <w:rPr>
          <w:noProof/>
        </w:rPr>
        <w:t>rozhodnutie Súdneho dvora vo veci C-163/09, Repertoire Culinaire Ltd v. The Commissioners for Her Majesty’s Revenue &amp; Customs, [2010]</w:t>
      </w:r>
    </w:p>
    <w:p w:rsidR="00764E05" w:rsidRPr="00457D4C" w:rsidRDefault="00764E05" w:rsidP="00764E05">
      <w:pPr>
        <w:pStyle w:val="Zkladntext"/>
        <w:autoSpaceDE w:val="0"/>
        <w:autoSpaceDN w:val="0"/>
        <w:ind w:left="644" w:firstLine="207"/>
        <w:jc w:val="both"/>
      </w:pPr>
      <w:r w:rsidRPr="00457D4C">
        <w:rPr>
          <w:bCs/>
        </w:rPr>
        <w:t>Výrok rozhodnutia:</w:t>
      </w:r>
    </w:p>
    <w:p w:rsidR="00764E05" w:rsidRPr="00457D4C" w:rsidRDefault="00764E05" w:rsidP="00764E05">
      <w:pPr>
        <w:pStyle w:val="c08dispositif"/>
        <w:spacing w:before="0" w:beforeAutospacing="0" w:after="0"/>
        <w:ind w:left="851" w:firstLine="0"/>
        <w:rPr>
          <w:b w:val="0"/>
          <w:bCs w:val="0"/>
        </w:rPr>
      </w:pPr>
      <w:r>
        <w:rPr>
          <w:b w:val="0"/>
          <w:bCs w:val="0"/>
        </w:rPr>
        <w:t>„</w:t>
      </w:r>
      <w:r w:rsidRPr="00457D4C">
        <w:rPr>
          <w:b w:val="0"/>
          <w:bCs w:val="0"/>
        </w:rPr>
        <w:t>1. Článok 20 prvá zarážka smernice Rady 92/83/EHS z 19. októbra 1992 o zosúladení štruktúr spotrebných daní pre etanol a alkoholické nápoje sa má vykladať v tom zmysle, že definícia „etanolu“ uvedená v tomto ustanovení sa uplatňuje na víno na varenie a na portské na varenie.</w:t>
      </w:r>
    </w:p>
    <w:p w:rsidR="00764E05" w:rsidRPr="00457D4C" w:rsidRDefault="00764E05" w:rsidP="00764E05">
      <w:pPr>
        <w:pStyle w:val="c08dispositif"/>
        <w:spacing w:before="0" w:beforeAutospacing="0" w:after="0"/>
        <w:ind w:left="851" w:firstLine="0"/>
        <w:rPr>
          <w:b w:val="0"/>
          <w:bCs w:val="0"/>
        </w:rPr>
      </w:pPr>
      <w:r w:rsidRPr="00457D4C">
        <w:rPr>
          <w:b w:val="0"/>
          <w:bCs w:val="0"/>
        </w:rPr>
        <w:lastRenderedPageBreak/>
        <w:t>2. Za okolností, ako sú vo veci samej, sa na oslobodenie od zosúladenej dane z vína na varenie, portského na varenie a koňaku na varenie vzťahuje článok 27 ods. 1 písm. f) smernice 92/83.</w:t>
      </w:r>
    </w:p>
    <w:p w:rsidR="00764E05" w:rsidRPr="00457D4C" w:rsidRDefault="00764E05" w:rsidP="00764E05">
      <w:pPr>
        <w:pStyle w:val="c08dispositif"/>
        <w:spacing w:before="0" w:beforeAutospacing="0" w:after="0"/>
        <w:ind w:left="851" w:firstLine="0"/>
        <w:rPr>
          <w:b w:val="0"/>
          <w:bCs w:val="0"/>
        </w:rPr>
      </w:pPr>
      <w:r w:rsidRPr="00457D4C">
        <w:rPr>
          <w:b w:val="0"/>
          <w:bCs w:val="0"/>
        </w:rPr>
        <w:t>3. Za predpokladu, že výrobky, akými sú víno na varenie, portské na varenie a koňak na varenie dotknuté v spore vo veci samej, ktoré sa považovali za výrobky nepodliehajúce spotrebnej dani alebo za oslobodené od spotrebnej dane podľa smernice 92/83 a uvoľnené na spotrebu v členskom štáte, kde boli vyrobené, sú určené na uvedenie na trh v inom členskom štáte, posledný uvedený členský štát musí priznať týmto výrobkom na jeho území rovnaké zaobchádzanie, ibaže existujú konkrétne, objektívne a overiteľné skutočnosti dokazujúce, že prvý členský štát správne neuplatnil ustanovenia tejto smernice alebo že podľa jej článku 27 ods. 1 je odôvodnené prijatie opatrení na boj proti daňovým únikom, vyhýbaniu sa plateniu spotrebných daní a ich zneužívaniu a na zabezpečenie ich správneho a čestného uplatnenia.</w:t>
      </w:r>
    </w:p>
    <w:p w:rsidR="00764E05" w:rsidRDefault="00764E05" w:rsidP="00764E05">
      <w:pPr>
        <w:pStyle w:val="c08dispositif"/>
        <w:spacing w:before="0" w:beforeAutospacing="0" w:after="0"/>
        <w:ind w:left="851" w:firstLine="0"/>
        <w:rPr>
          <w:b w:val="0"/>
          <w:bCs w:val="0"/>
        </w:rPr>
      </w:pPr>
      <w:r w:rsidRPr="00457D4C">
        <w:rPr>
          <w:b w:val="0"/>
          <w:bCs w:val="0"/>
        </w:rPr>
        <w:t>4. Článok 27 ods. 1 písm. f) smernice 92/83 sa má vykladať v tom zmysle, že priznanie oslobodenia upravené v tomto ustanovení môže podliehať dodržaniu podmienok, ako sú podmienky upravené vnútroštátnou právnou úpravou dotknutou v spore vo veci samej, a to obmedzenie osôb oprávnených podať žiadosť o vrátenie, lehota štyroch mesiacov na predloženie takejto žiadosti a stanovenie minimálnej sumy na vrátenie, iba vtedy, ak z konkrétnych, objektívnych a overiteľných skutočností vyplýva, že tieto podmienky sú nevyhnutné na účely zabezpečenia správnej a čestnej aplikácie tohto oslobodenia od daní, ako aj na účely ochrany pred daňovými únikmi, vyhýbaním sa plateniu daní a ich zneužívaním. Je úlohou vnútroštátneho súdu, aby preveril, či ide o takýto prípad, pokiaľ ide o podmienky upravené touto právnou úpravou.</w:t>
      </w:r>
      <w:r>
        <w:rPr>
          <w:b w:val="0"/>
          <w:bCs w:val="0"/>
        </w:rPr>
        <w:t>“</w:t>
      </w:r>
    </w:p>
    <w:p w:rsidR="00764E05" w:rsidRPr="00457D4C" w:rsidRDefault="00764E05" w:rsidP="00764E05">
      <w:pPr>
        <w:pStyle w:val="c08dispositif"/>
        <w:spacing w:before="0" w:beforeAutospacing="0" w:after="0"/>
        <w:ind w:left="646"/>
        <w:rPr>
          <w:b w:val="0"/>
          <w:bCs w:val="0"/>
        </w:rPr>
      </w:pPr>
    </w:p>
    <w:p w:rsidR="00764E05" w:rsidRPr="00457D4C" w:rsidRDefault="00764E05" w:rsidP="00764E05">
      <w:pPr>
        <w:pStyle w:val="Zkladntext"/>
        <w:numPr>
          <w:ilvl w:val="0"/>
          <w:numId w:val="35"/>
        </w:numPr>
        <w:tabs>
          <w:tab w:val="clear" w:pos="660"/>
        </w:tabs>
        <w:autoSpaceDE w:val="0"/>
        <w:autoSpaceDN w:val="0"/>
        <w:ind w:left="851" w:hanging="425"/>
        <w:jc w:val="both"/>
        <w:rPr>
          <w:rStyle w:val="Zvraznenie"/>
          <w:i w:val="0"/>
          <w:iCs w:val="0"/>
        </w:rPr>
      </w:pPr>
      <w:r w:rsidRPr="00457D4C">
        <w:rPr>
          <w:bCs/>
        </w:rPr>
        <w:t>rozhodnutie Súdneho dvora (prvá komora) vo veci C-64/15, BP Europa SE proti Hauptzollamt Hamburg</w:t>
      </w:r>
      <w:r w:rsidRPr="00457D4C">
        <w:rPr>
          <w:bCs/>
        </w:rPr>
        <w:noBreakHyphen/>
        <w:t>Stadt, [</w:t>
      </w:r>
      <w:r>
        <w:rPr>
          <w:rStyle w:val="Zvraznenie"/>
        </w:rPr>
        <w:t>2016]</w:t>
      </w:r>
    </w:p>
    <w:p w:rsidR="00764E05" w:rsidRPr="00457D4C" w:rsidRDefault="00764E05" w:rsidP="00764E05">
      <w:pPr>
        <w:pStyle w:val="Zkladntext"/>
        <w:autoSpaceDE w:val="0"/>
        <w:autoSpaceDN w:val="0"/>
        <w:ind w:left="802" w:firstLine="49"/>
        <w:jc w:val="both"/>
      </w:pPr>
      <w:r w:rsidRPr="00457D4C">
        <w:rPr>
          <w:bCs/>
        </w:rPr>
        <w:t>Výrok rozhodnutia:</w:t>
      </w:r>
    </w:p>
    <w:p w:rsidR="00764E05" w:rsidRPr="00457D4C" w:rsidRDefault="00764E05" w:rsidP="00764E05">
      <w:pPr>
        <w:pStyle w:val="c08dispositif"/>
        <w:tabs>
          <w:tab w:val="left" w:pos="993"/>
        </w:tabs>
        <w:spacing w:before="0" w:beforeAutospacing="0" w:after="0"/>
        <w:ind w:left="851" w:firstLine="0"/>
        <w:rPr>
          <w:b w:val="0"/>
          <w:bCs w:val="0"/>
        </w:rPr>
      </w:pPr>
      <w:r>
        <w:rPr>
          <w:b w:val="0"/>
          <w:bCs w:val="0"/>
        </w:rPr>
        <w:t>„</w:t>
      </w:r>
      <w:r w:rsidRPr="00457D4C">
        <w:rPr>
          <w:b w:val="0"/>
          <w:bCs w:val="0"/>
        </w:rPr>
        <w:t>1. Článok 20 ods. 2 smernice Rady 2008/118/ES zo 16. decembra 2008 o všeobecnom systéme spotrebných daní a o zrušení smernice 92/12/EHS sa má vykladať v tom zmysle, že preprava tovaru podliehajúceho spotrebnej dani v režime pozastavenia dane v zmysle tohto ustanovenia v situácii, ako je situácia v konaní vo veci samej, končí v čase, keď príjemca tohto tovaru pri ukončení úplnej vykládky dopravného prostriedku obsahujúceho predmetný tovar konštatuje, že chýba určité množstvo tohto tovaru v porovnaní s množstvom, ktoré sa mu malo dodať.</w:t>
      </w:r>
    </w:p>
    <w:p w:rsidR="00764E05" w:rsidRPr="00457D4C" w:rsidRDefault="00764E05" w:rsidP="00764E05">
      <w:pPr>
        <w:pStyle w:val="c08dispositif"/>
        <w:tabs>
          <w:tab w:val="left" w:pos="993"/>
        </w:tabs>
        <w:spacing w:before="0" w:beforeAutospacing="0" w:after="0"/>
        <w:ind w:left="851" w:firstLine="0"/>
        <w:rPr>
          <w:b w:val="0"/>
          <w:bCs w:val="0"/>
        </w:rPr>
      </w:pPr>
      <w:r w:rsidRPr="00457D4C">
        <w:rPr>
          <w:b w:val="0"/>
          <w:bCs w:val="0"/>
        </w:rPr>
        <w:t>2. Spojené ustanovenia článku 7 ods. 2 písm. a) a článku 10 ods. 2 smernice 2008/118 sa majú vykladať v tom zmysle, že:</w:t>
      </w:r>
    </w:p>
    <w:p w:rsidR="00764E05" w:rsidRPr="00457D4C" w:rsidRDefault="00764E05" w:rsidP="00764E05">
      <w:pPr>
        <w:pStyle w:val="c31dispositiftiretlong"/>
        <w:spacing w:before="0" w:beforeAutospacing="0" w:after="0" w:afterAutospacing="0"/>
        <w:ind w:left="851"/>
        <w:jc w:val="both"/>
        <w:rPr>
          <w:bCs/>
        </w:rPr>
      </w:pPr>
      <w:r w:rsidRPr="00457D4C">
        <w:rPr>
          <w:bCs/>
        </w:rPr>
        <w:t>– situácie, ktoré upravujú, sa odlišujú od situácie upravenej článkom 7 ods. 4 tejto smernice a</w:t>
      </w:r>
    </w:p>
    <w:p w:rsidR="00764E05" w:rsidRPr="00457D4C" w:rsidRDefault="00764E05" w:rsidP="00764E05">
      <w:pPr>
        <w:pStyle w:val="c31dispositiftiretlong"/>
        <w:spacing w:before="0" w:beforeAutospacing="0" w:after="0" w:afterAutospacing="0"/>
        <w:ind w:left="851"/>
        <w:jc w:val="both"/>
        <w:rPr>
          <w:bCs/>
        </w:rPr>
      </w:pPr>
      <w:r w:rsidRPr="00457D4C">
        <w:rPr>
          <w:bCs/>
        </w:rPr>
        <w:t>– okolnosť, že vnútroštátne ustanovenie preberajúce článok 10 ods. 2 smernice 2008/118, ako je ustanovenie sporné v konaní vo veci samej, výslovne neuvádza, že nezrovnalosť, ktorú toto ustanovenie smernice upravuje, musí mať za následok uvedenie predmetného tovaru do daňového voľného obehu, nemôže brániť uplatneniu tohto vnútroštátneho ustanovenia pri konštatovaní chýbajúceho množstva, pri ktorom sa nevyhnutne predpokladá takéto uvedenie do daňového voľného obehu.</w:t>
      </w:r>
    </w:p>
    <w:p w:rsidR="00764E05" w:rsidRPr="00457D4C" w:rsidRDefault="00764E05" w:rsidP="00764E05">
      <w:pPr>
        <w:pStyle w:val="c08dispositif"/>
        <w:numPr>
          <w:ilvl w:val="0"/>
          <w:numId w:val="39"/>
        </w:numPr>
        <w:tabs>
          <w:tab w:val="left" w:pos="1134"/>
        </w:tabs>
        <w:spacing w:before="0" w:beforeAutospacing="0" w:after="0"/>
        <w:ind w:left="851" w:firstLine="0"/>
        <w:rPr>
          <w:b w:val="0"/>
          <w:bCs w:val="0"/>
        </w:rPr>
      </w:pPr>
      <w:r w:rsidRPr="00457D4C">
        <w:rPr>
          <w:b w:val="0"/>
          <w:bCs w:val="0"/>
        </w:rPr>
        <w:t>Článok 10 ods. 4 smernice 2008/118 sa má vykladať v tom zmysle, že sa uplatňuje, nielen keď na miesto určenia nedorazí všetok tovar prepravovaný v režime pozastavenia dane, alebo tiež v prípade, ak na miesto určenia nedorazí len časť tohto tovaru.</w:t>
      </w:r>
      <w:r>
        <w:rPr>
          <w:b w:val="0"/>
          <w:bCs w:val="0"/>
        </w:rPr>
        <w:t>“</w:t>
      </w:r>
    </w:p>
    <w:p w:rsidR="00764E05" w:rsidRDefault="00764E05" w:rsidP="00764E05">
      <w:pPr>
        <w:pStyle w:val="Normlnywebov"/>
        <w:spacing w:before="0" w:after="0"/>
        <w:ind w:left="851" w:right="28"/>
        <w:jc w:val="both"/>
        <w:rPr>
          <w:lang w:eastAsia="cs-CZ"/>
        </w:rPr>
      </w:pPr>
    </w:p>
    <w:p w:rsidR="00764E05" w:rsidRDefault="00764E05" w:rsidP="00764E05">
      <w:pPr>
        <w:numPr>
          <w:ilvl w:val="0"/>
          <w:numId w:val="32"/>
        </w:numPr>
        <w:tabs>
          <w:tab w:val="left" w:pos="360"/>
        </w:tabs>
        <w:spacing w:after="0" w:line="240" w:lineRule="auto"/>
        <w:jc w:val="both"/>
        <w:rPr>
          <w:rFonts w:ascii="Times New Roman" w:hAnsi="Times New Roman" w:cs="Times New Roman"/>
          <w:b/>
          <w:bCs/>
        </w:rPr>
      </w:pPr>
      <w:r w:rsidRPr="00181470">
        <w:rPr>
          <w:rFonts w:ascii="Times New Roman" w:hAnsi="Times New Roman" w:cs="Times New Roman"/>
          <w:b/>
          <w:bCs/>
        </w:rPr>
        <w:lastRenderedPageBreak/>
        <w:t>Záväzky Slovenskej republiky vo vzťahu k Európskej únii:</w:t>
      </w:r>
    </w:p>
    <w:p w:rsidR="00764E05" w:rsidRPr="00181470" w:rsidRDefault="00764E05" w:rsidP="00764E05">
      <w:pPr>
        <w:tabs>
          <w:tab w:val="left" w:pos="360"/>
        </w:tabs>
        <w:ind w:left="425"/>
        <w:jc w:val="both"/>
        <w:rPr>
          <w:rFonts w:ascii="Times New Roman" w:hAnsi="Times New Roman" w:cs="Times New Roman"/>
          <w:b/>
          <w:bCs/>
        </w:rPr>
      </w:pPr>
    </w:p>
    <w:p w:rsidR="00764E05" w:rsidRPr="00EC2261" w:rsidRDefault="00764E05" w:rsidP="00764E05">
      <w:pPr>
        <w:pStyle w:val="Zkladntext"/>
        <w:numPr>
          <w:ilvl w:val="0"/>
          <w:numId w:val="34"/>
        </w:numPr>
        <w:tabs>
          <w:tab w:val="clear" w:pos="785"/>
          <w:tab w:val="left" w:pos="360"/>
          <w:tab w:val="left" w:pos="540"/>
          <w:tab w:val="num" w:pos="709"/>
        </w:tabs>
        <w:jc w:val="both"/>
        <w:rPr>
          <w:sz w:val="24"/>
          <w:szCs w:val="24"/>
        </w:rPr>
      </w:pPr>
      <w:r w:rsidRPr="00EC2261">
        <w:rPr>
          <w:sz w:val="24"/>
          <w:szCs w:val="24"/>
        </w:rPr>
        <w:t>Lehota na prebratie smernice 2006/112/ES bola stanovená do 1. 1. 2008.</w:t>
      </w:r>
    </w:p>
    <w:p w:rsidR="00764E05" w:rsidRPr="00EC2261" w:rsidRDefault="00764E05" w:rsidP="00764E05">
      <w:pPr>
        <w:pStyle w:val="Odsekzoznamu"/>
        <w:jc w:val="both"/>
        <w:rPr>
          <w:rFonts w:ascii="Times New Roman" w:hAnsi="Times New Roman"/>
          <w:bCs/>
          <w:sz w:val="24"/>
          <w:szCs w:val="24"/>
        </w:rPr>
      </w:pPr>
      <w:r w:rsidRPr="00EC2261">
        <w:rPr>
          <w:rFonts w:ascii="Times New Roman" w:hAnsi="Times New Roman"/>
          <w:bCs/>
          <w:sz w:val="24"/>
          <w:szCs w:val="24"/>
        </w:rPr>
        <w:t>Lehota na prebratie smernice (EÚ) 2020/262 je stanovená do 31. decembra 2021.</w:t>
      </w:r>
    </w:p>
    <w:p w:rsidR="00764E05" w:rsidRPr="00EC2261" w:rsidRDefault="00764E05" w:rsidP="00764E05">
      <w:pPr>
        <w:pStyle w:val="Odsekzoznamu"/>
        <w:jc w:val="both"/>
        <w:rPr>
          <w:rFonts w:ascii="Times New Roman" w:hAnsi="Times New Roman"/>
          <w:bCs/>
          <w:sz w:val="24"/>
          <w:szCs w:val="24"/>
        </w:rPr>
      </w:pPr>
      <w:r w:rsidRPr="00EC2261">
        <w:rPr>
          <w:rFonts w:ascii="Times New Roman" w:hAnsi="Times New Roman"/>
          <w:bCs/>
          <w:sz w:val="24"/>
          <w:szCs w:val="24"/>
        </w:rPr>
        <w:t>Lehota na prebratie smernice (EÚ) 2019/475 bola stanovená do 31. decembra 2019.</w:t>
      </w:r>
    </w:p>
    <w:p w:rsidR="00764E05" w:rsidRPr="00EC2261" w:rsidRDefault="00764E05" w:rsidP="00764E05">
      <w:pPr>
        <w:pStyle w:val="Odsekzoznamu"/>
        <w:jc w:val="both"/>
        <w:rPr>
          <w:rFonts w:ascii="Times New Roman" w:hAnsi="Times New Roman"/>
          <w:bCs/>
          <w:sz w:val="24"/>
          <w:szCs w:val="24"/>
        </w:rPr>
      </w:pPr>
      <w:r w:rsidRPr="00EC2261">
        <w:rPr>
          <w:rFonts w:ascii="Times New Roman" w:hAnsi="Times New Roman"/>
          <w:bCs/>
          <w:sz w:val="24"/>
          <w:szCs w:val="24"/>
        </w:rPr>
        <w:t>Lehota na prebratie smernice (EÚ) 2019/2235 je stanovená do 30. júna 2022.</w:t>
      </w:r>
    </w:p>
    <w:p w:rsidR="00764E05" w:rsidRPr="00EC2261" w:rsidRDefault="00764E05" w:rsidP="00764E05">
      <w:pPr>
        <w:pStyle w:val="Odsekzoznamu"/>
        <w:jc w:val="both"/>
        <w:rPr>
          <w:rFonts w:ascii="Times New Roman" w:hAnsi="Times New Roman"/>
          <w:bCs/>
          <w:sz w:val="24"/>
          <w:szCs w:val="24"/>
        </w:rPr>
      </w:pPr>
      <w:r w:rsidRPr="00EC2261">
        <w:rPr>
          <w:rFonts w:ascii="Times New Roman" w:hAnsi="Times New Roman"/>
          <w:bCs/>
          <w:sz w:val="24"/>
          <w:szCs w:val="24"/>
        </w:rPr>
        <w:t>Lehota na prebratie smernice 2011/64/EÚ: ide o kodifikované znenie, pričom termíny prebratia vyplývajú z pôvodných smerníc.</w:t>
      </w:r>
    </w:p>
    <w:p w:rsidR="00764E05" w:rsidRPr="00EC2261" w:rsidRDefault="00764E05" w:rsidP="00764E05">
      <w:pPr>
        <w:pStyle w:val="Zkladntext"/>
        <w:ind w:left="709"/>
        <w:jc w:val="both"/>
        <w:rPr>
          <w:sz w:val="24"/>
          <w:szCs w:val="24"/>
        </w:rPr>
      </w:pPr>
      <w:r w:rsidRPr="00EC2261">
        <w:rPr>
          <w:sz w:val="24"/>
          <w:szCs w:val="24"/>
        </w:rPr>
        <w:t>Lehota na prebratie smernice 92/84/EHS bola stanovená do dňa pristúpenia Slovenskej republiky k Európskej únii, t. j. do 1.5. 2004.</w:t>
      </w:r>
    </w:p>
    <w:p w:rsidR="00764E05" w:rsidRPr="00EC2261" w:rsidRDefault="00764E05" w:rsidP="00764E05">
      <w:pPr>
        <w:pStyle w:val="Zkladntext"/>
        <w:ind w:left="709"/>
        <w:jc w:val="both"/>
        <w:rPr>
          <w:sz w:val="24"/>
          <w:szCs w:val="24"/>
        </w:rPr>
      </w:pPr>
    </w:p>
    <w:p w:rsidR="00764E05" w:rsidRPr="00EC2261" w:rsidRDefault="00764E05" w:rsidP="00764E05">
      <w:pPr>
        <w:pStyle w:val="Odsekzoznamu"/>
        <w:widowControl w:val="0"/>
        <w:numPr>
          <w:ilvl w:val="0"/>
          <w:numId w:val="34"/>
        </w:numPr>
        <w:tabs>
          <w:tab w:val="clear" w:pos="785"/>
          <w:tab w:val="num" w:pos="709"/>
        </w:tabs>
        <w:adjustRightInd w:val="0"/>
        <w:ind w:left="709" w:hanging="284"/>
        <w:jc w:val="both"/>
        <w:rPr>
          <w:rFonts w:ascii="Times New Roman" w:hAnsi="Times New Roman"/>
          <w:sz w:val="24"/>
          <w:szCs w:val="24"/>
        </w:rPr>
      </w:pPr>
      <w:r w:rsidRPr="00EC2261">
        <w:rPr>
          <w:rFonts w:ascii="Times New Roman" w:hAnsi="Times New Roman"/>
          <w:sz w:val="24"/>
          <w:szCs w:val="24"/>
        </w:rPr>
        <w:t>Proti SR bolo začaté konanie o porušení Zmluvy o fungovaní Európskej únie podľa čl. 258 až 260, a to:</w:t>
      </w:r>
    </w:p>
    <w:p w:rsidR="00764E05" w:rsidRPr="00EC2261" w:rsidRDefault="00764E05" w:rsidP="00764E05">
      <w:pPr>
        <w:pStyle w:val="Odsekzoznamu"/>
        <w:ind w:left="709"/>
        <w:jc w:val="both"/>
        <w:rPr>
          <w:rFonts w:ascii="Times New Roman" w:hAnsi="Times New Roman"/>
          <w:sz w:val="24"/>
          <w:szCs w:val="24"/>
        </w:rPr>
      </w:pPr>
      <w:r w:rsidRPr="00EC2261">
        <w:rPr>
          <w:rFonts w:ascii="Times New Roman" w:hAnsi="Times New Roman"/>
          <w:sz w:val="24"/>
          <w:szCs w:val="24"/>
        </w:rPr>
        <w:t>- konanie č. 2020/116 v súvislosti s nesplnením si povinnosti vyplývajúcej zo smernice Rady (EÚ) 2019/475,</w:t>
      </w:r>
    </w:p>
    <w:p w:rsidR="00764E05" w:rsidRPr="00EC2261" w:rsidRDefault="00764E05" w:rsidP="00764E05">
      <w:pPr>
        <w:pStyle w:val="Odsekzoznamu"/>
        <w:ind w:left="709"/>
        <w:jc w:val="both"/>
        <w:rPr>
          <w:rFonts w:ascii="Times New Roman" w:hAnsi="Times New Roman"/>
          <w:sz w:val="24"/>
          <w:szCs w:val="24"/>
        </w:rPr>
      </w:pPr>
      <w:r w:rsidRPr="00EC2261">
        <w:rPr>
          <w:rFonts w:ascii="Times New Roman" w:hAnsi="Times New Roman"/>
          <w:sz w:val="24"/>
          <w:szCs w:val="24"/>
        </w:rPr>
        <w:t>- formálna výzva Slovenskej republike listom SG(2020)D/721 zo dňa 15. júna 2020</w:t>
      </w:r>
    </w:p>
    <w:p w:rsidR="00764E05" w:rsidRPr="00EC2261" w:rsidRDefault="00764E05" w:rsidP="00764E05">
      <w:pPr>
        <w:pStyle w:val="Zkladntext"/>
        <w:tabs>
          <w:tab w:val="left" w:pos="360"/>
        </w:tabs>
        <w:jc w:val="both"/>
        <w:rPr>
          <w:sz w:val="24"/>
          <w:szCs w:val="24"/>
        </w:rPr>
      </w:pPr>
    </w:p>
    <w:p w:rsidR="00764E05" w:rsidRPr="00EC2261" w:rsidRDefault="00764E05" w:rsidP="00764E05">
      <w:pPr>
        <w:pStyle w:val="Zkladntext"/>
        <w:numPr>
          <w:ilvl w:val="0"/>
          <w:numId w:val="34"/>
        </w:numPr>
        <w:tabs>
          <w:tab w:val="clear" w:pos="785"/>
          <w:tab w:val="left" w:pos="360"/>
          <w:tab w:val="num" w:pos="709"/>
        </w:tabs>
        <w:ind w:left="709" w:hanging="283"/>
        <w:jc w:val="both"/>
        <w:rPr>
          <w:sz w:val="24"/>
          <w:szCs w:val="24"/>
        </w:rPr>
      </w:pPr>
      <w:r w:rsidRPr="00EC2261">
        <w:rPr>
          <w:sz w:val="24"/>
          <w:szCs w:val="24"/>
        </w:rPr>
        <w:t>Smernica 2006/112/ES bola prebratá do zákona č. 222/2004 Z. z. o dani z pridanej hodnoty v znení neskorších predpisov.</w:t>
      </w:r>
    </w:p>
    <w:p w:rsidR="00764E05" w:rsidRPr="00EC2261" w:rsidRDefault="00764E05" w:rsidP="00764E05">
      <w:pPr>
        <w:pStyle w:val="Zkladntext0"/>
        <w:snapToGrid/>
        <w:ind w:left="720"/>
        <w:jc w:val="both"/>
        <w:rPr>
          <w:color w:val="auto"/>
          <w:szCs w:val="24"/>
        </w:rPr>
      </w:pPr>
      <w:r w:rsidRPr="00EC2261">
        <w:rPr>
          <w:bCs/>
          <w:color w:val="auto"/>
          <w:szCs w:val="24"/>
        </w:rPr>
        <w:t>Smernica 2011/64/EÚ</w:t>
      </w:r>
      <w:r w:rsidRPr="00EC2261">
        <w:rPr>
          <w:color w:val="auto"/>
          <w:szCs w:val="24"/>
        </w:rPr>
        <w:t xml:space="preserve"> bola prebratá do zákona č. 106/2004 Z. z. o spotrebnej dani z tabakových výrobkov v znení neskorších predpisov.</w:t>
      </w:r>
    </w:p>
    <w:p w:rsidR="00764E05" w:rsidRPr="00EC2261" w:rsidRDefault="00764E05" w:rsidP="00764E05">
      <w:pPr>
        <w:pStyle w:val="Zkladntext"/>
        <w:tabs>
          <w:tab w:val="left" w:pos="360"/>
        </w:tabs>
        <w:ind w:left="709"/>
        <w:jc w:val="both"/>
        <w:rPr>
          <w:sz w:val="24"/>
          <w:szCs w:val="24"/>
        </w:rPr>
      </w:pPr>
      <w:r w:rsidRPr="00EC2261">
        <w:rPr>
          <w:sz w:val="24"/>
          <w:szCs w:val="24"/>
        </w:rPr>
        <w:t xml:space="preserve">Smernica 92/84/EHS bola prebratá do zákona č. 530/2011 Z. z. </w:t>
      </w:r>
      <w:r w:rsidRPr="00EC2261">
        <w:rPr>
          <w:bCs/>
          <w:sz w:val="24"/>
          <w:szCs w:val="24"/>
        </w:rPr>
        <w:t>o spotrebnej dani z alkoholických nápojov v znení neskorších predpisov</w:t>
      </w:r>
      <w:r w:rsidRPr="00EC2261">
        <w:rPr>
          <w:sz w:val="24"/>
          <w:szCs w:val="24"/>
        </w:rPr>
        <w:t>.</w:t>
      </w:r>
    </w:p>
    <w:p w:rsidR="00764E05" w:rsidRPr="00EC2261" w:rsidRDefault="00764E05" w:rsidP="00764E05">
      <w:pPr>
        <w:pStyle w:val="Zkladntext"/>
        <w:tabs>
          <w:tab w:val="left" w:pos="360"/>
        </w:tabs>
        <w:ind w:left="785"/>
        <w:jc w:val="both"/>
        <w:rPr>
          <w:sz w:val="24"/>
          <w:szCs w:val="24"/>
        </w:rPr>
      </w:pPr>
    </w:p>
    <w:p w:rsidR="00764E05" w:rsidRPr="00EC2261" w:rsidRDefault="00764E05" w:rsidP="00764E05">
      <w:pPr>
        <w:pStyle w:val="Odsekzoznamu"/>
        <w:widowControl w:val="0"/>
        <w:numPr>
          <w:ilvl w:val="0"/>
          <w:numId w:val="32"/>
        </w:numPr>
        <w:tabs>
          <w:tab w:val="left" w:pos="360"/>
        </w:tabs>
        <w:adjustRightInd w:val="0"/>
        <w:spacing w:after="0" w:line="240" w:lineRule="auto"/>
        <w:jc w:val="both"/>
        <w:rPr>
          <w:rFonts w:ascii="Times New Roman" w:hAnsi="Times New Roman"/>
          <w:b/>
          <w:bCs/>
          <w:sz w:val="24"/>
          <w:szCs w:val="24"/>
        </w:rPr>
      </w:pPr>
      <w:r w:rsidRPr="00EC2261">
        <w:rPr>
          <w:rFonts w:ascii="Times New Roman" w:hAnsi="Times New Roman"/>
          <w:b/>
          <w:bCs/>
          <w:sz w:val="24"/>
          <w:szCs w:val="24"/>
        </w:rPr>
        <w:t>Návrh zákona je zlučiteľný s právom Európskej únie:</w:t>
      </w:r>
    </w:p>
    <w:p w:rsidR="00764E05" w:rsidRPr="00EC2261" w:rsidRDefault="00764E05" w:rsidP="00764E05">
      <w:pPr>
        <w:pStyle w:val="Odsekzoznamu"/>
        <w:tabs>
          <w:tab w:val="left" w:pos="360"/>
        </w:tabs>
        <w:ind w:left="425"/>
        <w:jc w:val="both"/>
        <w:rPr>
          <w:rFonts w:ascii="Times New Roman" w:hAnsi="Times New Roman"/>
          <w:b/>
          <w:bCs/>
          <w:sz w:val="24"/>
          <w:szCs w:val="24"/>
        </w:rPr>
      </w:pPr>
    </w:p>
    <w:p w:rsidR="00764E05" w:rsidRPr="00EC2261" w:rsidRDefault="00764E05" w:rsidP="00764E05">
      <w:pPr>
        <w:pStyle w:val="Odsekzoznamu"/>
        <w:tabs>
          <w:tab w:val="left" w:pos="360"/>
        </w:tabs>
        <w:ind w:left="425"/>
        <w:jc w:val="both"/>
        <w:rPr>
          <w:rFonts w:ascii="Times New Roman" w:hAnsi="Times New Roman"/>
          <w:bCs/>
          <w:sz w:val="24"/>
          <w:szCs w:val="24"/>
        </w:rPr>
      </w:pPr>
      <w:r w:rsidRPr="00EC2261">
        <w:rPr>
          <w:rFonts w:ascii="Times New Roman" w:hAnsi="Times New Roman"/>
          <w:bCs/>
          <w:sz w:val="24"/>
          <w:szCs w:val="24"/>
        </w:rPr>
        <w:t>Úplne.</w:t>
      </w:r>
    </w:p>
    <w:p w:rsidR="00764E05" w:rsidRPr="00EC2261" w:rsidRDefault="00764E05" w:rsidP="00764E05">
      <w:pPr>
        <w:jc w:val="both"/>
        <w:rPr>
          <w:rFonts w:ascii="Times New Roman" w:hAnsi="Times New Roman" w:cs="Times New Roman"/>
          <w:b/>
          <w:bCs/>
          <w:i/>
          <w:sz w:val="24"/>
          <w:szCs w:val="24"/>
          <w:highlight w:val="yellow"/>
        </w:rPr>
      </w:pPr>
    </w:p>
    <w:p w:rsidR="00764E05" w:rsidRPr="00852496" w:rsidRDefault="00764E05" w:rsidP="00764E05">
      <w:pPr>
        <w:jc w:val="both"/>
        <w:rPr>
          <w:b/>
          <w:bCs/>
          <w:i/>
          <w:sz w:val="24"/>
          <w:szCs w:val="24"/>
          <w:highlight w:val="yellow"/>
        </w:rPr>
      </w:pPr>
    </w:p>
    <w:p w:rsidR="00764E05" w:rsidRDefault="00764E05" w:rsidP="00764E05">
      <w:pPr>
        <w:autoSpaceDE w:val="0"/>
        <w:autoSpaceDN w:val="0"/>
        <w:adjustRightInd w:val="0"/>
        <w:jc w:val="center"/>
        <w:rPr>
          <w:rFonts w:eastAsia="Calibri"/>
          <w:b/>
          <w:bCs/>
          <w:color w:val="000000"/>
          <w:sz w:val="24"/>
          <w:szCs w:val="24"/>
        </w:rPr>
      </w:pPr>
    </w:p>
    <w:p w:rsidR="00764E05" w:rsidRDefault="00764E05" w:rsidP="00764E05">
      <w:pPr>
        <w:autoSpaceDE w:val="0"/>
        <w:autoSpaceDN w:val="0"/>
        <w:adjustRightInd w:val="0"/>
        <w:jc w:val="center"/>
        <w:rPr>
          <w:rFonts w:eastAsia="Calibri"/>
          <w:b/>
          <w:bCs/>
          <w:color w:val="000000"/>
          <w:sz w:val="24"/>
          <w:szCs w:val="24"/>
        </w:rPr>
      </w:pPr>
    </w:p>
    <w:p w:rsidR="00764E05" w:rsidRDefault="00764E05" w:rsidP="00764E05">
      <w:pPr>
        <w:autoSpaceDE w:val="0"/>
        <w:autoSpaceDN w:val="0"/>
        <w:adjustRightInd w:val="0"/>
        <w:jc w:val="center"/>
        <w:rPr>
          <w:rFonts w:eastAsia="Calibri"/>
          <w:b/>
          <w:bCs/>
          <w:color w:val="000000"/>
          <w:sz w:val="24"/>
          <w:szCs w:val="24"/>
        </w:rPr>
      </w:pPr>
    </w:p>
    <w:p w:rsidR="00764E05" w:rsidRDefault="00764E05" w:rsidP="00764E05">
      <w:pPr>
        <w:autoSpaceDE w:val="0"/>
        <w:autoSpaceDN w:val="0"/>
        <w:adjustRightInd w:val="0"/>
        <w:jc w:val="center"/>
        <w:rPr>
          <w:rFonts w:eastAsia="Calibri"/>
          <w:b/>
          <w:bCs/>
          <w:color w:val="000000"/>
          <w:sz w:val="24"/>
          <w:szCs w:val="24"/>
        </w:rPr>
      </w:pPr>
    </w:p>
    <w:p w:rsidR="00764E05" w:rsidRDefault="00764E05" w:rsidP="00764E05">
      <w:pPr>
        <w:autoSpaceDE w:val="0"/>
        <w:autoSpaceDN w:val="0"/>
        <w:adjustRightInd w:val="0"/>
        <w:jc w:val="center"/>
        <w:rPr>
          <w:rFonts w:eastAsia="Calibri"/>
          <w:b/>
          <w:bCs/>
          <w:color w:val="000000"/>
          <w:sz w:val="24"/>
          <w:szCs w:val="24"/>
        </w:rPr>
      </w:pPr>
    </w:p>
    <w:p w:rsidR="00764E05" w:rsidRDefault="00764E05" w:rsidP="00764E05">
      <w:pPr>
        <w:autoSpaceDE w:val="0"/>
        <w:autoSpaceDN w:val="0"/>
        <w:adjustRightInd w:val="0"/>
        <w:jc w:val="center"/>
        <w:rPr>
          <w:rFonts w:eastAsia="Calibri"/>
          <w:b/>
          <w:bCs/>
          <w:color w:val="000000"/>
          <w:sz w:val="24"/>
          <w:szCs w:val="24"/>
        </w:rPr>
      </w:pPr>
    </w:p>
    <w:p w:rsidR="00764E05" w:rsidRDefault="00764E05" w:rsidP="00764E05">
      <w:pPr>
        <w:autoSpaceDE w:val="0"/>
        <w:autoSpaceDN w:val="0"/>
        <w:adjustRightInd w:val="0"/>
        <w:jc w:val="center"/>
        <w:rPr>
          <w:rFonts w:eastAsia="Calibri"/>
          <w:b/>
          <w:bCs/>
          <w:color w:val="000000"/>
          <w:sz w:val="24"/>
          <w:szCs w:val="24"/>
        </w:rPr>
      </w:pPr>
    </w:p>
    <w:p w:rsidR="00EC2261" w:rsidRDefault="00EC2261" w:rsidP="00764E05">
      <w:pPr>
        <w:autoSpaceDE w:val="0"/>
        <w:autoSpaceDN w:val="0"/>
        <w:adjustRightInd w:val="0"/>
        <w:jc w:val="center"/>
        <w:rPr>
          <w:rFonts w:eastAsia="Calibri"/>
          <w:b/>
          <w:bCs/>
          <w:color w:val="000000"/>
          <w:sz w:val="24"/>
          <w:szCs w:val="24"/>
        </w:rPr>
      </w:pPr>
    </w:p>
    <w:p w:rsidR="00EC2261" w:rsidRDefault="00EC2261" w:rsidP="00764E05">
      <w:pPr>
        <w:autoSpaceDE w:val="0"/>
        <w:autoSpaceDN w:val="0"/>
        <w:adjustRightInd w:val="0"/>
        <w:jc w:val="center"/>
        <w:rPr>
          <w:rFonts w:eastAsia="Calibri"/>
          <w:b/>
          <w:bCs/>
          <w:color w:val="000000"/>
          <w:sz w:val="24"/>
          <w:szCs w:val="24"/>
        </w:rPr>
      </w:pPr>
    </w:p>
    <w:p w:rsidR="00764E05" w:rsidRPr="00F14E8D" w:rsidRDefault="00764E05" w:rsidP="00764E05">
      <w:pPr>
        <w:autoSpaceDE w:val="0"/>
        <w:autoSpaceDN w:val="0"/>
        <w:adjustRightInd w:val="0"/>
        <w:jc w:val="center"/>
        <w:rPr>
          <w:rFonts w:eastAsia="Calibri"/>
          <w:b/>
          <w:bCs/>
          <w:color w:val="000000"/>
          <w:sz w:val="24"/>
          <w:szCs w:val="24"/>
        </w:rPr>
      </w:pPr>
    </w:p>
    <w:p w:rsidR="00764E05" w:rsidRPr="00EC2261" w:rsidRDefault="00764E05" w:rsidP="00764E05">
      <w:pPr>
        <w:jc w:val="center"/>
        <w:rPr>
          <w:rFonts w:ascii="Times New Roman" w:hAnsi="Times New Roman" w:cs="Times New Roman"/>
          <w:b/>
          <w:bCs/>
          <w:sz w:val="24"/>
          <w:szCs w:val="24"/>
        </w:rPr>
      </w:pPr>
      <w:r w:rsidRPr="00EC2261">
        <w:rPr>
          <w:rFonts w:ascii="Times New Roman" w:hAnsi="Times New Roman" w:cs="Times New Roman"/>
          <w:b/>
          <w:bCs/>
          <w:sz w:val="24"/>
          <w:szCs w:val="24"/>
        </w:rPr>
        <w:lastRenderedPageBreak/>
        <w:t>Dôvodová správa</w:t>
      </w:r>
    </w:p>
    <w:p w:rsidR="00764E05" w:rsidRPr="00EC2261" w:rsidRDefault="00764E05" w:rsidP="00764E05">
      <w:pPr>
        <w:jc w:val="both"/>
        <w:rPr>
          <w:rFonts w:ascii="Times New Roman" w:hAnsi="Times New Roman" w:cs="Times New Roman"/>
          <w:b/>
          <w:bCs/>
          <w:sz w:val="24"/>
          <w:szCs w:val="24"/>
        </w:rPr>
      </w:pPr>
    </w:p>
    <w:p w:rsidR="00764E05" w:rsidRPr="00EC2261" w:rsidRDefault="00764E05" w:rsidP="00764E05">
      <w:pPr>
        <w:pStyle w:val="Zkladntext2"/>
        <w:spacing w:after="0"/>
        <w:ind w:left="0"/>
        <w:rPr>
          <w:b/>
          <w:bCs/>
        </w:rPr>
      </w:pPr>
      <w:r w:rsidRPr="00EC2261">
        <w:rPr>
          <w:b/>
          <w:bCs/>
        </w:rPr>
        <w:t>B. Osobitná časť</w:t>
      </w:r>
    </w:p>
    <w:p w:rsidR="00764E05" w:rsidRPr="00EC2261" w:rsidRDefault="00764E05" w:rsidP="00764E05">
      <w:pPr>
        <w:pStyle w:val="Zkladntext2"/>
        <w:spacing w:after="0"/>
        <w:ind w:left="0"/>
        <w:jc w:val="center"/>
        <w:rPr>
          <w:bCs/>
        </w:rPr>
      </w:pPr>
    </w:p>
    <w:p w:rsidR="00764E05" w:rsidRPr="00EC2261" w:rsidRDefault="00764E05" w:rsidP="00764E05">
      <w:pPr>
        <w:autoSpaceDE w:val="0"/>
        <w:autoSpaceDN w:val="0"/>
        <w:adjustRightInd w:val="0"/>
        <w:jc w:val="both"/>
        <w:rPr>
          <w:rFonts w:ascii="Times New Roman" w:hAnsi="Times New Roman" w:cs="Times New Roman"/>
          <w:b/>
          <w:bCs/>
          <w:color w:val="231F20"/>
          <w:sz w:val="24"/>
          <w:szCs w:val="24"/>
        </w:rPr>
      </w:pPr>
      <w:r w:rsidRPr="00EC2261">
        <w:rPr>
          <w:rFonts w:ascii="Times New Roman" w:hAnsi="Times New Roman" w:cs="Times New Roman"/>
          <w:b/>
          <w:bCs/>
          <w:color w:val="231F20"/>
          <w:sz w:val="24"/>
          <w:szCs w:val="24"/>
        </w:rPr>
        <w:t xml:space="preserve">K čl. I </w:t>
      </w:r>
      <w:r w:rsidRPr="00EC2261">
        <w:rPr>
          <w:rFonts w:ascii="Times New Roman" w:hAnsi="Times New Roman" w:cs="Times New Roman"/>
          <w:b/>
          <w:bCs/>
          <w:sz w:val="24"/>
          <w:szCs w:val="24"/>
        </w:rPr>
        <w:t>(Zákon  Slovenskej národnej rady č. 71/1992 Zb. o súdnych poplatkoch  a poplatku za výpis z registra trestov v znení neskorších predpisov)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1 až 3</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úprava súvisiaca so zvýhodnením podania návrhu elektronickými prostriedkami  pri zachovaní 50 % zníženia sadzby poplatku so stanovením maximálneho zníženia výslednej sumy poplatku z pôvodných 70 eur na 50 eur. V nadväznosti na prijatie úpravy sadzieb poplatkov sa upravuje aj suma vrátenia preplatku, ak presahuje sumu 2,5 eura a súčasne sa stanovuje úprava sumy krátenia poplatku pri jeho vrátení zo zákonného dôvodu nastavením najnižšej sumy na úrovni 10 eur.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4</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prechodné ustanovenie na určenie nových sadzieb poplatkov pre všetky podania po účinnosti zákona, ako aj na všetky úkony a konania začaté a neskončené do účinnosti zákona. Tento mechanizmus je dôležitý pre centrálnu evidenciu poplatkov, ktorá po účinnosti zákona bude viesť „precenený“ číselník poplatkov s jednou sadou šablón na technických zariadeniach služby eKolok.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5 až 45</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Úpravy sadzieb poplatkov v samotnom sadzobníku súdnych poplatkov sa navrhujú pri poplatkoch, ktoré sú v sadzobníku ustanovené pevnou sumou. Pri sadzbách poplatkov určených percentom zo základu poplatku sa mení iba minimálna a/alebo maximálna suma výsledného poplatku. Zvolený mechanizmus úpravy sadzieb poplatkov sa odvíja od miery spotrebiteľskej inflácie od januára 2009, od kedy väčšina poplatkov bola menená iba prepočítaním konverzným kurzom pri prijatí meny EURO.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Spôsob legislatívnej úpravy vybraných sadzieb poplatkov bol zvolený z dôvodu jednoznačnosti a prehľadnosti úpravy jednotlivých položiek sadzobníka súdnych poplatkov a tiež z dôvodu jednoduchšieho zapracovania prijatých zmien do Zbierky zákonov. </w:t>
      </w: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II (Zákon Slovenskej národnej rady č. 310/1992 Zb. o stavebnom sporení v znení neskorších predpisov)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1</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Vypúšťa sa pojem domácnosť, ktorú tvoria manžel, manželka a ich deti, a to z dôvodu, že stavebný sporiteľ, ktorý je členom domácnosti – manžel alebo manželka, je oproti stavebnému sporiteľovi, ktorý nie je členom domácnosti, neprimerane zvýhodnený.</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2</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Legislatívno – technická úprava súvisiaca s bodom 4.</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lastRenderedPageBreak/>
        <w:t xml:space="preserve">K bodu 3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Vypúšťa sa nárok na 50 %-nú výšku poplatku za vedenie účtu stavebného sporenia počas obdobia 12 kalendárnych mesiacov odo dňa poskytnutia štátnej prémie stavebnou sporiteľňou pre stavebného sporiteľa - člena domácnosti.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4</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Rušia sa osobitné podmienky pre určenie hranice priemerného mesačného príjmu pre stavebných sporiteľov - členov domácnosti, ktorí pri uzatvorení zmluvy o stavebnom sporení písomne vyhlásili, že ich zmluvy o stavebnom sporení budú s nárokom na štátnu prémiu.  Zároveň sa ruší povinnosť stavebných sporiteľní upraviť vo všeobecných obchodných podmienkach ustanovenia zmlúv o stavebnom sporení a podmienok pri uzatváraní zmlúv o stavebnom sporení stavebnými sporiteľmi - členmi domácnosti.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5</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Ruší sa dvojnásobná výška percentuálneho podielu štátnej prémie pre stavebného sporiteľa - člena domácnosti.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6</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Legislatívno – technická úprava súvisiaca s bodom 1.</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7</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Legislatívno – technická úprava súvisiaca s bodom 3.</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8</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Z dôvodu vypustenia všetkých vecných úprav v zákone o stavebnom sporení zavedených novelou č. 316/2023 Z. z. stráca prechodné ustanovenie § 13l viažuce sa k týmto úpravám svoje opodstatnenie.</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III (Zákon Národnej rady Slovenskej republiky č. 241/1993 Z. z. o štátnych sviatkoch, dňoch pracovného pokoja a pamätných dňoch v znení neskorších predpisov)</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Pre štátny sviatok 1. september - Deň Ústavy Slovenskej republiky sa navrhuje ustanoviť výnimka z pravidla, že štátne sviatky sú dňami pracovného pokoja. 1. september bude štátnym sviatkom, ale nebude dňom pracovného pokoja, ani sviatkom v zmysle príslušných ustanovení Zákonníka práce. Uvedená úprava sa navrhuje z dôvodu potreby zníženia celkového počtu dní pracovného pokoja, čo bude mať pozitívny vplyv na hospodárenie štátu a zamestnanosť.</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keepNext/>
        <w:jc w:val="both"/>
        <w:outlineLvl w:val="0"/>
        <w:rPr>
          <w:rFonts w:ascii="Times New Roman" w:hAnsi="Times New Roman" w:cs="Times New Roman"/>
          <w:b/>
          <w:bCs/>
          <w:sz w:val="24"/>
          <w:szCs w:val="24"/>
        </w:rPr>
      </w:pPr>
      <w:r w:rsidRPr="00EC2261">
        <w:rPr>
          <w:rFonts w:ascii="Times New Roman" w:hAnsi="Times New Roman" w:cs="Times New Roman"/>
          <w:b/>
          <w:sz w:val="24"/>
          <w:szCs w:val="24"/>
        </w:rPr>
        <w:t xml:space="preserve">K čl. IV </w:t>
      </w:r>
      <w:r w:rsidRPr="00EC2261">
        <w:rPr>
          <w:rFonts w:ascii="Times New Roman" w:hAnsi="Times New Roman" w:cs="Times New Roman"/>
          <w:b/>
          <w:bCs/>
          <w:sz w:val="24"/>
          <w:szCs w:val="24"/>
        </w:rPr>
        <w:t>(Zákon Národnej rady Slovenskej republiky č. 145/1995 Z. z. o správnych poplatkoch v znení neskorších predpisov)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1 a 2</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úprava súvisiaca so zvýhodnením podania návrhu elektronickými prostriedkami  pri zachovaní 50 % zníženia sadzby poplatku so stanovením maximálneho </w:t>
      </w:r>
      <w:r w:rsidRPr="00EC2261">
        <w:rPr>
          <w:rFonts w:ascii="Times New Roman" w:hAnsi="Times New Roman" w:cs="Times New Roman"/>
          <w:sz w:val="24"/>
          <w:szCs w:val="24"/>
        </w:rPr>
        <w:lastRenderedPageBreak/>
        <w:t xml:space="preserve">zníženia výslednej sumy poplatku z pôvodných 70 eur na 50 eur. V nadväznosti na prijatie úpravy sadzieb poplatkov sa upravuje aj suma vrátenia preplatku, ak presahuje sumu 2,5 eura.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3</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prechodné ustanovenie na určenie nových sadzieb poplatkov pre všetky podania po účinnosti zákona ako aj na všetky úkony a konania začaté a neskončené do účinnosti zákona. Tento mechanizmus je dôležitý pre centrálnu evidenciu poplatkov, ktorá po účinnosti zákona bude viesť „precenený“ číselník poplatkov s jednou sadou šablón na technických zariadeniach služby eKolok.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4 až 185</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Úpravy sadzieb poplatkov v samotnom sadzobníku správnych poplatkov sa navrhujú pri poplatkoch, ktoré sú v sadzobníku ustanovené pevnou sumou s výnimkou tých, ktoré boli v posledných rokoch komplexne upravované v rámci novelizácie vecného právneho predpisu (napr. poplatky za registráciu liekov, zdravotníckych pomôcok a dietetických potravín, alebo poplatky za patenty, poplatky za veterinárnu správu a pod.). Pri sadzbách poplatkov určených percentom zo základu poplatku sa mení iba minimálna a/alebo maximálna suma výsledného poplatku. Zvolený mechanizmus úpravy sadzieb poplatkov sa odvíja od miery spotrebiteľskej inflácie od januára 2009, od kedy väčšina poplatkov bola menená iba prepočítaním konverzným kurzom pri prijatí meny EURO.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Spôsob legislatívnej úpravy vybraných sadzieb poplatkov bol zvolený z dôvodu jednoznačnosti a prehľadnosti úpravy jednotlivých položiek sadzobníka správnych poplatkov a tiež z dôvodu jednoduchšieho zapracovania prijatých zmien do Zbierky zákonov. </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V (Zákon č. 461/2003 Z. z. o sociálnom poistení v znení neskorších predpisov)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1, 2 5 a 6 [§ 66 ods. 6 písm. h) až j), § 131 ods. 2]</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V súvislosti so znížením sadzby povinných príspevkov na starobné dôchodkové sporenie v čl. VII sa od 1. januára 2024 navrhuje zvýšenie sadzby poistného na starobné poistenie pre sporiteľov. Z uvedeného dôvodu sa súčasne navrhuje upraviť aj krátenie sumy dôchodku z I. piliera pre poistenca, ktorý je sporiteľ alebo bol sporiteľ za obdobie účasti na starobnom dôchodkovom sporení.</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3 a 4 [§ 66b ods. 6, § 116 ods. 3]</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Navrhuje sa, aby sa rodičovský dôchodok vyplatil každý rok raz ročne v júni v jednej úhrnnej splátke. V prípade, ak nárok na rodičovský dôchodok vznikne prvý krát napríklad v auguste, vyplatí sa rodičovský dôchodok za mesiace august až december v mesiaci, v ktorom sa prvý krát vyplatí dôchodok od ktorého je odvodený nárok na výplatu rodičovského dôchodku. Z uvedeného dôvodu sa tiež navrhujú upraviť podmienky nároku na rodičovský dôchodok a nároku na jeho výplatu tak, aby sa podmienka poberania starobného dôchodku alebo invalidného dôchodku po dovŕšení dôchodkového veku považovala na tento účel od 1. júna príslušného kalendárneho roka do konca tohto roka za splnenú. V prípade, ak nárok na výplatu dôchodku, od ktorého je nárok na rodičovský dôchodok odvodený, zanikol pred 1. júnom, rodičovský dôchodok bude patriť iba za obdobie nároku na výplatu tohto dôchodku.</w:t>
      </w:r>
    </w:p>
    <w:p w:rsidR="00EC2261" w:rsidRDefault="00EC2261" w:rsidP="00764E05">
      <w:pPr>
        <w:jc w:val="both"/>
        <w:rPr>
          <w:rFonts w:ascii="Times New Roman" w:hAnsi="Times New Roman" w:cs="Times New Roman"/>
          <w:b/>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VI (Zákon č. 595/2003 Z. z. o dani z príjmov v znení neskorších predpisov)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 xml:space="preserve">K bodu 1 - §  2 písm. w) a § 15 písm. a) druhý bod a písm. b) prvý bod podbod 1a.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Z dôvodu právnej istoty daňovníkov a jednoznačného určenia hranice zdaniteľných príjmov pre uplatnenie 15 % sadzby dane sa zavádza pevná dobre zapamätateľná suma vo výške 60 000 eur. V tejto súvislosti sa vypúšťa aj poznámka pod čiarou k odkazu 2a.</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 xml:space="preserve">K bodom 2, 5 a 10 - § 5 ods. 7 písm. q), § 9 ods. 1 písm. p) a § 52zzz ods. 2 a 3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Z dôvodu právnej istoty sa navrhuje vykonať legislatívno-technické zmeny prostredníctvom spresnenia textu a v tejto súvislosti sa ustanovuje prechodné ustanovenie.</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3 - § 9 ods. 1 písm. i)</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Ide o vykonanie legislatívno-technickej úpravy v nadväznosti na novelizáciu zákona č. 309/2023 Z. z.</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4 - § 9 ods. 1 písm. k)</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Navrhovanou úpravou sa ponecháva oslobodenie príjmov z predaja cenných papierov prijatých na obchodovanie na regulovanom trhu alebo obdobnom zahraničnom regulovanom trhu tak, ako je platné do 31. decembra 2023. Zároveň sa ustanovenie dopĺňa a legislatívne spresňuje v nadväznosti na zákon č. 309/2023 Z. z. o premenách obchodných spoločnosti a družstiev a o zmene a doplnení niektorých zákonov.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6 a 7 - § 12 ods. 3 písm. a) a § 13 ods. 1 písm. g)</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Navrhovanou úpravou sa rozširuje okruh právnych foriem daňovníkov nezaložených alebo nezriadených na podnikanie, ktorí si môžu uplatniť oslobodenie príjmov z tzv. charitatívnej reklamy. Zároveň dochádza k zvýšeniu hornej hranice oslobodených príjmov plynúcich z charitatívnej reklamy, a to z 20 000 eur na 30 000 eur.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8 - § 15 písm. a) piaty bod a § 43 ods. 1 písm. a)</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Z dôvodu konsolidácie verejných financií sa navrhuje zvýšenie sadzby dane pre podiely na zisku vyplácané fyzickým osobám zo sadzby dane 7 % na 10 %.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9 - § 46b</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Do zákona o dani z príjmov sa dopĺňa inštitút minimálnej dane pre vymedzené právnické osoby. Minimálnu daň platí daňovník, ktorého daňová povinnosť vypočítaná v daňovom priznaní je nižšia ako ustanovená výška minimálnej dane pre daňovníka – právnickú osobu, t. j. tento daňovník platí minimálnu daň aj v prípade vykázania daňovej straty. Ustanovená sadzba minimálnej dane sa znižuje na polovicu, ak ide o daňovníka, ktorý zamestnáva pracovníkov so zdravotným postihnutím. Podmienkou však je, že priemerný evidenčný počet zamestnancov vo fyzických osobách  so zdravotným poistením je najmenej 20 % z celkového priemerného evidenčného počtu zamestnancov vo fyzických osobách  podľa vyhlášky ŠÚ SR č. 425/2023 Z. z. Na základe tejto vyhlášky je spôsob výpočtu uvedeného ukazovateľa ustanovený v štvrťročnom výkaze o práci „Práca 2-04“. Minimálna daň je splatná v rovnakej lehote ako daňová povinnosť, t. j. v lehote na podanie daňového priznania. Súčasne sa ustanovuje možnosť zápočtu zaplatenej minimálnej dane (resp. kladného rozdielu medzi minimálnou daňou a daňou </w:t>
      </w:r>
      <w:r w:rsidRPr="00EC2261">
        <w:rPr>
          <w:rFonts w:ascii="Times New Roman" w:hAnsi="Times New Roman" w:cs="Times New Roman"/>
          <w:sz w:val="24"/>
          <w:szCs w:val="24"/>
        </w:rPr>
        <w:lastRenderedPageBreak/>
        <w:t>vypočítanou v daňovom priznaní) v troch bezprostredne po sebe nasledujúcich zdaňovacích obdobiach, ale len vo výške, ktorá presahuje minimálnu daň. V prípade kratšieho zdaňovacieho obdobia (napr. pri prechode z kalendárneho roka na hospodársky rok a naopak alebo zdaňovacie obdobie do dňa vstupu do likvidácie alebo konkurzu) sa výška minimálnej dane znižuje úmerne podľa počtu mesiacov tohto zdaňovacieho obdobia. Rovnako zákon o dani z príjmov vymedzuje daňovníkov – právnické osoby, ktoré nepodliehajú povinnosti platiť minimálnu daň. Daňovník, ktorému zanikol nárok na započítanie zaplatenej minimálnej dane z dôvodu, že uplynula ustanovená 3-ročná doba, stráca nárok na jej vrátenie. Súčasne nárok na jej vrátenie zaniká aj daňovníkovi, ktorý sa zrušuje bez likvidácie, a to ku dňu zrušenia bez likvidácie a daňovníkovi vstupujúcemu do konkurzu alebo likvidácie ku dňu vstupu do tohto režimu. Zároveň sa spresňuje postup pri započítaní zaplatených preddavkov v prípade, ak má daňovník súčasne nárok na zápočet minimálnej dane. Možnosť poukázania podielu zaplatenej dane ostáva zachovaná aj v prípade povinnosti platenia minimálnej dane, a to z celej výšky zaplatenej minimálnej dane.</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 xml:space="preserve">K bodu 10 - § 52zzy a § 52zzz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52zzy - Prechodné ustanovenia účinné od 31. decembra 2023</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Zvýšenie sadzby dane na podiely na zisku (dividendy) sa uplatní už pri podieloch na zisku vykázaných z hospodárskeho výsledku vyčísleného za zdaňovacie obdobie, ktoré začína najskôr 1. januára 2023. V prípade podielov na likvidačnom zostatku uvedené zvýšenie nastáva, ak vstúpi spoločnosť alebo družstvo do likvidácie najskôr 1. januára 2023, pričom však k výplate týchto podielov na likvidačnom zostatku došlo až po 31. decembri 2023. Obdobne sa postupuje aj pri vyrovnacích podieloch.</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52zzz – Prechodné ustanovenia účinné od 1. januára 2024</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Odsek 1 – Zmena hranice pre uplatnenie 15 % sadzby dane sa použije prvýkrát v zdaňovacom období, ktoré začína najskôr 1. januára 2024, t. j. v prípade daňovníka so zdaňovacím obdobím hospodársky rok najskôr v zdaňovacom období, ktoré začína v priebehu kalendárneho roka 2024.</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Odseky 4 až 6 - Minimálna daň pre právnické osoby bude prvýkrát splatná za zdaňovacie obdobie, ktoré sa začína najskôr 1. januára 2024, t. j. povinnosť jej zaplatenia sa nebude týkať zdaňovacieho obdobia, ktoré začalo v kalendárnom roku 2023. Okrem prípadov uvedených v § 46b ods. 7 nepodlieha povinnosti platenia minimálnej dane ani daňovník, ktorý sa v priebehu kalendárneho roka 2024 zrušuje s likvidáciou alebo na ktorého bol vyhlásený konkurz, a to aj napriek tomu, že jeho zdaňovacie obdobie, ktoré je ukončené dňom predchádzajúcim dňu jeho vstupu do likvidácie alebo dňu vyhlásenia konkurzu, sa začalo najskôr 1. januára 2024. Zároveň sa ustanovuje, že prechod z kalendárneho roka na hospodársky rok uskutočnený v kalendárnom roku 2024 nemá vplyv na povinnosť platenia minimálnej dane. Minimálna daň za zdaňovacie obdobie ukončené dňom predchádzajúcim dňu tejto zmeny sa uhradí spolu s minimálnou daňou za zdaňovacie obdobie, ktoré sa začína dňom zmeny, t. j. uhradí sa v roku 2025.</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VII (Zákon č. 43/2004 Z. z. o starobnom dôchodkovom sporení a o zmene a doplnení niektorých zákonov v znení neskorších predpisov)</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lastRenderedPageBreak/>
        <w:t>S účinnosťou od 1. januára 2024 sa navrhuje trvalé zníženie sadzby povinných príspevkov na starobné dôchodkové sporenie na 4 % z vymeriavacieho základu sporiteľa.</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VIII (Zákon č. 106/2004 Z. z. o spotrebnej dani z tabakových výrobkov v znení neskorších predpisov)</w:t>
      </w:r>
    </w:p>
    <w:p w:rsidR="00764E05" w:rsidRPr="00EC2261" w:rsidRDefault="00764E05" w:rsidP="00764E05">
      <w:pPr>
        <w:autoSpaceDE w:val="0"/>
        <w:autoSpaceDN w:val="0"/>
        <w:adjustRightInd w:val="0"/>
        <w:jc w:val="both"/>
        <w:rPr>
          <w:rFonts w:ascii="Times New Roman" w:hAnsi="Times New Roman" w:cs="Times New Roman"/>
          <w:bCs/>
          <w:sz w:val="24"/>
          <w:szCs w:val="24"/>
          <w:u w:val="single"/>
        </w:rPr>
      </w:pPr>
      <w:r w:rsidRPr="00EC2261">
        <w:rPr>
          <w:rFonts w:ascii="Times New Roman" w:hAnsi="Times New Roman" w:cs="Times New Roman"/>
          <w:bCs/>
          <w:sz w:val="24"/>
          <w:szCs w:val="24"/>
          <w:u w:val="single"/>
        </w:rPr>
        <w:t>K bodom 1 a 3</w:t>
      </w:r>
    </w:p>
    <w:p w:rsidR="00764E05" w:rsidRPr="00EC2261" w:rsidRDefault="00764E05" w:rsidP="00764E05">
      <w:pPr>
        <w:jc w:val="both"/>
        <w:rPr>
          <w:rFonts w:ascii="Times New Roman" w:hAnsi="Times New Roman" w:cs="Times New Roman"/>
          <w:bCs/>
          <w:sz w:val="24"/>
          <w:szCs w:val="24"/>
        </w:rPr>
      </w:pPr>
      <w:r w:rsidRPr="00EC2261">
        <w:rPr>
          <w:rFonts w:ascii="Times New Roman" w:hAnsi="Times New Roman" w:cs="Times New Roman"/>
          <w:bCs/>
          <w:sz w:val="24"/>
          <w:szCs w:val="24"/>
        </w:rPr>
        <w:t>Navrhovanou úpravou sa upravuje sadzba dane z cigár a cigariek, sadzba dane z tabaku, špecifická časť kombinovanej sadzby dane z cigariet, minimálna sadzba dane z cigariet a sadzba dane z tabaku v bezdymovom tabakovom výrobku, a to s účinnosťou od 1. februára 2026.</w:t>
      </w:r>
    </w:p>
    <w:p w:rsidR="00764E05" w:rsidRPr="00EC2261" w:rsidRDefault="00764E05" w:rsidP="00764E05">
      <w:pPr>
        <w:jc w:val="both"/>
        <w:rPr>
          <w:rFonts w:ascii="Times New Roman" w:hAnsi="Times New Roman" w:cs="Times New Roman"/>
          <w:bCs/>
          <w:sz w:val="24"/>
          <w:szCs w:val="24"/>
          <w:u w:val="single"/>
        </w:rPr>
      </w:pPr>
      <w:r w:rsidRPr="00EC2261">
        <w:rPr>
          <w:rFonts w:ascii="Times New Roman" w:hAnsi="Times New Roman" w:cs="Times New Roman"/>
          <w:bCs/>
          <w:sz w:val="24"/>
          <w:szCs w:val="24"/>
          <w:u w:val="single"/>
        </w:rPr>
        <w:t>K bodu 2</w:t>
      </w:r>
    </w:p>
    <w:p w:rsidR="00764E05" w:rsidRPr="00EC2261" w:rsidRDefault="00764E05" w:rsidP="00764E05">
      <w:pPr>
        <w:jc w:val="both"/>
        <w:rPr>
          <w:rFonts w:ascii="Times New Roman" w:hAnsi="Times New Roman" w:cs="Times New Roman"/>
          <w:b/>
          <w:bCs/>
          <w:sz w:val="24"/>
          <w:szCs w:val="24"/>
        </w:rPr>
      </w:pPr>
      <w:r w:rsidRPr="00EC2261">
        <w:rPr>
          <w:rFonts w:ascii="Times New Roman" w:hAnsi="Times New Roman" w:cs="Times New Roman"/>
          <w:bCs/>
          <w:sz w:val="24"/>
          <w:szCs w:val="24"/>
        </w:rPr>
        <w:t>Legislatívno-technická úprava týkajúca sa zosúladenia legislatívy v oblasti spotrebných daní pri objednávaní a tlači kontrolných známok.</w:t>
      </w:r>
    </w:p>
    <w:p w:rsidR="00764E05" w:rsidRPr="00EC2261" w:rsidRDefault="00764E05" w:rsidP="00764E05">
      <w:pPr>
        <w:autoSpaceDE w:val="0"/>
        <w:autoSpaceDN w:val="0"/>
        <w:adjustRightInd w:val="0"/>
        <w:jc w:val="both"/>
        <w:rPr>
          <w:rFonts w:ascii="Times New Roman" w:hAnsi="Times New Roman" w:cs="Times New Roman"/>
          <w:bCs/>
          <w:sz w:val="24"/>
          <w:szCs w:val="24"/>
          <w:u w:val="single"/>
        </w:rPr>
      </w:pPr>
      <w:r w:rsidRPr="00EC2261">
        <w:rPr>
          <w:rFonts w:ascii="Times New Roman" w:hAnsi="Times New Roman" w:cs="Times New Roman"/>
          <w:bCs/>
          <w:sz w:val="24"/>
          <w:szCs w:val="24"/>
          <w:u w:val="single"/>
        </w:rPr>
        <w:t>K bodu 4</w:t>
      </w:r>
    </w:p>
    <w:p w:rsidR="00764E05" w:rsidRPr="00EC2261" w:rsidRDefault="00764E05" w:rsidP="00764E05">
      <w:pPr>
        <w:jc w:val="both"/>
        <w:rPr>
          <w:rFonts w:ascii="Times New Roman" w:hAnsi="Times New Roman" w:cs="Times New Roman"/>
          <w:bCs/>
          <w:sz w:val="24"/>
          <w:szCs w:val="24"/>
        </w:rPr>
      </w:pPr>
      <w:r w:rsidRPr="00EC2261">
        <w:rPr>
          <w:rFonts w:ascii="Times New Roman" w:hAnsi="Times New Roman" w:cs="Times New Roman"/>
          <w:bCs/>
          <w:sz w:val="24"/>
          <w:szCs w:val="24"/>
        </w:rPr>
        <w:t>V súvislosti s navrhovanými zmenami uvedenými v bodoch 1 a 2 sa upravujú prechodné ustanovenia. Súčasne sa navrhuje upraviť sadzbu dane z tabaku, špecifickú aj percentuálnu časť kombinovanej sadzby dane z cigariet, minimálnu sadzbu dane z cigariet a  sadzbu dane z tabaku v bezdymovom tabakovom výrobku platnú v období od 1. februára 2024 do 31. januára 2026. Zároveň sa stanovujú znaky pre príslušnú sadzbu dane a upravujú sa lehoty na predaj zdanených tabakových výrobkov pri zmene sadzby dane.</w:t>
      </w:r>
    </w:p>
    <w:p w:rsidR="00764E05" w:rsidRPr="00EC2261" w:rsidRDefault="00764E05" w:rsidP="00764E05">
      <w:pPr>
        <w:jc w:val="both"/>
        <w:rPr>
          <w:rFonts w:ascii="Times New Roman" w:hAnsi="Times New Roman" w:cs="Times New Roman"/>
          <w:bCs/>
          <w:sz w:val="24"/>
          <w:szCs w:val="24"/>
        </w:rPr>
      </w:pPr>
    </w:p>
    <w:p w:rsidR="00764E05" w:rsidRPr="00EC2261" w:rsidRDefault="00764E05" w:rsidP="00764E05">
      <w:pPr>
        <w:jc w:val="both"/>
        <w:rPr>
          <w:rFonts w:ascii="Times New Roman" w:hAnsi="Times New Roman" w:cs="Times New Roman"/>
          <w:b/>
          <w:bCs/>
          <w:sz w:val="24"/>
          <w:szCs w:val="24"/>
        </w:rPr>
      </w:pPr>
      <w:r w:rsidRPr="00EC2261">
        <w:rPr>
          <w:rFonts w:ascii="Times New Roman" w:hAnsi="Times New Roman" w:cs="Times New Roman"/>
          <w:b/>
          <w:bCs/>
          <w:sz w:val="24"/>
          <w:szCs w:val="24"/>
        </w:rPr>
        <w:t>K čl. IX (Zákon č. 222/2004 Z. z. o dani z pridanej hodnoty v znení neskorších predpisov)</w:t>
      </w:r>
    </w:p>
    <w:p w:rsidR="00764E05" w:rsidRPr="00EC2261" w:rsidRDefault="00764E05" w:rsidP="00764E05">
      <w:pPr>
        <w:jc w:val="both"/>
        <w:rPr>
          <w:rFonts w:ascii="Times New Roman" w:hAnsi="Times New Roman" w:cs="Times New Roman"/>
          <w:sz w:val="24"/>
          <w:szCs w:val="24"/>
          <w:shd w:val="clear" w:color="auto" w:fill="FFFFFF"/>
        </w:rPr>
      </w:pPr>
      <w:r w:rsidRPr="00EC2261">
        <w:rPr>
          <w:rFonts w:ascii="Times New Roman" w:hAnsi="Times New Roman" w:cs="Times New Roman"/>
          <w:sz w:val="24"/>
          <w:szCs w:val="24"/>
        </w:rPr>
        <w:t xml:space="preserve">Znížená sadzba dane vo výške 10 % zo základu dane na poskytovanie reštauračných a stravovacích služieb tak, ako sú vymedzené v článku 6 vykonávacieho nariadenia Rady (EÚ) č. 282/2011 </w:t>
      </w:r>
      <w:r w:rsidRPr="00EC2261">
        <w:rPr>
          <w:rFonts w:ascii="Times New Roman" w:hAnsi="Times New Roman" w:cs="Times New Roman"/>
          <w:bCs/>
          <w:sz w:val="24"/>
          <w:szCs w:val="24"/>
          <w:shd w:val="clear" w:color="auto" w:fill="FFFFFF"/>
        </w:rPr>
        <w:t>z 15. marca 2011</w:t>
      </w:r>
      <w:r w:rsidRPr="00EC2261">
        <w:rPr>
          <w:rFonts w:ascii="Times New Roman" w:hAnsi="Times New Roman" w:cs="Times New Roman"/>
          <w:sz w:val="24"/>
          <w:szCs w:val="24"/>
        </w:rPr>
        <w:t xml:space="preserve">, </w:t>
      </w:r>
      <w:r w:rsidRPr="00EC2261">
        <w:rPr>
          <w:rFonts w:ascii="Times New Roman" w:hAnsi="Times New Roman" w:cs="Times New Roman"/>
          <w:bCs/>
          <w:sz w:val="24"/>
          <w:szCs w:val="24"/>
          <w:shd w:val="clear" w:color="auto" w:fill="FFFFFF"/>
        </w:rPr>
        <w:t>ktorým sa ustanovujú vykonávacie opatrenia smernice 2006/112/ES o spoločnom systéme dane z pridanej hodnoty,</w:t>
      </w:r>
      <w:r w:rsidRPr="00EC2261">
        <w:rPr>
          <w:rFonts w:ascii="Times New Roman" w:hAnsi="Times New Roman" w:cs="Times New Roman"/>
          <w:sz w:val="24"/>
          <w:szCs w:val="24"/>
        </w:rPr>
        <w:t xml:space="preserve"> bola od 1. januára 2023 zavedená vzhľadom na vtedajšiu bezprecedentnú situáciu na trhu s energiami, ale aj na negatívnu situáciu v sektore spôsobenú pandémiou ochorenia COVID-19. Cieľom bolo pomôcť podnikateľom stabilizovať ceny týchto služieb, prípadne ceny v tomto sektore aj znížiť. </w:t>
      </w:r>
      <w:r w:rsidRPr="00EC2261">
        <w:rPr>
          <w:rFonts w:ascii="Times New Roman" w:hAnsi="Times New Roman" w:cs="Times New Roman"/>
          <w:sz w:val="24"/>
          <w:szCs w:val="24"/>
          <w:shd w:val="clear" w:color="auto" w:fill="FFFFFF"/>
        </w:rPr>
        <w:t>Navrhuje sa však vylúčenie podávania alkoholických nápojov, v ktorých obsah alkoholu prevyšuje 0,5 % jeho objemu, z uplatňovania zníženej sadzby dane na reštauračné a stravovacie služby od 1. januára 2024. Odôvodnenosť tohto opatrenia vyplýva na jednej strane z potreby konsolidácie verejných financií. Na strane druhej, alkoholické nápoje negatívne vplývajú na ľudské zdravie, rodinné vzťahy, prípadne iné sociálne oblasti, čo vyvoláva zvýšené náklady verejných financií na elimináciu týchto škodlivých následkov. Nie je preto žiaduce, aby podávanie alkoholických nápojov v rámci stravovacích a reštauračných služieb naďalej podliehalo zníženej sadzbe dane. S</w:t>
      </w:r>
      <w:r w:rsidRPr="00EC2261">
        <w:rPr>
          <w:rFonts w:ascii="Times New Roman" w:hAnsi="Times New Roman" w:cs="Times New Roman"/>
          <w:sz w:val="24"/>
          <w:szCs w:val="24"/>
        </w:rPr>
        <w:t xml:space="preserve">mernica Rady 2006/112/ES z 28. novembra 2006 o spoločnom systéme dane z pridanej hodnoty v platnom znení v prílohe č. III stanovuje, že znížená sadzba dane sa môže uplatniť na </w:t>
      </w:r>
      <w:r w:rsidRPr="00EC2261">
        <w:rPr>
          <w:rFonts w:ascii="Times New Roman" w:hAnsi="Times New Roman" w:cs="Times New Roman"/>
          <w:sz w:val="24"/>
          <w:szCs w:val="24"/>
          <w:shd w:val="clear" w:color="auto" w:fill="FFFFFF"/>
        </w:rPr>
        <w:t xml:space="preserve">reštauračné a stravovacie služby s možnosťou vylúčiť dodávanie alkoholických nápojov. Aj väčšina členských štátov Európskej únie, ktoré uplatňujú zníženú sadzbu dane na predmetné služby, túto možnosť využila. Podávanie alkoholických nápojov v rámci poskytovania </w:t>
      </w:r>
      <w:r w:rsidRPr="00EC2261">
        <w:rPr>
          <w:rFonts w:ascii="Times New Roman" w:hAnsi="Times New Roman" w:cs="Times New Roman"/>
          <w:sz w:val="24"/>
          <w:szCs w:val="24"/>
          <w:shd w:val="clear" w:color="auto" w:fill="FFFFFF"/>
        </w:rPr>
        <w:lastRenderedPageBreak/>
        <w:t xml:space="preserve">reštauračných a stravovacích služieb tak bude podliehať základnej sadzbe dane </w:t>
      </w:r>
      <w:r w:rsidRPr="00EC2261">
        <w:rPr>
          <w:rFonts w:ascii="Times New Roman" w:hAnsi="Times New Roman" w:cs="Times New Roman"/>
          <w:sz w:val="24"/>
          <w:szCs w:val="24"/>
        </w:rPr>
        <w:t>vo výške 20 % zo základu dane</w:t>
      </w:r>
      <w:r w:rsidRPr="00EC2261">
        <w:rPr>
          <w:rFonts w:ascii="Times New Roman" w:hAnsi="Times New Roman" w:cs="Times New Roman"/>
          <w:sz w:val="24"/>
          <w:szCs w:val="24"/>
          <w:shd w:val="clear" w:color="auto" w:fill="FFFFFF"/>
        </w:rPr>
        <w:t>.</w:t>
      </w:r>
    </w:p>
    <w:p w:rsidR="00764E05" w:rsidRPr="00EC2261" w:rsidRDefault="00764E05" w:rsidP="00764E05">
      <w:pPr>
        <w:jc w:val="both"/>
        <w:rPr>
          <w:rFonts w:ascii="Times New Roman" w:hAnsi="Times New Roman" w:cs="Times New Roman"/>
          <w:sz w:val="24"/>
          <w:szCs w:val="24"/>
          <w:shd w:val="clear" w:color="auto" w:fill="FFFFFF"/>
        </w:rPr>
      </w:pPr>
    </w:p>
    <w:p w:rsidR="00764E05" w:rsidRPr="00EC2261" w:rsidRDefault="00764E05" w:rsidP="00764E05">
      <w:pPr>
        <w:jc w:val="both"/>
        <w:rPr>
          <w:rFonts w:ascii="Times New Roman" w:hAnsi="Times New Roman" w:cs="Times New Roman"/>
          <w:sz w:val="24"/>
          <w:szCs w:val="24"/>
          <w:shd w:val="clear" w:color="auto" w:fill="FFFFFF"/>
        </w:rPr>
      </w:pPr>
      <w:r w:rsidRPr="00EC2261">
        <w:rPr>
          <w:rFonts w:ascii="Times New Roman" w:hAnsi="Times New Roman" w:cs="Times New Roman"/>
          <w:b/>
          <w:bCs/>
          <w:sz w:val="24"/>
          <w:szCs w:val="24"/>
        </w:rPr>
        <w:t>K čl. X (Zákon č. 580/2004 Z. z. o zdravotnom poistení a o zmene a doplnení zákona č. 95/2002 Z. z. o poisťovníctve a o zmene a doplnení niektorých zákonov v znení neskorších predpisov)</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zvýšiť sadzba poisteného pre </w:t>
      </w:r>
    </w:p>
    <w:p w:rsidR="00764E05" w:rsidRPr="00EC2261" w:rsidRDefault="00764E05" w:rsidP="00764E05">
      <w:pPr>
        <w:pStyle w:val="Odsekzoznamu"/>
        <w:numPr>
          <w:ilvl w:val="0"/>
          <w:numId w:val="7"/>
        </w:numPr>
        <w:spacing w:after="0" w:line="240" w:lineRule="auto"/>
        <w:jc w:val="both"/>
        <w:rPr>
          <w:rFonts w:ascii="Times New Roman" w:hAnsi="Times New Roman"/>
          <w:sz w:val="24"/>
          <w:szCs w:val="24"/>
        </w:rPr>
      </w:pPr>
      <w:r w:rsidRPr="00EC2261">
        <w:rPr>
          <w:rFonts w:ascii="Times New Roman" w:hAnsi="Times New Roman"/>
          <w:sz w:val="24"/>
          <w:szCs w:val="24"/>
        </w:rPr>
        <w:t>zamestnávateľa z 10% na 11%, ak zamestnávateľ zamestnáva osoby so zdravotným postihnutím, sadzba poistného sa upravuje z 5% na 5,5% z vymeriavacieho základu podľa § 13 ods. 1,</w:t>
      </w:r>
    </w:p>
    <w:p w:rsidR="00764E05" w:rsidRPr="00EC2261" w:rsidRDefault="00764E05" w:rsidP="00764E05">
      <w:pPr>
        <w:pStyle w:val="Odsekzoznamu"/>
        <w:numPr>
          <w:ilvl w:val="0"/>
          <w:numId w:val="7"/>
        </w:numPr>
        <w:spacing w:after="0" w:line="240" w:lineRule="auto"/>
        <w:jc w:val="both"/>
        <w:rPr>
          <w:rFonts w:ascii="Times New Roman" w:hAnsi="Times New Roman"/>
          <w:sz w:val="24"/>
          <w:szCs w:val="24"/>
        </w:rPr>
      </w:pPr>
      <w:r w:rsidRPr="00EC2261">
        <w:rPr>
          <w:rFonts w:ascii="Times New Roman" w:hAnsi="Times New Roman"/>
          <w:sz w:val="24"/>
          <w:szCs w:val="24"/>
        </w:rPr>
        <w:t>samostatne zárobkovo činnú osobu z 14% na 15%, ak ide o samostatne zárobkovo činnú osobu so zdravotným postihnutím z 7% na 7,5% z vymeriavacieho základu,</w:t>
      </w:r>
    </w:p>
    <w:p w:rsidR="00764E05" w:rsidRPr="00EC2261" w:rsidRDefault="00764E05" w:rsidP="00764E05">
      <w:pPr>
        <w:pStyle w:val="Odsekzoznamu"/>
        <w:numPr>
          <w:ilvl w:val="0"/>
          <w:numId w:val="7"/>
        </w:numPr>
        <w:spacing w:after="0" w:line="240" w:lineRule="auto"/>
        <w:jc w:val="both"/>
        <w:rPr>
          <w:rFonts w:ascii="Times New Roman" w:hAnsi="Times New Roman"/>
          <w:sz w:val="24"/>
          <w:szCs w:val="24"/>
        </w:rPr>
      </w:pPr>
      <w:r w:rsidRPr="00EC2261">
        <w:rPr>
          <w:rFonts w:ascii="Times New Roman" w:hAnsi="Times New Roman"/>
          <w:sz w:val="24"/>
          <w:szCs w:val="24"/>
        </w:rPr>
        <w:t>tzv. samoplatiteľa zo 14 % na 15 % z vymeriavacieho základu.</w:t>
      </w:r>
    </w:p>
    <w:p w:rsidR="00764E05" w:rsidRPr="00EC2261" w:rsidRDefault="00764E05" w:rsidP="00764E05">
      <w:pPr>
        <w:pStyle w:val="Odsekzoznamu"/>
        <w:spacing w:after="0" w:line="240" w:lineRule="auto"/>
        <w:jc w:val="both"/>
        <w:rPr>
          <w:rFonts w:ascii="Times New Roman" w:hAnsi="Times New Roman"/>
          <w:sz w:val="24"/>
          <w:szCs w:val="24"/>
        </w:rPr>
      </w:pP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Pri realizácii akejkoľvek zásadnej zmeny v odvodovej povinnosti sa musia zmeny spočívajúce v zmene sadzby realizovať vždy k 1. januáru. Hlavným dôvodom je existencia ročného zúčtovania poistného, pri ktorom akákoľvek takáto zmena v priebehu kalendárneho roka do značnej miery výrazne skomplikuje realizáciu ročného zúčtovania poistného.</w:t>
      </w:r>
    </w:p>
    <w:p w:rsidR="00764E05" w:rsidRPr="00EC2261" w:rsidRDefault="00764E05" w:rsidP="00764E05">
      <w:pPr>
        <w:jc w:val="both"/>
        <w:rPr>
          <w:rFonts w:ascii="Times New Roman" w:hAnsi="Times New Roman" w:cs="Times New Roman"/>
          <w:b/>
          <w:i/>
          <w:sz w:val="24"/>
          <w:szCs w:val="24"/>
        </w:rPr>
      </w:pPr>
      <w:r w:rsidRPr="00EC2261">
        <w:rPr>
          <w:rFonts w:ascii="Times New Roman" w:hAnsi="Times New Roman" w:cs="Times New Roman"/>
          <w:sz w:val="24"/>
          <w:szCs w:val="24"/>
        </w:rPr>
        <w:t>Uvedené zvýšenie sa navrhuje z dôvodu kritickej situácie s verejnými financiami, kedy príjmy nepostačujú na krytie výdavkov na zdravotnú starostlivosť. Vzhľadom na solidárny systém verejného zdravotného poistenia neexistujú iné možnosti dofinancovania systému.</w:t>
      </w:r>
      <w:r w:rsidRPr="00EC2261">
        <w:rPr>
          <w:rFonts w:ascii="Times New Roman" w:hAnsi="Times New Roman" w:cs="Times New Roman"/>
          <w:b/>
          <w:i/>
          <w:sz w:val="24"/>
          <w:szCs w:val="24"/>
        </w:rPr>
        <w:t xml:space="preserve"> </w:t>
      </w:r>
    </w:p>
    <w:p w:rsidR="00764E05" w:rsidRPr="00EC2261" w:rsidRDefault="00764E05" w:rsidP="00764E05">
      <w:pPr>
        <w:jc w:val="both"/>
        <w:rPr>
          <w:rFonts w:ascii="Times New Roman" w:hAnsi="Times New Roman" w:cs="Times New Roman"/>
          <w:sz w:val="24"/>
          <w:szCs w:val="24"/>
          <w:shd w:val="clear" w:color="auto" w:fill="FFFFFF"/>
        </w:rPr>
      </w:pPr>
      <w:r w:rsidRPr="00EC2261">
        <w:rPr>
          <w:rFonts w:ascii="Times New Roman" w:hAnsi="Times New Roman" w:cs="Times New Roman"/>
          <w:sz w:val="24"/>
          <w:szCs w:val="24"/>
        </w:rPr>
        <w:t xml:space="preserve">Zvýšenie sadzby poistného zamestnávateľa, samostatne zárobkovo činnej osoby a tzv. samoplatiteľa (osoba, ktorá nie je zamestnancom, nie je samostatne zárobkovo činná osoba a nie je ani poistenec štátu) nezmení disponibilné zdroje zamestnanca a zníži disponibilné zdroje samostatne zárobkovo činnej osoby a samoplatiteľa. </w:t>
      </w:r>
    </w:p>
    <w:p w:rsidR="00764E05" w:rsidRPr="00EC2261" w:rsidRDefault="00764E05" w:rsidP="00764E05">
      <w:pPr>
        <w:jc w:val="both"/>
        <w:rPr>
          <w:rFonts w:ascii="Times New Roman" w:hAnsi="Times New Roman" w:cs="Times New Roman"/>
          <w:sz w:val="24"/>
          <w:szCs w:val="24"/>
          <w:shd w:val="clear" w:color="auto" w:fill="FFFFFF"/>
        </w:rPr>
      </w:pPr>
    </w:p>
    <w:p w:rsidR="00764E05" w:rsidRPr="00EC2261" w:rsidRDefault="00764E05" w:rsidP="00764E05">
      <w:pPr>
        <w:jc w:val="both"/>
        <w:rPr>
          <w:rFonts w:ascii="Times New Roman" w:hAnsi="Times New Roman" w:cs="Times New Roman"/>
          <w:b/>
          <w:sz w:val="24"/>
          <w:szCs w:val="24"/>
          <w:shd w:val="clear" w:color="auto" w:fill="FFFFFF"/>
        </w:rPr>
      </w:pPr>
      <w:r w:rsidRPr="00EC2261">
        <w:rPr>
          <w:rFonts w:ascii="Times New Roman" w:hAnsi="Times New Roman" w:cs="Times New Roman"/>
          <w:b/>
          <w:sz w:val="24"/>
          <w:szCs w:val="24"/>
          <w:shd w:val="clear" w:color="auto" w:fill="FFFFFF"/>
        </w:rPr>
        <w:t>K čl. XI (Zákon č. 581/2004 Z. z. o zdravotných poisťovniach, dohľade nad zdravotnou starostlivosťou a o zmene a doplnení niektorých zákonov v znení neskorších predpisov)</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V roku 2023 rástli výdavky na zdravotnú starostlivosť významne nad rámec očakávania vzhľadom na mimoriadne zvyšovanie platov ako aj dofinancovanie v roku 2023. V roku 2022 bol novelizovaný zákon č. 581/2004 Z. z. (zákonom č. 518/2022 Z. z.) a navrhnuté príspevky na činnosť Operačného strediska záchrannej zdravotnej služby SR, Národného centra zdravotníckych informácií a Úradu pre dohľad nad zdravotnou starostlivosťou boli nastavené na očakávané príjmy verejného zdravotného poistenia o 1 mld. eur nižšie. Navrhuje sa zníženie výšky percentuálnej sadzby príspevkov na činnosť Operačných stredísk tiesňového volania záchrannej zdravotnej služby, Národného centra zdravotníckych informácií a Úradu pre dohľad nad zdravotnou starostlivosťou, keďže príjmy sú výrazne vyššie, a v záujme šetrenia prostriedkov verejného zdravotného poistenia, je tento krok nevyhnutný.</w:t>
      </w:r>
    </w:p>
    <w:p w:rsidR="00764E05" w:rsidRPr="00EC2261" w:rsidRDefault="00764E05" w:rsidP="00764E05">
      <w:pPr>
        <w:tabs>
          <w:tab w:val="left" w:pos="8079"/>
        </w:tabs>
        <w:jc w:val="both"/>
        <w:rPr>
          <w:rFonts w:ascii="Times New Roman" w:hAnsi="Times New Roman" w:cs="Times New Roman"/>
          <w:sz w:val="24"/>
          <w:szCs w:val="24"/>
        </w:rPr>
      </w:pPr>
      <w:r w:rsidRPr="00EC2261">
        <w:rPr>
          <w:rFonts w:ascii="Times New Roman" w:hAnsi="Times New Roman" w:cs="Times New Roman"/>
          <w:sz w:val="24"/>
          <w:szCs w:val="24"/>
        </w:rPr>
        <w:tab/>
      </w:r>
    </w:p>
    <w:p w:rsidR="00764E05" w:rsidRPr="00EC2261" w:rsidRDefault="00764E05" w:rsidP="00764E05">
      <w:pPr>
        <w:jc w:val="both"/>
        <w:rPr>
          <w:rFonts w:ascii="Times New Roman" w:hAnsi="Times New Roman" w:cs="Times New Roman"/>
          <w:b/>
          <w:sz w:val="24"/>
          <w:szCs w:val="24"/>
          <w:shd w:val="clear" w:color="auto" w:fill="FFFFFF"/>
        </w:rPr>
      </w:pPr>
      <w:r w:rsidRPr="00EC2261">
        <w:rPr>
          <w:rFonts w:ascii="Times New Roman" w:hAnsi="Times New Roman" w:cs="Times New Roman"/>
          <w:b/>
          <w:sz w:val="24"/>
          <w:szCs w:val="24"/>
          <w:shd w:val="clear" w:color="auto" w:fill="FFFFFF"/>
        </w:rPr>
        <w:t>K čl. XII (Zákon č. 532/2010 Z. z. o Rozhlase a televízii Slovenska a o zmene a doplnení niektorých zákonov v znení neskorších predpisov)</w:t>
      </w:r>
    </w:p>
    <w:p w:rsidR="00764E05" w:rsidRPr="00EC2261" w:rsidRDefault="00764E05" w:rsidP="00764E05">
      <w:pPr>
        <w:jc w:val="both"/>
        <w:rPr>
          <w:rFonts w:ascii="Times New Roman" w:hAnsi="Times New Roman" w:cs="Times New Roman"/>
          <w:sz w:val="24"/>
          <w:szCs w:val="24"/>
          <w:shd w:val="clear" w:color="auto" w:fill="FFFFFF"/>
        </w:rPr>
      </w:pPr>
      <w:r w:rsidRPr="00EC2261">
        <w:rPr>
          <w:rFonts w:ascii="Times New Roman" w:hAnsi="Times New Roman" w:cs="Times New Roman"/>
          <w:sz w:val="24"/>
          <w:szCs w:val="24"/>
          <w:shd w:val="clear" w:color="auto" w:fill="FFFFFF"/>
        </w:rPr>
        <w:lastRenderedPageBreak/>
        <w:t xml:space="preserve">V súvislosti s potrebou ozdravenia verejných financií sa prijíma konsolidačné opatrenie, ktorým sa zabezpečuje príspevok pre RTVS vo výške najmenej 0,12% z HDP. Výška príspevku vychádza zo skutočných výdavkov predchádzajúcich období. </w:t>
      </w:r>
    </w:p>
    <w:p w:rsidR="00764E05" w:rsidRPr="00EC2261" w:rsidRDefault="00764E05" w:rsidP="00764E05">
      <w:pPr>
        <w:jc w:val="both"/>
        <w:rPr>
          <w:rFonts w:ascii="Times New Roman" w:hAnsi="Times New Roman" w:cs="Times New Roman"/>
          <w:b/>
          <w:sz w:val="24"/>
          <w:szCs w:val="24"/>
          <w:shd w:val="clear" w:color="auto" w:fill="FFFFFF"/>
        </w:rPr>
      </w:pPr>
    </w:p>
    <w:p w:rsidR="00764E05" w:rsidRPr="00EC2261" w:rsidRDefault="00764E05" w:rsidP="00764E05">
      <w:pPr>
        <w:jc w:val="both"/>
        <w:rPr>
          <w:rFonts w:ascii="Times New Roman" w:hAnsi="Times New Roman" w:cs="Times New Roman"/>
          <w:b/>
          <w:sz w:val="24"/>
          <w:szCs w:val="24"/>
          <w:shd w:val="clear" w:color="auto" w:fill="FFFFFF"/>
        </w:rPr>
      </w:pPr>
      <w:r w:rsidRPr="00EC2261">
        <w:rPr>
          <w:rFonts w:ascii="Times New Roman" w:hAnsi="Times New Roman" w:cs="Times New Roman"/>
          <w:b/>
          <w:sz w:val="24"/>
          <w:szCs w:val="24"/>
          <w:shd w:val="clear" w:color="auto" w:fill="FFFFFF"/>
        </w:rPr>
        <w:t>K čl. XIII (Zákon č. 235/2012 Z. z. o osobitnom odvode z podnikania v regulovaných odvetviach a o zmene a doplnení niektorých zákonov v znení neskorších predpisov)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1 (§ 3)</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Navrhuje sa rozšírenie rozsahu regulovaných osôb o ďalšie regulované subjekty, ktoré realizujú svoju činnosť na území SR v oblasti vykonávanej na základe povolenia vydaného alebo udeleného zo strany NBS podľa osobitných predpisov, resp. vydaného príslušným regulačným orgánom v inom členskom štáte EÚ a štáte, ktorý je zmluvnou stranou Dohody o EHS. Navrhovaná právna úprava zaťažuje hospodársky výsledok bánk a nie bankové pasíva, ako to bolo v prípade predchádzajúcich odvodov bánk. Nie je preto dôvodné predpokladať, že nastane situácia, v ktorej by banky z dôvodu úhrad osobitného odvodu dosahovali straty.</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2 a 5 (§ 6, § 15 ods. 7 až 10)</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Zavádza sa vyššia sadzba pre banky, ktorá bude postupne vyklesávať do 31. 12. 2027. Po tomto dátume bude výška odvodu pre všetky regulované subjekty rovnaká. Z dôvodu nadštandardnej zvýšenej ziskovosti bankového sektora, ktorá bola spôsobená vývojom úrokových sadzieb, je možné konštatovať, že navrhované daňové zaťaženie neukladá nadmerné bremeno daňového zaťaženia a sleduje spravodlivú rovnováhu medzi verejným záujmom a individuálnymi záujmami dotknutých právnických osôb.</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Osobitne vyššou sadzbou sú zdaňované banky. Práve banky boli identifikované ako účastníci trhu s vysokými ziskami, ktorí majú zdaniteľný potenciál oproti ostatným regulovaným sektorom. Zisky v oblasti bankového sektora je možné označiť ako nadmerné z dôvodu, že nie sú dôsledkom podnikateľskej aktivity bánk v sektore ich podnikania, ale sú dôsledkom vývoja na finančných trhoch, ktorý nebolo možné predpokladať a ktorý umožnil bankám získať v porovnaní s inými subjektami finančného trhu, ako aj v porovnaní s inými podnikateľskými subjektami výrazné výnosy. Táto anomália finančného trhu umožňuje štátu prijať opatrenia na nastolenie rovnováhy tak, aby banky ako účastníci finančného trhu za takýchto okolností znášali zvýšené daňové zaťaženie, a tým sa v zmysle zásady daňovej solidarity podieľali na zlepšení stavu verejných financií. Z dôvodu aktuálneho vývoja na finančných trhoch je možné naďalej predpokladať zvýšenú ziskovosť bankového sektora.</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Vývoj európskej ekonomiky, zvyšovanie úrokových sadzieb ECB a ďalšie opatrenia vytvorili podmienky pre zvýšenú ziskovosť bankového sektora, čo malo za následok  prijímanie zvýšených daňových sadzieb nielen vo vzťahu k bankovému sektoru. Zvýšený zisk bánk podmienil prijímanie reštriktívnych daňových opatrení v iných krajinách ako Maďarsko, Česká republika, Španielsko, Litva, Taliansko, Švédsko a Veľká Británia, pričom Slovinsko zavedenie zvýšeného zdanenia bánk plánuje.</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bodom 3 až 5 (§ 12, § 15 ods. 12)</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aby uhradené odvody a uhradené nedoplatky zo zúčtovania odvodov boli príjmom štátneho rozpočtu. Legitímny cieľ predstavuje v danom prípade vyšší príjem do štátneho </w:t>
      </w:r>
      <w:r w:rsidRPr="00EC2261">
        <w:rPr>
          <w:rFonts w:ascii="Times New Roman" w:hAnsi="Times New Roman" w:cs="Times New Roman"/>
          <w:sz w:val="24"/>
          <w:szCs w:val="24"/>
        </w:rPr>
        <w:lastRenderedPageBreak/>
        <w:t>rozpočtu s cieľom konsolidovať verejné financie. Vyššie príjmy spolu s konsolidačnými opatreniami by mali zabezpečiť nižší deficit, čo by malo viesť k zlepšeniu stavu verejných financií.</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5 (§ 15 ods. 1 až 6 a 11)</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Z dôvodu zaradenia nových subjektov medzi regulované osoby a nastavenia ich statusu regulovanej osoby, ako aj z toho vyplývajúcich povinností, sa navrhujú prechodné ustanovenia.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Subjekty, ktoré sa stanú regulovanými osobami podľa zákona účinného po 31. decembri 2023, budú mať prvé odvodové obdobie január 2024.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Nová sadzba odvodu sa prvýkrát použije na odvodové obdobie, ktorým je január 2024 / patriace do účtovného obdobia, ktoré začína po 31. decembri 2023.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Zároveň sa navrhuje, aby sa  doterajšie postupné vyklesávanie sadzby odvodu zastavilo. </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XIV (Zákon č. 519/2022 Z. z. o solidárnom príspevku z činností v odvetviach ropy, zemného plynu, uhlia a rafinérií a o doplnení niektorých zákonov v znení zákona č. 124/2023 Z. z.)</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Napriek postupnému doznievaniu energetickej krízy existuje pre vybrané firmy pôsobiace v dotknutých odvetviach priestor dosahovať nadmerné zisky. V minulosti nadmerné zisky plynuli hlavne z rozdielu medzi referenčnou ropou Brent a spracovanou ruskou ropou Urals, ktorá mala výrazne nižšiu cenu. Zatiaľ čo v minulosti bol rozdiel na úrovni 5 USD, v roku 2022 vystúpil na 35 USD za barel. Rozdiel medzi Uralsom a Brentom zostáva stále na vysokej úrovni 18 USD za barel, čo vytvára potenciál pre dodatočné nadzisky firiem aj v roku 2024.</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XV (Zákon č. 309/2023 Z. z. o premenách obchodných spoločností a družstiev a o zmene a doplnení niektorých zákonov)</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Uvedená úprava sa navrhuje z dôvodu legislatívno-technickej úpravy a spresnenia ustanovení zákona o dani z príjmov.</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XVI (Zákon č. 315/2023 Z. z., ktorým sa mení a dopĺňa zákon č. 595/2003 Z. z. o dani z príjmov v znení neskorších predpisov a ktorým sa menia a dopĺňajú niektoré zákony)</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Uvedená úprava sa navrhuje z dôvodu konsolidácie príjmov verejnej správy.</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XVII (Zákon č. 530/2011 Z. z. o spotrebnej dani z alkoholických nápojov v znení neskorších predpisov)</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 xml:space="preserve">K bodu 1 </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zvýšiť základnú sadzbu dane z alkoholického nápoja, ktorým je lieh. </w:t>
      </w:r>
    </w:p>
    <w:p w:rsidR="00764E05" w:rsidRPr="00EC2261" w:rsidRDefault="00764E05" w:rsidP="00764E05">
      <w:pPr>
        <w:jc w:val="both"/>
        <w:rPr>
          <w:rFonts w:ascii="Times New Roman" w:hAnsi="Times New Roman" w:cs="Times New Roman"/>
          <w:sz w:val="24"/>
          <w:szCs w:val="24"/>
          <w:u w:val="single"/>
        </w:rPr>
      </w:pPr>
      <w:r w:rsidRPr="00EC2261">
        <w:rPr>
          <w:rFonts w:ascii="Times New Roman" w:hAnsi="Times New Roman" w:cs="Times New Roman"/>
          <w:sz w:val="24"/>
          <w:szCs w:val="24"/>
          <w:u w:val="single"/>
        </w:rPr>
        <w:t>K bodu 2</w:t>
      </w:r>
    </w:p>
    <w:p w:rsidR="00764E05" w:rsidRPr="00EC2261" w:rsidRDefault="00764E05" w:rsidP="00764E05">
      <w:pPr>
        <w:jc w:val="both"/>
        <w:rPr>
          <w:rFonts w:ascii="Times New Roman" w:hAnsi="Times New Roman" w:cs="Times New Roman"/>
          <w:sz w:val="24"/>
          <w:szCs w:val="24"/>
        </w:rPr>
      </w:pPr>
      <w:r w:rsidRPr="00EC2261">
        <w:rPr>
          <w:rFonts w:ascii="Times New Roman" w:hAnsi="Times New Roman" w:cs="Times New Roman"/>
          <w:sz w:val="24"/>
          <w:szCs w:val="24"/>
        </w:rPr>
        <w:lastRenderedPageBreak/>
        <w:t>Znížená sadzba dane bude aj po zvýšení predstavovať 50 % zo sadzby dane z alkoholického nápoja, ktorým je lieh.</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b/>
          <w:sz w:val="24"/>
          <w:szCs w:val="24"/>
        </w:rPr>
      </w:pPr>
      <w:r w:rsidRPr="00EC2261">
        <w:rPr>
          <w:rFonts w:ascii="Times New Roman" w:hAnsi="Times New Roman" w:cs="Times New Roman"/>
          <w:b/>
          <w:sz w:val="24"/>
          <w:szCs w:val="24"/>
        </w:rPr>
        <w:t>K čl. XVIII (Účinnosť)</w:t>
      </w:r>
    </w:p>
    <w:p w:rsidR="00764E05" w:rsidRPr="00EC2261" w:rsidRDefault="00764E05" w:rsidP="00764E05">
      <w:pPr>
        <w:pStyle w:val="Bezriadkovania"/>
        <w:jc w:val="both"/>
        <w:rPr>
          <w:rFonts w:ascii="Times New Roman" w:hAnsi="Times New Roman" w:cs="Times New Roman"/>
          <w:sz w:val="24"/>
          <w:szCs w:val="24"/>
        </w:rPr>
      </w:pPr>
      <w:r w:rsidRPr="00EC2261">
        <w:rPr>
          <w:rFonts w:ascii="Times New Roman" w:hAnsi="Times New Roman" w:cs="Times New Roman"/>
          <w:sz w:val="24"/>
          <w:szCs w:val="24"/>
        </w:rPr>
        <w:t xml:space="preserve">Navrhuje sa účinnosť návrhu zákona, pričom z dôvodu potreby konsolidácie verejných financií by väčšina opatrení mala nadobudnúť účinnosť ku koncu roka 2023, resp. 1. januára 2024. </w:t>
      </w: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jc w:val="both"/>
        <w:rPr>
          <w:rFonts w:ascii="Times New Roman" w:hAnsi="Times New Roman" w:cs="Times New Roman"/>
          <w:sz w:val="24"/>
          <w:szCs w:val="24"/>
        </w:rPr>
      </w:pPr>
    </w:p>
    <w:p w:rsidR="00764E05" w:rsidRPr="00EC2261" w:rsidRDefault="00764E05" w:rsidP="00764E05">
      <w:pPr>
        <w:shd w:val="clear" w:color="auto" w:fill="FFFFFF"/>
        <w:spacing w:after="0" w:line="240" w:lineRule="auto"/>
        <w:jc w:val="both"/>
        <w:rPr>
          <w:rFonts w:ascii="Times New Roman" w:hAnsi="Times New Roman" w:cs="Times New Roman"/>
          <w:sz w:val="24"/>
          <w:szCs w:val="24"/>
        </w:rPr>
      </w:pPr>
      <w:r w:rsidRPr="00EC2261">
        <w:rPr>
          <w:rFonts w:ascii="Times New Roman" w:hAnsi="Times New Roman" w:cs="Times New Roman"/>
          <w:sz w:val="24"/>
          <w:szCs w:val="24"/>
        </w:rPr>
        <w:t>V Bratislave dňa 4. decembra 2023</w:t>
      </w:r>
    </w:p>
    <w:p w:rsidR="00764E05" w:rsidRPr="00EC2261" w:rsidRDefault="00764E05" w:rsidP="00764E05">
      <w:pPr>
        <w:shd w:val="clear" w:color="auto" w:fill="FFFFFF"/>
        <w:spacing w:after="0" w:line="240" w:lineRule="auto"/>
        <w:jc w:val="both"/>
        <w:rPr>
          <w:rFonts w:ascii="Times New Roman" w:hAnsi="Times New Roman" w:cs="Times New Roman"/>
          <w:sz w:val="24"/>
          <w:szCs w:val="24"/>
        </w:rPr>
      </w:pPr>
    </w:p>
    <w:p w:rsidR="00764E05" w:rsidRPr="00EC2261" w:rsidRDefault="00764E05" w:rsidP="00764E05">
      <w:pPr>
        <w:shd w:val="clear" w:color="auto" w:fill="FFFFFF"/>
        <w:spacing w:after="0" w:line="240" w:lineRule="auto"/>
        <w:jc w:val="both"/>
        <w:rPr>
          <w:rFonts w:ascii="Times New Roman" w:hAnsi="Times New Roman" w:cs="Times New Roman"/>
          <w:sz w:val="24"/>
          <w:szCs w:val="24"/>
        </w:rPr>
      </w:pPr>
    </w:p>
    <w:p w:rsidR="00764E05" w:rsidRPr="00EC2261" w:rsidRDefault="00764E05" w:rsidP="00764E05">
      <w:pPr>
        <w:shd w:val="clear" w:color="auto" w:fill="FFFFFF"/>
        <w:spacing w:after="0" w:line="240" w:lineRule="auto"/>
        <w:jc w:val="both"/>
        <w:rPr>
          <w:rFonts w:ascii="Times New Roman" w:hAnsi="Times New Roman" w:cs="Times New Roman"/>
          <w:sz w:val="24"/>
          <w:szCs w:val="24"/>
        </w:rPr>
      </w:pPr>
    </w:p>
    <w:p w:rsidR="00764E05" w:rsidRPr="00EC2261" w:rsidRDefault="00764E05" w:rsidP="00764E05">
      <w:pPr>
        <w:shd w:val="clear" w:color="auto" w:fill="FFFFFF"/>
        <w:spacing w:after="0" w:line="240" w:lineRule="auto"/>
        <w:jc w:val="both"/>
        <w:rPr>
          <w:rFonts w:ascii="Times New Roman" w:hAnsi="Times New Roman" w:cs="Times New Roman"/>
          <w:sz w:val="24"/>
          <w:szCs w:val="24"/>
        </w:rPr>
      </w:pPr>
    </w:p>
    <w:p w:rsidR="00764E05" w:rsidRPr="00EC2261" w:rsidRDefault="00764E05" w:rsidP="00764E05">
      <w:pPr>
        <w:shd w:val="clear" w:color="auto" w:fill="FFFFFF"/>
        <w:spacing w:after="0" w:line="240" w:lineRule="auto"/>
        <w:jc w:val="both"/>
        <w:rPr>
          <w:rFonts w:ascii="Times New Roman" w:hAnsi="Times New Roman" w:cs="Times New Roman"/>
          <w:sz w:val="24"/>
          <w:szCs w:val="24"/>
        </w:rPr>
      </w:pPr>
    </w:p>
    <w:p w:rsidR="00764E05" w:rsidRPr="00EC2261" w:rsidRDefault="00764E05" w:rsidP="00764E05">
      <w:pPr>
        <w:spacing w:after="0" w:line="240" w:lineRule="auto"/>
        <w:jc w:val="center"/>
        <w:rPr>
          <w:rFonts w:ascii="Times New Roman" w:hAnsi="Times New Roman" w:cs="Times New Roman"/>
          <w:b/>
          <w:sz w:val="24"/>
          <w:szCs w:val="24"/>
        </w:rPr>
      </w:pPr>
      <w:r w:rsidRPr="00EC2261">
        <w:rPr>
          <w:rFonts w:ascii="Times New Roman" w:hAnsi="Times New Roman" w:cs="Times New Roman"/>
          <w:b/>
          <w:sz w:val="24"/>
          <w:szCs w:val="24"/>
        </w:rPr>
        <w:t>R</w:t>
      </w:r>
      <w:r w:rsidR="00EC2261">
        <w:rPr>
          <w:rFonts w:ascii="Times New Roman" w:hAnsi="Times New Roman" w:cs="Times New Roman"/>
          <w:b/>
          <w:sz w:val="24"/>
          <w:szCs w:val="24"/>
        </w:rPr>
        <w:t>o</w:t>
      </w:r>
      <w:r w:rsidRPr="00EC2261">
        <w:rPr>
          <w:rFonts w:ascii="Times New Roman" w:hAnsi="Times New Roman" w:cs="Times New Roman"/>
          <w:b/>
          <w:sz w:val="24"/>
          <w:szCs w:val="24"/>
        </w:rPr>
        <w:t>bert Fico</w:t>
      </w:r>
      <w:r w:rsidR="00EC2261">
        <w:rPr>
          <w:rFonts w:ascii="Times New Roman" w:hAnsi="Times New Roman" w:cs="Times New Roman"/>
          <w:b/>
          <w:sz w:val="24"/>
          <w:szCs w:val="24"/>
        </w:rPr>
        <w:t>, v.r.</w:t>
      </w:r>
    </w:p>
    <w:p w:rsidR="00764E05" w:rsidRPr="00EC2261" w:rsidRDefault="00764E05" w:rsidP="00764E05">
      <w:pPr>
        <w:spacing w:after="0" w:line="240" w:lineRule="auto"/>
        <w:jc w:val="center"/>
        <w:rPr>
          <w:rFonts w:ascii="Times New Roman" w:hAnsi="Times New Roman" w:cs="Times New Roman"/>
          <w:sz w:val="24"/>
          <w:szCs w:val="24"/>
        </w:rPr>
      </w:pPr>
      <w:r w:rsidRPr="00EC2261">
        <w:rPr>
          <w:rFonts w:ascii="Times New Roman" w:hAnsi="Times New Roman" w:cs="Times New Roman"/>
          <w:sz w:val="24"/>
          <w:szCs w:val="24"/>
        </w:rPr>
        <w:t>predseda vlády Slovenskej republiky</w:t>
      </w:r>
    </w:p>
    <w:p w:rsidR="00764E05" w:rsidRPr="00EC2261" w:rsidRDefault="00764E05" w:rsidP="00764E05">
      <w:pPr>
        <w:spacing w:after="0" w:line="240" w:lineRule="auto"/>
        <w:jc w:val="center"/>
        <w:rPr>
          <w:rFonts w:ascii="Times New Roman" w:hAnsi="Times New Roman" w:cs="Times New Roman"/>
          <w:sz w:val="24"/>
          <w:szCs w:val="24"/>
        </w:rPr>
      </w:pPr>
    </w:p>
    <w:p w:rsidR="00764E05" w:rsidRPr="00EC2261" w:rsidRDefault="00764E05" w:rsidP="00764E05">
      <w:pPr>
        <w:spacing w:after="0" w:line="240" w:lineRule="auto"/>
        <w:jc w:val="center"/>
        <w:rPr>
          <w:rFonts w:ascii="Times New Roman" w:hAnsi="Times New Roman" w:cs="Times New Roman"/>
          <w:sz w:val="24"/>
          <w:szCs w:val="24"/>
        </w:rPr>
      </w:pPr>
    </w:p>
    <w:p w:rsidR="00764E05" w:rsidRPr="00EC2261" w:rsidRDefault="00764E05" w:rsidP="00764E05">
      <w:pPr>
        <w:spacing w:after="0" w:line="240" w:lineRule="auto"/>
        <w:jc w:val="center"/>
        <w:rPr>
          <w:rFonts w:ascii="Times New Roman" w:hAnsi="Times New Roman" w:cs="Times New Roman"/>
          <w:sz w:val="24"/>
          <w:szCs w:val="24"/>
        </w:rPr>
      </w:pPr>
    </w:p>
    <w:p w:rsidR="00764E05" w:rsidRPr="00EC2261" w:rsidRDefault="00764E05" w:rsidP="00764E05">
      <w:pPr>
        <w:spacing w:after="0" w:line="240" w:lineRule="auto"/>
        <w:jc w:val="center"/>
        <w:rPr>
          <w:rFonts w:ascii="Times New Roman" w:hAnsi="Times New Roman" w:cs="Times New Roman"/>
          <w:sz w:val="24"/>
          <w:szCs w:val="24"/>
        </w:rPr>
      </w:pPr>
    </w:p>
    <w:p w:rsidR="00764E05" w:rsidRPr="00EC2261" w:rsidRDefault="00764E05" w:rsidP="00764E05">
      <w:pPr>
        <w:spacing w:after="0" w:line="240" w:lineRule="auto"/>
        <w:jc w:val="center"/>
        <w:rPr>
          <w:rFonts w:ascii="Times New Roman" w:hAnsi="Times New Roman" w:cs="Times New Roman"/>
          <w:sz w:val="24"/>
          <w:szCs w:val="24"/>
        </w:rPr>
      </w:pPr>
    </w:p>
    <w:p w:rsidR="00EC2261" w:rsidRDefault="00764E05" w:rsidP="00764E05">
      <w:pPr>
        <w:spacing w:after="0" w:line="240" w:lineRule="auto"/>
        <w:jc w:val="center"/>
        <w:rPr>
          <w:rFonts w:ascii="Times New Roman" w:hAnsi="Times New Roman" w:cs="Times New Roman"/>
          <w:b/>
          <w:sz w:val="24"/>
          <w:szCs w:val="24"/>
        </w:rPr>
      </w:pPr>
      <w:r w:rsidRPr="00EC2261">
        <w:rPr>
          <w:rFonts w:ascii="Times New Roman" w:hAnsi="Times New Roman" w:cs="Times New Roman"/>
          <w:b/>
          <w:sz w:val="24"/>
          <w:szCs w:val="24"/>
        </w:rPr>
        <w:t>Ladislav Kamenický</w:t>
      </w:r>
      <w:r w:rsidR="00EC2261">
        <w:rPr>
          <w:rFonts w:ascii="Times New Roman" w:hAnsi="Times New Roman" w:cs="Times New Roman"/>
          <w:b/>
          <w:sz w:val="24"/>
          <w:szCs w:val="24"/>
        </w:rPr>
        <w:t>, v.r.</w:t>
      </w:r>
      <w:bookmarkStart w:id="8" w:name="_GoBack"/>
      <w:bookmarkEnd w:id="8"/>
    </w:p>
    <w:p w:rsidR="00764E05" w:rsidRPr="00EC2261" w:rsidRDefault="00764E05" w:rsidP="00EC2261">
      <w:pPr>
        <w:spacing w:after="0" w:line="240" w:lineRule="auto"/>
        <w:jc w:val="center"/>
        <w:rPr>
          <w:rFonts w:ascii="Times New Roman" w:hAnsi="Times New Roman" w:cs="Times New Roman"/>
          <w:b/>
          <w:bCs/>
          <w:sz w:val="24"/>
          <w:szCs w:val="24"/>
        </w:rPr>
      </w:pPr>
      <w:r w:rsidRPr="00EC2261">
        <w:rPr>
          <w:rFonts w:ascii="Times New Roman" w:hAnsi="Times New Roman" w:cs="Times New Roman"/>
          <w:sz w:val="24"/>
          <w:szCs w:val="24"/>
        </w:rPr>
        <w:t>minister financií Slovenskej republiky</w:t>
      </w:r>
    </w:p>
    <w:p w:rsidR="00764E05" w:rsidRPr="00EC2261" w:rsidRDefault="00764E05" w:rsidP="00764E05">
      <w:pPr>
        <w:autoSpaceDE w:val="0"/>
        <w:autoSpaceDN w:val="0"/>
        <w:adjustRightInd w:val="0"/>
        <w:rPr>
          <w:rFonts w:ascii="Times New Roman" w:hAnsi="Times New Roman" w:cs="Times New Roman"/>
          <w:b/>
          <w:bCs/>
          <w:color w:val="231F20"/>
          <w:sz w:val="24"/>
          <w:szCs w:val="24"/>
        </w:rPr>
      </w:pPr>
    </w:p>
    <w:p w:rsidR="00764E05" w:rsidRPr="00EC2261" w:rsidRDefault="00764E05" w:rsidP="00764E05">
      <w:pPr>
        <w:autoSpaceDE w:val="0"/>
        <w:autoSpaceDN w:val="0"/>
        <w:adjustRightInd w:val="0"/>
        <w:rPr>
          <w:rFonts w:ascii="Times New Roman" w:hAnsi="Times New Roman" w:cs="Times New Roman"/>
          <w:bCs/>
          <w:color w:val="231F20"/>
          <w:sz w:val="24"/>
          <w:szCs w:val="24"/>
        </w:rPr>
      </w:pPr>
    </w:p>
    <w:p w:rsidR="00764E05" w:rsidRPr="00290433" w:rsidRDefault="00764E05" w:rsidP="00764E05"/>
    <w:p w:rsidR="00866263" w:rsidRDefault="00866263"/>
    <w:sectPr w:rsidR="00866263" w:rsidSect="001733E1">
      <w:headerReference w:type="default" r:id="rId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B1D" w:rsidRDefault="000D2B1D" w:rsidP="00A74FE9">
      <w:pPr>
        <w:spacing w:after="0" w:line="240" w:lineRule="auto"/>
      </w:pPr>
      <w:r>
        <w:separator/>
      </w:r>
    </w:p>
  </w:endnote>
  <w:endnote w:type="continuationSeparator" w:id="0">
    <w:p w:rsidR="000D2B1D" w:rsidRDefault="000D2B1D" w:rsidP="00A7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541089"/>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41</w:t>
        </w:r>
        <w:r>
          <w:fldChar w:fldCharType="end"/>
        </w:r>
      </w:p>
    </w:sdtContent>
  </w:sdt>
  <w:p w:rsidR="00764E05" w:rsidRDefault="00764E05">
    <w:pPr>
      <w:pStyle w:val="Pta"/>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4999"/>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46</w:t>
        </w:r>
        <w:r>
          <w:fldChar w:fldCharType="end"/>
        </w:r>
      </w:p>
    </w:sdtContent>
  </w:sdt>
  <w:p w:rsidR="00764E05" w:rsidRDefault="00764E05">
    <w:pPr>
      <w:pStyle w:val="Pta"/>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588551"/>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51</w:t>
        </w:r>
        <w:r>
          <w:fldChar w:fldCharType="end"/>
        </w:r>
      </w:p>
    </w:sdtContent>
  </w:sdt>
  <w:p w:rsidR="00764E05" w:rsidRDefault="00764E05">
    <w:pPr>
      <w:pStyle w:val="Pta"/>
      <w:ind w:right="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974560"/>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18</w:t>
        </w:r>
        <w:r>
          <w:fldChar w:fldCharType="end"/>
        </w:r>
      </w:p>
    </w:sdtContent>
  </w:sdt>
  <w:p w:rsidR="00764E05" w:rsidRDefault="00764E05">
    <w:pPr>
      <w:pStyle w:val="Pta"/>
      <w:ind w:right="36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324814"/>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56</w:t>
        </w:r>
        <w:r>
          <w:fldChar w:fldCharType="end"/>
        </w:r>
      </w:p>
    </w:sdtContent>
  </w:sdt>
  <w:p w:rsidR="00764E05" w:rsidRDefault="00764E05">
    <w:pPr>
      <w:pStyle w:val="Pta"/>
      <w:ind w:right="36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989029"/>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68</w:t>
        </w:r>
        <w:r>
          <w:fldChar w:fldCharType="end"/>
        </w:r>
      </w:p>
    </w:sdtContent>
  </w:sdt>
  <w:p w:rsidR="00764E05" w:rsidRDefault="00764E05">
    <w:pPr>
      <w:pStyle w:val="Pta"/>
      <w:ind w:right="36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768626"/>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72</w:t>
        </w:r>
        <w:r>
          <w:fldChar w:fldCharType="end"/>
        </w:r>
      </w:p>
    </w:sdtContent>
  </w:sdt>
  <w:p w:rsidR="00764E05" w:rsidRDefault="00764E05">
    <w:pPr>
      <w:pStyle w:val="Pta"/>
      <w:ind w:right="360"/>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911707"/>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87</w:t>
        </w:r>
        <w:r>
          <w:fldChar w:fldCharType="end"/>
        </w:r>
      </w:p>
    </w:sdtContent>
  </w:sdt>
  <w:p w:rsidR="00764E05" w:rsidRDefault="00764E05">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750279"/>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95</w:t>
        </w:r>
        <w:r>
          <w:fldChar w:fldCharType="end"/>
        </w:r>
      </w:p>
    </w:sdtContent>
  </w:sdt>
  <w:p w:rsidR="00764E05" w:rsidRDefault="00764E05">
    <w:pPr>
      <w:pStyle w:val="Pta"/>
      <w:ind w:right="360"/>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808881"/>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97</w:t>
        </w:r>
        <w:r>
          <w:fldChar w:fldCharType="end"/>
        </w:r>
      </w:p>
    </w:sdtContent>
  </w:sdt>
  <w:p w:rsidR="00764E05" w:rsidRDefault="00764E05">
    <w:pPr>
      <w:pStyle w:val="Pta"/>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500634"/>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101</w:t>
        </w:r>
        <w:r>
          <w:fldChar w:fldCharType="end"/>
        </w:r>
      </w:p>
    </w:sdtContent>
  </w:sdt>
  <w:p w:rsidR="00764E05" w:rsidRPr="001D6749" w:rsidRDefault="00764E05">
    <w:pPr>
      <w:pStyle w:val="Pta"/>
      <w:jc w:val="righ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989354"/>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104</w:t>
        </w:r>
        <w:r>
          <w:fldChar w:fldCharType="end"/>
        </w:r>
      </w:p>
    </w:sdtContent>
  </w:sdt>
  <w:p w:rsidR="00764E05" w:rsidRPr="001D6749" w:rsidRDefault="00764E05">
    <w:pPr>
      <w:pStyle w:val="Pta"/>
      <w:jc w:val="righ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130552"/>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124</w:t>
        </w:r>
        <w:r>
          <w:fldChar w:fldCharType="end"/>
        </w:r>
      </w:p>
    </w:sdtContent>
  </w:sdt>
  <w:p w:rsidR="00764E05" w:rsidRDefault="00764E0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821276"/>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28</w:t>
        </w:r>
        <w:r>
          <w:fldChar w:fldCharType="end"/>
        </w:r>
      </w:p>
    </w:sdtContent>
  </w:sdt>
  <w:p w:rsidR="00764E05" w:rsidRDefault="00764E05">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4E05" w:rsidRDefault="00764E05">
    <w:pPr>
      <w:pStyle w:val="Pta"/>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27423"/>
      <w:docPartObj>
        <w:docPartGallery w:val="Page Numbers (Bottom of Page)"/>
        <w:docPartUnique/>
      </w:docPartObj>
    </w:sdtPr>
    <w:sdtEndPr/>
    <w:sdtContent>
      <w:p w:rsidR="001733E1" w:rsidRDefault="001733E1">
        <w:pPr>
          <w:pStyle w:val="Pta"/>
          <w:jc w:val="center"/>
        </w:pPr>
        <w:r>
          <w:fldChar w:fldCharType="begin"/>
        </w:r>
        <w:r>
          <w:instrText>PAGE   \* MERGEFORMAT</w:instrText>
        </w:r>
        <w:r>
          <w:fldChar w:fldCharType="separate"/>
        </w:r>
        <w:r w:rsidR="00EC2261">
          <w:rPr>
            <w:noProof/>
          </w:rPr>
          <w:t>36</w:t>
        </w:r>
        <w:r>
          <w:fldChar w:fldCharType="end"/>
        </w:r>
      </w:p>
    </w:sdtContent>
  </w:sdt>
  <w:p w:rsidR="00764E05" w:rsidRDefault="00764E05">
    <w:pPr>
      <w:pStyle w:val="Pta"/>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pPr>
      <w:pStyle w:val="Pta"/>
      <w:jc w:val="right"/>
    </w:pPr>
    <w:r>
      <w:fldChar w:fldCharType="begin"/>
    </w:r>
    <w:r>
      <w:instrText>PAGE   \* MERGEFORMAT</w:instrText>
    </w:r>
    <w:r>
      <w:fldChar w:fldCharType="separate"/>
    </w:r>
    <w:r>
      <w:rPr>
        <w:noProof/>
      </w:rPr>
      <w:t>0</w:t>
    </w:r>
    <w:r>
      <w:fldChar w:fldCharType="end"/>
    </w:r>
  </w:p>
  <w:p w:rsidR="00764E05" w:rsidRDefault="00764E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B1D" w:rsidRDefault="000D2B1D" w:rsidP="00A74FE9">
      <w:pPr>
        <w:spacing w:after="0" w:line="240" w:lineRule="auto"/>
      </w:pPr>
      <w:r>
        <w:separator/>
      </w:r>
    </w:p>
  </w:footnote>
  <w:footnote w:type="continuationSeparator" w:id="0">
    <w:p w:rsidR="000D2B1D" w:rsidRDefault="000D2B1D" w:rsidP="00A74FE9">
      <w:pPr>
        <w:spacing w:after="0" w:line="240" w:lineRule="auto"/>
      </w:pPr>
      <w:r>
        <w:continuationSeparator/>
      </w:r>
    </w:p>
  </w:footnote>
  <w:footnote w:id="1">
    <w:p w:rsidR="00764E05" w:rsidRPr="00ED09C2" w:rsidRDefault="00764E05" w:rsidP="00A74FE9">
      <w:pPr>
        <w:pStyle w:val="Textpoznmkypodiarou"/>
        <w:rPr>
          <w:rFonts w:ascii="Arial Narrow" w:hAnsi="Arial Narrow"/>
        </w:rPr>
      </w:pPr>
      <w:r w:rsidRPr="00ED09C2">
        <w:rPr>
          <w:rStyle w:val="Odkaznapoznmkupodiarou"/>
          <w:rFonts w:ascii="Arial Narrow" w:hAnsi="Arial Narrow"/>
        </w:rPr>
        <w:footnoteRef/>
      </w:r>
      <w:r w:rsidRPr="00ED09C2">
        <w:rPr>
          <w:rFonts w:ascii="Arial Narrow" w:hAnsi="Arial Narrow"/>
        </w:rPr>
        <w:t xml:space="preserve"> </w:t>
      </w:r>
      <w:hyperlink r:id="rId1" w:anchor="A001fn03" w:history="1">
        <w:r w:rsidRPr="00ED09C2">
          <w:rPr>
            <w:rStyle w:val="Hypertextovprepojenie"/>
            <w:rFonts w:ascii="Arial Narrow" w:hAnsi="Arial Narrow"/>
          </w:rPr>
          <w:t>https://www.elibrary.imf.org/view/journals/018/2023/053/article-A001-en.xml#A001fn03</w:t>
        </w:r>
      </w:hyperlink>
    </w:p>
    <w:p w:rsidR="00764E05" w:rsidRDefault="00764E05" w:rsidP="00A74FE9">
      <w:pPr>
        <w:pStyle w:val="Textpoznmkypodiarou"/>
      </w:pPr>
    </w:p>
  </w:footnote>
  <w:footnote w:id="2">
    <w:p w:rsidR="00764E05" w:rsidRPr="00CC3673" w:rsidRDefault="00764E05" w:rsidP="00A74FE9">
      <w:pPr>
        <w:pStyle w:val="Textpoznmkypodiarou"/>
        <w:rPr>
          <w:rFonts w:ascii="Arial Narrow" w:hAnsi="Arial Narrow"/>
        </w:rPr>
      </w:pPr>
      <w:r w:rsidRPr="00CC3673">
        <w:rPr>
          <w:rStyle w:val="Odkaznapoznmkupodiarou"/>
          <w:rFonts w:ascii="Arial Narrow" w:hAnsi="Arial Narrow"/>
        </w:rPr>
        <w:footnoteRef/>
      </w:r>
      <w:r w:rsidRPr="00CC3673">
        <w:rPr>
          <w:rFonts w:ascii="Arial Narrow" w:hAnsi="Arial Narrow"/>
        </w:rPr>
        <w:t xml:space="preserve"> Podľa údajov Trexima pracovalo v roku 2019 asi 21% zamestnancov</w:t>
      </w:r>
      <w:r>
        <w:rPr>
          <w:rFonts w:ascii="Arial Narrow" w:hAnsi="Arial Narrow"/>
        </w:rPr>
        <w:t xml:space="preserve"> vo väčších podnikoch</w:t>
      </w:r>
      <w:r w:rsidRPr="00CC3673">
        <w:rPr>
          <w:rFonts w:ascii="Arial Narrow" w:hAnsi="Arial Narrow"/>
        </w:rPr>
        <w:t xml:space="preserve"> aj počas sviatku.</w:t>
      </w:r>
      <w:r>
        <w:rPr>
          <w:rFonts w:ascii="Arial Narrow" w:hAnsi="Arial Narrow"/>
        </w:rPr>
        <w:t xml:space="preserve"> Počet odpracovaných hodín počas sviatkov tvoril 0,5 % z celkového počtu odpracovaných hodín.</w:t>
      </w:r>
    </w:p>
  </w:footnote>
  <w:footnote w:id="3">
    <w:p w:rsidR="00764E05" w:rsidRPr="000A6B7F" w:rsidRDefault="00764E05" w:rsidP="00764E05">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4">
    <w:p w:rsidR="00764E05" w:rsidRPr="00804BC8" w:rsidRDefault="00764E05" w:rsidP="00764E05">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764E05" w:rsidRDefault="00764E05" w:rsidP="00764E0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6045CB" w:rsidRDefault="00764E05" w:rsidP="00764E0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rsidR="00764E05" w:rsidRPr="006045CB" w:rsidRDefault="00764E05" w:rsidP="00764E05">
    <w:pPr>
      <w:pStyle w:val="Hlavika"/>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44" w:rsidRPr="006045CB" w:rsidRDefault="006A6B44" w:rsidP="00764E0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4</w:t>
    </w:r>
  </w:p>
  <w:p w:rsidR="006A6B44" w:rsidRPr="006045CB" w:rsidRDefault="006A6B44" w:rsidP="00764E05">
    <w:pPr>
      <w:pStyle w:val="Hlavika"/>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CD4982" w:rsidRDefault="00764E05" w:rsidP="00764E0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764E05" w:rsidRPr="00433C47" w:rsidRDefault="00764E05" w:rsidP="00764E05">
    <w:pPr>
      <w:pStyle w:val="Hlavika"/>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6A6B44" w:rsidRDefault="00764E05" w:rsidP="006A6B44">
    <w:pPr>
      <w:tabs>
        <w:tab w:val="center" w:pos="4536"/>
        <w:tab w:val="right" w:pos="9072"/>
      </w:tabs>
      <w:spacing w:after="0" w:line="240" w:lineRule="auto"/>
      <w:rPr>
        <w:rFonts w:ascii="Times New Roman" w:eastAsia="Times New Roman" w:hAnsi="Times New Roman" w:cs="Times New Roman"/>
        <w:color w:val="FFFFFF" w:themeColor="background1"/>
        <w:sz w:val="24"/>
        <w:szCs w:val="24"/>
        <w:lang w:eastAsia="sk-SK"/>
      </w:rPr>
    </w:pPr>
    <w:r w:rsidRPr="001733E1">
      <w:rPr>
        <w:rFonts w:ascii="Times New Roman" w:eastAsia="Times New Roman" w:hAnsi="Times New Roman" w:cs="Times New Roman"/>
        <w:color w:val="FFFFFF" w:themeColor="background1"/>
        <w:sz w:val="24"/>
        <w:szCs w:val="24"/>
        <w:lang w:eastAsia="sk-SK"/>
      </w:rPr>
      <w:t>ríloha č. 4</w:t>
    </w:r>
    <w:r w:rsidR="006A6B44">
      <w:rPr>
        <w:rFonts w:ascii="Times New Roman" w:eastAsia="Times New Roman" w:hAnsi="Times New Roman" w:cs="Times New Roman"/>
        <w:color w:val="FFFFFF" w:themeColor="background1"/>
        <w:sz w:val="24"/>
        <w:szCs w:val="24"/>
        <w:lang w:eastAsia="sk-SK"/>
      </w:rPr>
      <w:tab/>
    </w:r>
    <w:r w:rsidR="006A6B44">
      <w:rPr>
        <w:rFonts w:ascii="Times New Roman" w:eastAsia="Times New Roman" w:hAnsi="Times New Roman" w:cs="Times New Roman"/>
        <w:color w:val="FFFFFF" w:themeColor="background1"/>
        <w:sz w:val="24"/>
        <w:szCs w:val="24"/>
        <w:lang w:eastAsia="sk-SK"/>
      </w:rPr>
      <w:tab/>
    </w:r>
    <w:r w:rsidR="006A6B44" w:rsidRPr="006A6B44">
      <w:rPr>
        <w:rFonts w:ascii="Times New Roman" w:hAnsi="Times New Roman" w:cs="Times New Roman"/>
        <w:sz w:val="24"/>
        <w:szCs w:val="24"/>
      </w:rPr>
      <w:t>Príloha č. 6</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44" w:rsidRPr="006A6B44" w:rsidRDefault="006A6B44" w:rsidP="006A6B44">
    <w:pPr>
      <w:tabs>
        <w:tab w:val="center" w:pos="4536"/>
        <w:tab w:val="right" w:pos="9072"/>
      </w:tabs>
      <w:spacing w:after="0" w:line="240" w:lineRule="auto"/>
      <w:rPr>
        <w:rFonts w:ascii="Times New Roman" w:eastAsia="Times New Roman" w:hAnsi="Times New Roman" w:cs="Times New Roman"/>
        <w:color w:val="FFFFFF" w:themeColor="background1"/>
        <w:sz w:val="24"/>
        <w:szCs w:val="24"/>
        <w:lang w:eastAsia="sk-SK"/>
      </w:rPr>
    </w:pPr>
    <w:r w:rsidRPr="001733E1">
      <w:rPr>
        <w:rFonts w:ascii="Times New Roman" w:eastAsia="Times New Roman" w:hAnsi="Times New Roman" w:cs="Times New Roman"/>
        <w:color w:val="FFFFFF" w:themeColor="background1"/>
        <w:sz w:val="24"/>
        <w:szCs w:val="24"/>
        <w:lang w:eastAsia="sk-SK"/>
      </w:rPr>
      <w:t>ríloha č. 4</w:t>
    </w:r>
    <w:r>
      <w:rPr>
        <w:rFonts w:ascii="Times New Roman" w:eastAsia="Times New Roman" w:hAnsi="Times New Roman" w:cs="Times New Roman"/>
        <w:color w:val="FFFFFF" w:themeColor="background1"/>
        <w:sz w:val="24"/>
        <w:szCs w:val="24"/>
        <w:lang w:eastAsia="sk-SK"/>
      </w:rPr>
      <w:tab/>
    </w:r>
    <w:r>
      <w:rPr>
        <w:rFonts w:ascii="Times New Roman" w:eastAsia="Times New Roman" w:hAnsi="Times New Roman" w:cs="Times New Roman"/>
        <w:color w:val="FFFFFF" w:themeColor="background1"/>
        <w:sz w:val="24"/>
        <w:szCs w:val="24"/>
        <w:lang w:eastAsia="sk-SK"/>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83" w:rsidRPr="0024067A" w:rsidRDefault="00181E83">
    <w:pPr>
      <w:pStyle w:val="Hlavika"/>
      <w:jc w:val="right"/>
      <w:rPr>
        <w:sz w:val="24"/>
        <w:szCs w:val="24"/>
      </w:rPr>
    </w:pPr>
    <w:r w:rsidRPr="0024067A">
      <w:rPr>
        <w:sz w:val="24"/>
        <w:szCs w:val="24"/>
      </w:rPr>
      <w:t>Príloha č.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0A15AE" w:rsidRDefault="00764E05" w:rsidP="00A74FE9">
    <w:pPr>
      <w:pStyle w:val="Hlavika"/>
      <w:jc w:val="right"/>
      <w:rPr>
        <w:sz w:val="24"/>
        <w:szCs w:val="24"/>
      </w:rPr>
    </w:pPr>
    <w:r>
      <w:rPr>
        <w:sz w:val="24"/>
        <w:szCs w:val="24"/>
      </w:rPr>
      <w:t>Príloha č.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Default="00764E05" w:rsidP="00A74FE9">
    <w:pPr>
      <w:pStyle w:val="Hlavika"/>
      <w:jc w:val="right"/>
      <w:rPr>
        <w:sz w:val="24"/>
        <w:szCs w:val="24"/>
      </w:rPr>
    </w:pPr>
    <w:r>
      <w:rPr>
        <w:sz w:val="24"/>
        <w:szCs w:val="24"/>
      </w:rPr>
      <w:t>Príloha č. 2</w:t>
    </w:r>
  </w:p>
  <w:p w:rsidR="00764E05" w:rsidRPr="00EB59C8" w:rsidRDefault="00764E05" w:rsidP="00A74FE9">
    <w:pPr>
      <w:pStyle w:val="Hlavika"/>
      <w:jc w:val="right"/>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05" w:rsidRPr="0024067A" w:rsidRDefault="00764E05">
    <w:pPr>
      <w:pStyle w:val="Hlavika"/>
      <w:jc w:val="right"/>
      <w:rPr>
        <w:sz w:val="24"/>
        <w:szCs w:val="24"/>
      </w:rPr>
    </w:pPr>
    <w:r w:rsidRPr="0024067A">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46C"/>
    <w:multiLevelType w:val="hybridMultilevel"/>
    <w:tmpl w:val="44528930"/>
    <w:lvl w:ilvl="0" w:tplc="041B0017">
      <w:start w:val="1"/>
      <w:numFmt w:val="lowerLetter"/>
      <w:lvlText w:val="%1)"/>
      <w:lvlJc w:val="left"/>
      <w:pPr>
        <w:tabs>
          <w:tab w:val="num" w:pos="785"/>
        </w:tabs>
        <w:ind w:left="785" w:hanging="360"/>
      </w:pPr>
      <w:rPr>
        <w:rFonts w:hint="default"/>
      </w:rPr>
    </w:lvl>
    <w:lvl w:ilvl="1" w:tplc="041B0019" w:tentative="1">
      <w:start w:val="1"/>
      <w:numFmt w:val="lowerLetter"/>
      <w:lvlText w:val="%2."/>
      <w:lvlJc w:val="left"/>
      <w:pPr>
        <w:tabs>
          <w:tab w:val="num" w:pos="1505"/>
        </w:tabs>
        <w:ind w:left="1505" w:hanging="360"/>
      </w:pPr>
    </w:lvl>
    <w:lvl w:ilvl="2" w:tplc="041B001B" w:tentative="1">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 w15:restartNumberingAfterBreak="0">
    <w:nsid w:val="034775FC"/>
    <w:multiLevelType w:val="hybridMultilevel"/>
    <w:tmpl w:val="8C4E24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C0294"/>
    <w:multiLevelType w:val="hybridMultilevel"/>
    <w:tmpl w:val="6C5437AC"/>
    <w:lvl w:ilvl="0" w:tplc="32E85CA8">
      <w:start w:val="1"/>
      <w:numFmt w:val="bullet"/>
      <w:lvlText w:val="·"/>
      <w:lvlJc w:val="left"/>
      <w:pPr>
        <w:ind w:left="720" w:hanging="360"/>
      </w:pPr>
      <w:rPr>
        <w:rFonts w:ascii="Symbol" w:hAnsi="Symbol" w:hint="default"/>
      </w:rPr>
    </w:lvl>
    <w:lvl w:ilvl="1" w:tplc="24A2A1D8">
      <w:start w:val="1"/>
      <w:numFmt w:val="bullet"/>
      <w:lvlText w:val="o"/>
      <w:lvlJc w:val="left"/>
      <w:pPr>
        <w:ind w:left="1440" w:hanging="360"/>
      </w:pPr>
      <w:rPr>
        <w:rFonts w:ascii="Courier New" w:hAnsi="Courier New" w:hint="default"/>
      </w:rPr>
    </w:lvl>
    <w:lvl w:ilvl="2" w:tplc="59B038CC">
      <w:start w:val="1"/>
      <w:numFmt w:val="bullet"/>
      <w:lvlText w:val=""/>
      <w:lvlJc w:val="left"/>
      <w:pPr>
        <w:ind w:left="2160" w:hanging="360"/>
      </w:pPr>
      <w:rPr>
        <w:rFonts w:ascii="Wingdings" w:hAnsi="Wingdings" w:hint="default"/>
      </w:rPr>
    </w:lvl>
    <w:lvl w:ilvl="3" w:tplc="6928812E">
      <w:start w:val="1"/>
      <w:numFmt w:val="bullet"/>
      <w:lvlText w:val=""/>
      <w:lvlJc w:val="left"/>
      <w:pPr>
        <w:ind w:left="2880" w:hanging="360"/>
      </w:pPr>
      <w:rPr>
        <w:rFonts w:ascii="Symbol" w:hAnsi="Symbol" w:hint="default"/>
      </w:rPr>
    </w:lvl>
    <w:lvl w:ilvl="4" w:tplc="26389E92">
      <w:start w:val="1"/>
      <w:numFmt w:val="bullet"/>
      <w:lvlText w:val="o"/>
      <w:lvlJc w:val="left"/>
      <w:pPr>
        <w:ind w:left="3600" w:hanging="360"/>
      </w:pPr>
      <w:rPr>
        <w:rFonts w:ascii="Courier New" w:hAnsi="Courier New" w:hint="default"/>
      </w:rPr>
    </w:lvl>
    <w:lvl w:ilvl="5" w:tplc="DBBA245C">
      <w:start w:val="1"/>
      <w:numFmt w:val="bullet"/>
      <w:lvlText w:val=""/>
      <w:lvlJc w:val="left"/>
      <w:pPr>
        <w:ind w:left="4320" w:hanging="360"/>
      </w:pPr>
      <w:rPr>
        <w:rFonts w:ascii="Wingdings" w:hAnsi="Wingdings" w:hint="default"/>
      </w:rPr>
    </w:lvl>
    <w:lvl w:ilvl="6" w:tplc="69123F3E">
      <w:start w:val="1"/>
      <w:numFmt w:val="bullet"/>
      <w:lvlText w:val=""/>
      <w:lvlJc w:val="left"/>
      <w:pPr>
        <w:ind w:left="5040" w:hanging="360"/>
      </w:pPr>
      <w:rPr>
        <w:rFonts w:ascii="Symbol" w:hAnsi="Symbol" w:hint="default"/>
      </w:rPr>
    </w:lvl>
    <w:lvl w:ilvl="7" w:tplc="7E5868DE">
      <w:start w:val="1"/>
      <w:numFmt w:val="bullet"/>
      <w:lvlText w:val="o"/>
      <w:lvlJc w:val="left"/>
      <w:pPr>
        <w:ind w:left="5760" w:hanging="360"/>
      </w:pPr>
      <w:rPr>
        <w:rFonts w:ascii="Courier New" w:hAnsi="Courier New" w:hint="default"/>
      </w:rPr>
    </w:lvl>
    <w:lvl w:ilvl="8" w:tplc="701A06C6">
      <w:start w:val="1"/>
      <w:numFmt w:val="bullet"/>
      <w:lvlText w:val=""/>
      <w:lvlJc w:val="left"/>
      <w:pPr>
        <w:ind w:left="6480" w:hanging="360"/>
      </w:pPr>
      <w:rPr>
        <w:rFonts w:ascii="Wingdings" w:hAnsi="Wingdings" w:hint="default"/>
      </w:rPr>
    </w:lvl>
  </w:abstractNum>
  <w:abstractNum w:abstractNumId="3"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D21DC"/>
    <w:multiLevelType w:val="hybridMultilevel"/>
    <w:tmpl w:val="68A89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D1448A"/>
    <w:multiLevelType w:val="hybridMultilevel"/>
    <w:tmpl w:val="77080122"/>
    <w:lvl w:ilvl="0" w:tplc="DEC6D7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9F2274"/>
    <w:multiLevelType w:val="hybridMultilevel"/>
    <w:tmpl w:val="81482978"/>
    <w:lvl w:ilvl="0" w:tplc="3BA23F36">
      <w:start w:val="3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C413C2"/>
    <w:multiLevelType w:val="hybridMultilevel"/>
    <w:tmpl w:val="B5284D1A"/>
    <w:lvl w:ilvl="0" w:tplc="2580F6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F6D82"/>
    <w:multiLevelType w:val="hybridMultilevel"/>
    <w:tmpl w:val="5EFC6FF0"/>
    <w:lvl w:ilvl="0" w:tplc="E8D6E7A6">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1A74AF"/>
    <w:multiLevelType w:val="hybridMultilevel"/>
    <w:tmpl w:val="484CF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E82481"/>
    <w:multiLevelType w:val="hybridMultilevel"/>
    <w:tmpl w:val="46EE76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F46F3A"/>
    <w:multiLevelType w:val="hybridMultilevel"/>
    <w:tmpl w:val="BAE0CD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D0FE8"/>
    <w:multiLevelType w:val="hybridMultilevel"/>
    <w:tmpl w:val="BD609120"/>
    <w:lvl w:ilvl="0" w:tplc="768E8086">
      <w:start w:val="1"/>
      <w:numFmt w:val="bullet"/>
      <w:lvlText w:val="-"/>
      <w:lvlJc w:val="left"/>
      <w:pPr>
        <w:tabs>
          <w:tab w:val="num" w:pos="644"/>
        </w:tabs>
        <w:ind w:left="644" w:hanging="360"/>
      </w:pPr>
      <w:rPr>
        <w:rFonts w:hint="default"/>
        <w:b w:val="0"/>
      </w:rPr>
    </w:lvl>
    <w:lvl w:ilvl="1" w:tplc="041B0019">
      <w:start w:val="1"/>
      <w:numFmt w:val="lowerLetter"/>
      <w:lvlText w:val="%2."/>
      <w:lvlJc w:val="left"/>
      <w:pPr>
        <w:tabs>
          <w:tab w:val="num" w:pos="1364"/>
        </w:tabs>
        <w:ind w:left="1364" w:hanging="360"/>
      </w:pPr>
      <w:rPr>
        <w:rFonts w:cs="Times New Roman"/>
      </w:rPr>
    </w:lvl>
    <w:lvl w:ilvl="2" w:tplc="041B001B">
      <w:start w:val="1"/>
      <w:numFmt w:val="lowerRoman"/>
      <w:lvlText w:val="%3."/>
      <w:lvlJc w:val="right"/>
      <w:pPr>
        <w:tabs>
          <w:tab w:val="num" w:pos="2084"/>
        </w:tabs>
        <w:ind w:left="2084" w:hanging="180"/>
      </w:pPr>
      <w:rPr>
        <w:rFonts w:cs="Times New Roman"/>
      </w:rPr>
    </w:lvl>
    <w:lvl w:ilvl="3" w:tplc="041B000F">
      <w:start w:val="1"/>
      <w:numFmt w:val="decimal"/>
      <w:lvlText w:val="%4."/>
      <w:lvlJc w:val="left"/>
      <w:pPr>
        <w:tabs>
          <w:tab w:val="num" w:pos="2804"/>
        </w:tabs>
        <w:ind w:left="2804" w:hanging="360"/>
      </w:pPr>
      <w:rPr>
        <w:rFonts w:cs="Times New Roman"/>
      </w:rPr>
    </w:lvl>
    <w:lvl w:ilvl="4" w:tplc="041B0019">
      <w:start w:val="1"/>
      <w:numFmt w:val="lowerLetter"/>
      <w:lvlText w:val="%5."/>
      <w:lvlJc w:val="left"/>
      <w:pPr>
        <w:tabs>
          <w:tab w:val="num" w:pos="3524"/>
        </w:tabs>
        <w:ind w:left="3524" w:hanging="360"/>
      </w:pPr>
      <w:rPr>
        <w:rFonts w:cs="Times New Roman"/>
      </w:rPr>
    </w:lvl>
    <w:lvl w:ilvl="5" w:tplc="041B001B">
      <w:start w:val="1"/>
      <w:numFmt w:val="lowerRoman"/>
      <w:lvlText w:val="%6."/>
      <w:lvlJc w:val="right"/>
      <w:pPr>
        <w:tabs>
          <w:tab w:val="num" w:pos="4244"/>
        </w:tabs>
        <w:ind w:left="4244" w:hanging="180"/>
      </w:pPr>
      <w:rPr>
        <w:rFonts w:cs="Times New Roman"/>
      </w:rPr>
    </w:lvl>
    <w:lvl w:ilvl="6" w:tplc="041B000F">
      <w:start w:val="1"/>
      <w:numFmt w:val="decimal"/>
      <w:lvlText w:val="%7."/>
      <w:lvlJc w:val="left"/>
      <w:pPr>
        <w:tabs>
          <w:tab w:val="num" w:pos="4964"/>
        </w:tabs>
        <w:ind w:left="4964" w:hanging="360"/>
      </w:pPr>
      <w:rPr>
        <w:rFonts w:cs="Times New Roman"/>
      </w:rPr>
    </w:lvl>
    <w:lvl w:ilvl="7" w:tplc="041B0019">
      <w:start w:val="1"/>
      <w:numFmt w:val="lowerLetter"/>
      <w:lvlText w:val="%8."/>
      <w:lvlJc w:val="left"/>
      <w:pPr>
        <w:tabs>
          <w:tab w:val="num" w:pos="5684"/>
        </w:tabs>
        <w:ind w:left="5684" w:hanging="360"/>
      </w:pPr>
      <w:rPr>
        <w:rFonts w:cs="Times New Roman"/>
      </w:rPr>
    </w:lvl>
    <w:lvl w:ilvl="8" w:tplc="041B001B">
      <w:start w:val="1"/>
      <w:numFmt w:val="lowerRoman"/>
      <w:lvlText w:val="%9."/>
      <w:lvlJc w:val="right"/>
      <w:pPr>
        <w:tabs>
          <w:tab w:val="num" w:pos="6404"/>
        </w:tabs>
        <w:ind w:left="6404" w:hanging="180"/>
      </w:pPr>
      <w:rPr>
        <w:rFonts w:cs="Times New Roman"/>
      </w:rPr>
    </w:lvl>
  </w:abstractNum>
  <w:abstractNum w:abstractNumId="17" w15:restartNumberingAfterBreak="0">
    <w:nsid w:val="3A68634B"/>
    <w:multiLevelType w:val="hybridMultilevel"/>
    <w:tmpl w:val="6A607CE2"/>
    <w:lvl w:ilvl="0" w:tplc="34A6455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240554"/>
    <w:multiLevelType w:val="hybridMultilevel"/>
    <w:tmpl w:val="B9CC48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229695B"/>
    <w:multiLevelType w:val="hybridMultilevel"/>
    <w:tmpl w:val="BAE0CD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5ED63E5"/>
    <w:multiLevelType w:val="hybridMultilevel"/>
    <w:tmpl w:val="346A54B8"/>
    <w:lvl w:ilvl="0" w:tplc="DA4C227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E44AB3F"/>
    <w:multiLevelType w:val="hybridMultilevel"/>
    <w:tmpl w:val="F71A2FA6"/>
    <w:lvl w:ilvl="0" w:tplc="82A8FD56">
      <w:start w:val="1"/>
      <w:numFmt w:val="bullet"/>
      <w:lvlText w:val="·"/>
      <w:lvlJc w:val="left"/>
      <w:pPr>
        <w:ind w:left="720" w:hanging="360"/>
      </w:pPr>
      <w:rPr>
        <w:rFonts w:ascii="Symbol" w:hAnsi="Symbol" w:hint="default"/>
      </w:rPr>
    </w:lvl>
    <w:lvl w:ilvl="1" w:tplc="5CBABEE8">
      <w:start w:val="1"/>
      <w:numFmt w:val="bullet"/>
      <w:lvlText w:val="o"/>
      <w:lvlJc w:val="left"/>
      <w:pPr>
        <w:ind w:left="1440" w:hanging="360"/>
      </w:pPr>
      <w:rPr>
        <w:rFonts w:ascii="Courier New" w:hAnsi="Courier New" w:hint="default"/>
      </w:rPr>
    </w:lvl>
    <w:lvl w:ilvl="2" w:tplc="6F4C1456">
      <w:start w:val="1"/>
      <w:numFmt w:val="bullet"/>
      <w:lvlText w:val=""/>
      <w:lvlJc w:val="left"/>
      <w:pPr>
        <w:ind w:left="2160" w:hanging="360"/>
      </w:pPr>
      <w:rPr>
        <w:rFonts w:ascii="Wingdings" w:hAnsi="Wingdings" w:hint="default"/>
      </w:rPr>
    </w:lvl>
    <w:lvl w:ilvl="3" w:tplc="68282C4C">
      <w:start w:val="1"/>
      <w:numFmt w:val="bullet"/>
      <w:lvlText w:val=""/>
      <w:lvlJc w:val="left"/>
      <w:pPr>
        <w:ind w:left="2880" w:hanging="360"/>
      </w:pPr>
      <w:rPr>
        <w:rFonts w:ascii="Symbol" w:hAnsi="Symbol" w:hint="default"/>
      </w:rPr>
    </w:lvl>
    <w:lvl w:ilvl="4" w:tplc="D9D66C14">
      <w:start w:val="1"/>
      <w:numFmt w:val="bullet"/>
      <w:lvlText w:val="o"/>
      <w:lvlJc w:val="left"/>
      <w:pPr>
        <w:ind w:left="3600" w:hanging="360"/>
      </w:pPr>
      <w:rPr>
        <w:rFonts w:ascii="Courier New" w:hAnsi="Courier New" w:hint="default"/>
      </w:rPr>
    </w:lvl>
    <w:lvl w:ilvl="5" w:tplc="C018CC02">
      <w:start w:val="1"/>
      <w:numFmt w:val="bullet"/>
      <w:lvlText w:val=""/>
      <w:lvlJc w:val="left"/>
      <w:pPr>
        <w:ind w:left="4320" w:hanging="360"/>
      </w:pPr>
      <w:rPr>
        <w:rFonts w:ascii="Wingdings" w:hAnsi="Wingdings" w:hint="default"/>
      </w:rPr>
    </w:lvl>
    <w:lvl w:ilvl="6" w:tplc="E2740FEE">
      <w:start w:val="1"/>
      <w:numFmt w:val="bullet"/>
      <w:lvlText w:val=""/>
      <w:lvlJc w:val="left"/>
      <w:pPr>
        <w:ind w:left="5040" w:hanging="360"/>
      </w:pPr>
      <w:rPr>
        <w:rFonts w:ascii="Symbol" w:hAnsi="Symbol" w:hint="default"/>
      </w:rPr>
    </w:lvl>
    <w:lvl w:ilvl="7" w:tplc="7CF8D92A">
      <w:start w:val="1"/>
      <w:numFmt w:val="bullet"/>
      <w:lvlText w:val="o"/>
      <w:lvlJc w:val="left"/>
      <w:pPr>
        <w:ind w:left="5760" w:hanging="360"/>
      </w:pPr>
      <w:rPr>
        <w:rFonts w:ascii="Courier New" w:hAnsi="Courier New" w:hint="default"/>
      </w:rPr>
    </w:lvl>
    <w:lvl w:ilvl="8" w:tplc="C0B46F0E">
      <w:start w:val="1"/>
      <w:numFmt w:val="bullet"/>
      <w:lvlText w:val=""/>
      <w:lvlJc w:val="left"/>
      <w:pPr>
        <w:ind w:left="6480" w:hanging="360"/>
      </w:pPr>
      <w:rPr>
        <w:rFonts w:ascii="Wingdings" w:hAnsi="Wingdings" w:hint="default"/>
      </w:rPr>
    </w:lvl>
  </w:abstractNum>
  <w:abstractNum w:abstractNumId="23" w15:restartNumberingAfterBreak="0">
    <w:nsid w:val="4F720BCC"/>
    <w:multiLevelType w:val="hybridMultilevel"/>
    <w:tmpl w:val="B4B65340"/>
    <w:lvl w:ilvl="0" w:tplc="95B27018">
      <w:start w:val="3"/>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4" w15:restartNumberingAfterBreak="0">
    <w:nsid w:val="50DA7A3A"/>
    <w:multiLevelType w:val="hybridMultilevel"/>
    <w:tmpl w:val="A2C008CA"/>
    <w:lvl w:ilvl="0" w:tplc="CCCEB200">
      <w:start w:val="6"/>
      <w:numFmt w:val="bullet"/>
      <w:lvlText w:val="-"/>
      <w:lvlJc w:val="left"/>
      <w:pPr>
        <w:ind w:left="1622" w:hanging="360"/>
      </w:pPr>
      <w:rPr>
        <w:rFonts w:ascii="Times New Roman" w:eastAsia="Times New Roman" w:hAnsi="Times New Roman" w:hint="default"/>
      </w:rPr>
    </w:lvl>
    <w:lvl w:ilvl="1" w:tplc="041B0003" w:tentative="1">
      <w:start w:val="1"/>
      <w:numFmt w:val="bullet"/>
      <w:lvlText w:val="o"/>
      <w:lvlJc w:val="left"/>
      <w:pPr>
        <w:ind w:left="2342" w:hanging="360"/>
      </w:pPr>
      <w:rPr>
        <w:rFonts w:ascii="Courier New" w:hAnsi="Courier New" w:cs="Courier New" w:hint="default"/>
      </w:rPr>
    </w:lvl>
    <w:lvl w:ilvl="2" w:tplc="041B0005" w:tentative="1">
      <w:start w:val="1"/>
      <w:numFmt w:val="bullet"/>
      <w:lvlText w:val=""/>
      <w:lvlJc w:val="left"/>
      <w:pPr>
        <w:ind w:left="3062" w:hanging="360"/>
      </w:pPr>
      <w:rPr>
        <w:rFonts w:ascii="Wingdings" w:hAnsi="Wingdings" w:hint="default"/>
      </w:rPr>
    </w:lvl>
    <w:lvl w:ilvl="3" w:tplc="041B0001" w:tentative="1">
      <w:start w:val="1"/>
      <w:numFmt w:val="bullet"/>
      <w:lvlText w:val=""/>
      <w:lvlJc w:val="left"/>
      <w:pPr>
        <w:ind w:left="3782" w:hanging="360"/>
      </w:pPr>
      <w:rPr>
        <w:rFonts w:ascii="Symbol" w:hAnsi="Symbol" w:hint="default"/>
      </w:rPr>
    </w:lvl>
    <w:lvl w:ilvl="4" w:tplc="041B0003" w:tentative="1">
      <w:start w:val="1"/>
      <w:numFmt w:val="bullet"/>
      <w:lvlText w:val="o"/>
      <w:lvlJc w:val="left"/>
      <w:pPr>
        <w:ind w:left="4502" w:hanging="360"/>
      </w:pPr>
      <w:rPr>
        <w:rFonts w:ascii="Courier New" w:hAnsi="Courier New" w:cs="Courier New" w:hint="default"/>
      </w:rPr>
    </w:lvl>
    <w:lvl w:ilvl="5" w:tplc="041B0005" w:tentative="1">
      <w:start w:val="1"/>
      <w:numFmt w:val="bullet"/>
      <w:lvlText w:val=""/>
      <w:lvlJc w:val="left"/>
      <w:pPr>
        <w:ind w:left="5222" w:hanging="360"/>
      </w:pPr>
      <w:rPr>
        <w:rFonts w:ascii="Wingdings" w:hAnsi="Wingdings" w:hint="default"/>
      </w:rPr>
    </w:lvl>
    <w:lvl w:ilvl="6" w:tplc="041B0001" w:tentative="1">
      <w:start w:val="1"/>
      <w:numFmt w:val="bullet"/>
      <w:lvlText w:val=""/>
      <w:lvlJc w:val="left"/>
      <w:pPr>
        <w:ind w:left="5942" w:hanging="360"/>
      </w:pPr>
      <w:rPr>
        <w:rFonts w:ascii="Symbol" w:hAnsi="Symbol" w:hint="default"/>
      </w:rPr>
    </w:lvl>
    <w:lvl w:ilvl="7" w:tplc="041B0003" w:tentative="1">
      <w:start w:val="1"/>
      <w:numFmt w:val="bullet"/>
      <w:lvlText w:val="o"/>
      <w:lvlJc w:val="left"/>
      <w:pPr>
        <w:ind w:left="6662" w:hanging="360"/>
      </w:pPr>
      <w:rPr>
        <w:rFonts w:ascii="Courier New" w:hAnsi="Courier New" w:cs="Courier New" w:hint="default"/>
      </w:rPr>
    </w:lvl>
    <w:lvl w:ilvl="8" w:tplc="041B0005" w:tentative="1">
      <w:start w:val="1"/>
      <w:numFmt w:val="bullet"/>
      <w:lvlText w:val=""/>
      <w:lvlJc w:val="left"/>
      <w:pPr>
        <w:ind w:left="7382" w:hanging="360"/>
      </w:pPr>
      <w:rPr>
        <w:rFonts w:ascii="Wingdings" w:hAnsi="Wingdings" w:hint="default"/>
      </w:rPr>
    </w:lvl>
  </w:abstractNum>
  <w:abstractNum w:abstractNumId="25" w15:restartNumberingAfterBreak="0">
    <w:nsid w:val="51682458"/>
    <w:multiLevelType w:val="hybridMultilevel"/>
    <w:tmpl w:val="508EC5A6"/>
    <w:lvl w:ilvl="0" w:tplc="0E38D674">
      <w:start w:val="1"/>
      <w:numFmt w:val="bullet"/>
      <w:lvlText w:val="·"/>
      <w:lvlJc w:val="left"/>
      <w:pPr>
        <w:ind w:left="720" w:hanging="360"/>
      </w:pPr>
      <w:rPr>
        <w:rFonts w:ascii="Symbol" w:hAnsi="Symbol" w:hint="default"/>
      </w:rPr>
    </w:lvl>
    <w:lvl w:ilvl="1" w:tplc="DF209010">
      <w:start w:val="1"/>
      <w:numFmt w:val="bullet"/>
      <w:lvlText w:val="o"/>
      <w:lvlJc w:val="left"/>
      <w:pPr>
        <w:ind w:left="1440" w:hanging="360"/>
      </w:pPr>
      <w:rPr>
        <w:rFonts w:ascii="Courier New" w:hAnsi="Courier New" w:hint="default"/>
      </w:rPr>
    </w:lvl>
    <w:lvl w:ilvl="2" w:tplc="472A6DA6">
      <w:start w:val="1"/>
      <w:numFmt w:val="bullet"/>
      <w:lvlText w:val=""/>
      <w:lvlJc w:val="left"/>
      <w:pPr>
        <w:ind w:left="2160" w:hanging="360"/>
      </w:pPr>
      <w:rPr>
        <w:rFonts w:ascii="Wingdings" w:hAnsi="Wingdings" w:hint="default"/>
      </w:rPr>
    </w:lvl>
    <w:lvl w:ilvl="3" w:tplc="E8127D22">
      <w:start w:val="1"/>
      <w:numFmt w:val="bullet"/>
      <w:lvlText w:val=""/>
      <w:lvlJc w:val="left"/>
      <w:pPr>
        <w:ind w:left="2880" w:hanging="360"/>
      </w:pPr>
      <w:rPr>
        <w:rFonts w:ascii="Symbol" w:hAnsi="Symbol" w:hint="default"/>
      </w:rPr>
    </w:lvl>
    <w:lvl w:ilvl="4" w:tplc="DDA8182A">
      <w:start w:val="1"/>
      <w:numFmt w:val="bullet"/>
      <w:lvlText w:val="o"/>
      <w:lvlJc w:val="left"/>
      <w:pPr>
        <w:ind w:left="3600" w:hanging="360"/>
      </w:pPr>
      <w:rPr>
        <w:rFonts w:ascii="Courier New" w:hAnsi="Courier New" w:hint="default"/>
      </w:rPr>
    </w:lvl>
    <w:lvl w:ilvl="5" w:tplc="8B18B458">
      <w:start w:val="1"/>
      <w:numFmt w:val="bullet"/>
      <w:lvlText w:val=""/>
      <w:lvlJc w:val="left"/>
      <w:pPr>
        <w:ind w:left="4320" w:hanging="360"/>
      </w:pPr>
      <w:rPr>
        <w:rFonts w:ascii="Wingdings" w:hAnsi="Wingdings" w:hint="default"/>
      </w:rPr>
    </w:lvl>
    <w:lvl w:ilvl="6" w:tplc="38CEBA70">
      <w:start w:val="1"/>
      <w:numFmt w:val="bullet"/>
      <w:lvlText w:val=""/>
      <w:lvlJc w:val="left"/>
      <w:pPr>
        <w:ind w:left="5040" w:hanging="360"/>
      </w:pPr>
      <w:rPr>
        <w:rFonts w:ascii="Symbol" w:hAnsi="Symbol" w:hint="default"/>
      </w:rPr>
    </w:lvl>
    <w:lvl w:ilvl="7" w:tplc="D2E64E1E">
      <w:start w:val="1"/>
      <w:numFmt w:val="bullet"/>
      <w:lvlText w:val="o"/>
      <w:lvlJc w:val="left"/>
      <w:pPr>
        <w:ind w:left="5760" w:hanging="360"/>
      </w:pPr>
      <w:rPr>
        <w:rFonts w:ascii="Courier New" w:hAnsi="Courier New" w:hint="default"/>
      </w:rPr>
    </w:lvl>
    <w:lvl w:ilvl="8" w:tplc="6E60FB4E">
      <w:start w:val="1"/>
      <w:numFmt w:val="bullet"/>
      <w:lvlText w:val=""/>
      <w:lvlJc w:val="left"/>
      <w:pPr>
        <w:ind w:left="6480" w:hanging="360"/>
      </w:pPr>
      <w:rPr>
        <w:rFonts w:ascii="Wingdings" w:hAnsi="Wingdings" w:hint="default"/>
      </w:rPr>
    </w:lvl>
  </w:abstractNum>
  <w:abstractNum w:abstractNumId="26" w15:restartNumberingAfterBreak="0">
    <w:nsid w:val="58696D4A"/>
    <w:multiLevelType w:val="hybridMultilevel"/>
    <w:tmpl w:val="3F482948"/>
    <w:lvl w:ilvl="0" w:tplc="0032EC4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9857B8A"/>
    <w:multiLevelType w:val="hybridMultilevel"/>
    <w:tmpl w:val="346A54B8"/>
    <w:lvl w:ilvl="0" w:tplc="DA4C227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958CCE"/>
    <w:multiLevelType w:val="hybridMultilevel"/>
    <w:tmpl w:val="751E64AE"/>
    <w:lvl w:ilvl="0" w:tplc="F6443AEC">
      <w:start w:val="1"/>
      <w:numFmt w:val="decimal"/>
      <w:lvlText w:val="%1)"/>
      <w:lvlJc w:val="left"/>
      <w:pPr>
        <w:ind w:left="720" w:hanging="360"/>
      </w:pPr>
    </w:lvl>
    <w:lvl w:ilvl="1" w:tplc="FDE6216C">
      <w:start w:val="1"/>
      <w:numFmt w:val="lowerLetter"/>
      <w:lvlText w:val="%2."/>
      <w:lvlJc w:val="left"/>
      <w:pPr>
        <w:ind w:left="1440" w:hanging="360"/>
      </w:pPr>
    </w:lvl>
    <w:lvl w:ilvl="2" w:tplc="B492DBC6">
      <w:start w:val="1"/>
      <w:numFmt w:val="lowerRoman"/>
      <w:lvlText w:val="%3."/>
      <w:lvlJc w:val="right"/>
      <w:pPr>
        <w:ind w:left="2160" w:hanging="180"/>
      </w:pPr>
    </w:lvl>
    <w:lvl w:ilvl="3" w:tplc="C65C38E0">
      <w:start w:val="1"/>
      <w:numFmt w:val="decimal"/>
      <w:lvlText w:val="%4."/>
      <w:lvlJc w:val="left"/>
      <w:pPr>
        <w:ind w:left="2880" w:hanging="360"/>
      </w:pPr>
    </w:lvl>
    <w:lvl w:ilvl="4" w:tplc="6078458C">
      <w:start w:val="1"/>
      <w:numFmt w:val="lowerLetter"/>
      <w:lvlText w:val="%5."/>
      <w:lvlJc w:val="left"/>
      <w:pPr>
        <w:ind w:left="3600" w:hanging="360"/>
      </w:pPr>
    </w:lvl>
    <w:lvl w:ilvl="5" w:tplc="A31AC55C">
      <w:start w:val="1"/>
      <w:numFmt w:val="lowerRoman"/>
      <w:lvlText w:val="%6."/>
      <w:lvlJc w:val="right"/>
      <w:pPr>
        <w:ind w:left="4320" w:hanging="180"/>
      </w:pPr>
    </w:lvl>
    <w:lvl w:ilvl="6" w:tplc="E7265452">
      <w:start w:val="1"/>
      <w:numFmt w:val="decimal"/>
      <w:lvlText w:val="%7."/>
      <w:lvlJc w:val="left"/>
      <w:pPr>
        <w:ind w:left="5040" w:hanging="360"/>
      </w:pPr>
    </w:lvl>
    <w:lvl w:ilvl="7" w:tplc="3CB20C94">
      <w:start w:val="1"/>
      <w:numFmt w:val="lowerLetter"/>
      <w:lvlText w:val="%8."/>
      <w:lvlJc w:val="left"/>
      <w:pPr>
        <w:ind w:left="5760" w:hanging="360"/>
      </w:pPr>
    </w:lvl>
    <w:lvl w:ilvl="8" w:tplc="D62617D0">
      <w:start w:val="1"/>
      <w:numFmt w:val="lowerRoman"/>
      <w:lvlText w:val="%9."/>
      <w:lvlJc w:val="right"/>
      <w:pPr>
        <w:ind w:left="6480" w:hanging="180"/>
      </w:pPr>
    </w:lvl>
  </w:abstractNum>
  <w:abstractNum w:abstractNumId="30" w15:restartNumberingAfterBreak="0">
    <w:nsid w:val="5C9B77D4"/>
    <w:multiLevelType w:val="multilevel"/>
    <w:tmpl w:val="D4E25A3E"/>
    <w:lvl w:ilvl="0">
      <w:start w:val="1"/>
      <w:numFmt w:val="decimal"/>
      <w:lvlText w:val="%1."/>
      <w:legacy w:legacy="1" w:legacySpace="0" w:legacyIndent="425"/>
      <w:lvlJc w:val="left"/>
      <w:pPr>
        <w:ind w:left="425" w:hanging="425"/>
      </w:pPr>
      <w:rPr>
        <w:b/>
        <w:bCs/>
      </w:rPr>
    </w:lvl>
    <w:lvl w:ilvl="1">
      <w:start w:val="1"/>
      <w:numFmt w:val="lowerLetter"/>
      <w:lvlText w:val="%2)"/>
      <w:legacy w:legacy="1" w:legacySpace="0" w:legacyIndent="425"/>
      <w:lvlJc w:val="left"/>
      <w:pPr>
        <w:ind w:left="850" w:hanging="425"/>
      </w:pPr>
      <w:rPr>
        <w:b/>
      </w:r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31" w15:restartNumberingAfterBreak="0">
    <w:nsid w:val="62A6481C"/>
    <w:multiLevelType w:val="hybridMultilevel"/>
    <w:tmpl w:val="1BFE2034"/>
    <w:lvl w:ilvl="0" w:tplc="E228DB96">
      <w:start w:val="3"/>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3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12A32BC"/>
    <w:multiLevelType w:val="hybridMultilevel"/>
    <w:tmpl w:val="AC14036C"/>
    <w:lvl w:ilvl="0" w:tplc="021AFB7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599F58"/>
    <w:multiLevelType w:val="hybridMultilevel"/>
    <w:tmpl w:val="535C6F9C"/>
    <w:lvl w:ilvl="0" w:tplc="3D7AC78A">
      <w:start w:val="1"/>
      <w:numFmt w:val="bullet"/>
      <w:lvlText w:val="·"/>
      <w:lvlJc w:val="left"/>
      <w:pPr>
        <w:ind w:left="720" w:hanging="360"/>
      </w:pPr>
      <w:rPr>
        <w:rFonts w:ascii="Symbol" w:hAnsi="Symbol" w:hint="default"/>
      </w:rPr>
    </w:lvl>
    <w:lvl w:ilvl="1" w:tplc="81D0A36C">
      <w:start w:val="1"/>
      <w:numFmt w:val="bullet"/>
      <w:lvlText w:val="o"/>
      <w:lvlJc w:val="left"/>
      <w:pPr>
        <w:ind w:left="1440" w:hanging="360"/>
      </w:pPr>
      <w:rPr>
        <w:rFonts w:ascii="Courier New" w:hAnsi="Courier New" w:hint="default"/>
      </w:rPr>
    </w:lvl>
    <w:lvl w:ilvl="2" w:tplc="DBAE1D74">
      <w:start w:val="1"/>
      <w:numFmt w:val="bullet"/>
      <w:lvlText w:val=""/>
      <w:lvlJc w:val="left"/>
      <w:pPr>
        <w:ind w:left="2160" w:hanging="360"/>
      </w:pPr>
      <w:rPr>
        <w:rFonts w:ascii="Wingdings" w:hAnsi="Wingdings" w:hint="default"/>
      </w:rPr>
    </w:lvl>
    <w:lvl w:ilvl="3" w:tplc="55FADA24">
      <w:start w:val="1"/>
      <w:numFmt w:val="bullet"/>
      <w:lvlText w:val=""/>
      <w:lvlJc w:val="left"/>
      <w:pPr>
        <w:ind w:left="2880" w:hanging="360"/>
      </w:pPr>
      <w:rPr>
        <w:rFonts w:ascii="Symbol" w:hAnsi="Symbol" w:hint="default"/>
      </w:rPr>
    </w:lvl>
    <w:lvl w:ilvl="4" w:tplc="14845AD0">
      <w:start w:val="1"/>
      <w:numFmt w:val="bullet"/>
      <w:lvlText w:val="o"/>
      <w:lvlJc w:val="left"/>
      <w:pPr>
        <w:ind w:left="3600" w:hanging="360"/>
      </w:pPr>
      <w:rPr>
        <w:rFonts w:ascii="Courier New" w:hAnsi="Courier New" w:hint="default"/>
      </w:rPr>
    </w:lvl>
    <w:lvl w:ilvl="5" w:tplc="7304BFE0">
      <w:start w:val="1"/>
      <w:numFmt w:val="bullet"/>
      <w:lvlText w:val=""/>
      <w:lvlJc w:val="left"/>
      <w:pPr>
        <w:ind w:left="4320" w:hanging="360"/>
      </w:pPr>
      <w:rPr>
        <w:rFonts w:ascii="Wingdings" w:hAnsi="Wingdings" w:hint="default"/>
      </w:rPr>
    </w:lvl>
    <w:lvl w:ilvl="6" w:tplc="8D160FE4">
      <w:start w:val="1"/>
      <w:numFmt w:val="bullet"/>
      <w:lvlText w:val=""/>
      <w:lvlJc w:val="left"/>
      <w:pPr>
        <w:ind w:left="5040" w:hanging="360"/>
      </w:pPr>
      <w:rPr>
        <w:rFonts w:ascii="Symbol" w:hAnsi="Symbol" w:hint="default"/>
      </w:rPr>
    </w:lvl>
    <w:lvl w:ilvl="7" w:tplc="EC46D804">
      <w:start w:val="1"/>
      <w:numFmt w:val="bullet"/>
      <w:lvlText w:val="o"/>
      <w:lvlJc w:val="left"/>
      <w:pPr>
        <w:ind w:left="5760" w:hanging="360"/>
      </w:pPr>
      <w:rPr>
        <w:rFonts w:ascii="Courier New" w:hAnsi="Courier New" w:hint="default"/>
      </w:rPr>
    </w:lvl>
    <w:lvl w:ilvl="8" w:tplc="8F5A1BAE">
      <w:start w:val="1"/>
      <w:numFmt w:val="bullet"/>
      <w:lvlText w:val=""/>
      <w:lvlJc w:val="left"/>
      <w:pPr>
        <w:ind w:left="6480" w:hanging="360"/>
      </w:pPr>
      <w:rPr>
        <w:rFonts w:ascii="Wingdings" w:hAnsi="Wingdings" w:hint="default"/>
      </w:rPr>
    </w:lvl>
  </w:abstractNum>
  <w:abstractNum w:abstractNumId="36" w15:restartNumberingAfterBreak="0">
    <w:nsid w:val="74DF16E8"/>
    <w:multiLevelType w:val="hybridMultilevel"/>
    <w:tmpl w:val="464C6108"/>
    <w:lvl w:ilvl="0" w:tplc="D2583B00">
      <w:start w:val="1"/>
      <w:numFmt w:val="decimal"/>
      <w:lvlText w:val="%1)"/>
      <w:lvlJc w:val="left"/>
      <w:pPr>
        <w:ind w:left="720" w:hanging="360"/>
      </w:pPr>
    </w:lvl>
    <w:lvl w:ilvl="1" w:tplc="D24A07E0">
      <w:start w:val="1"/>
      <w:numFmt w:val="lowerLetter"/>
      <w:lvlText w:val="%2."/>
      <w:lvlJc w:val="left"/>
      <w:pPr>
        <w:ind w:left="1440" w:hanging="360"/>
      </w:pPr>
    </w:lvl>
    <w:lvl w:ilvl="2" w:tplc="8F3089B2">
      <w:start w:val="1"/>
      <w:numFmt w:val="lowerRoman"/>
      <w:lvlText w:val="%3."/>
      <w:lvlJc w:val="right"/>
      <w:pPr>
        <w:ind w:left="2160" w:hanging="180"/>
      </w:pPr>
    </w:lvl>
    <w:lvl w:ilvl="3" w:tplc="185608CA">
      <w:start w:val="1"/>
      <w:numFmt w:val="decimal"/>
      <w:lvlText w:val="%4."/>
      <w:lvlJc w:val="left"/>
      <w:pPr>
        <w:ind w:left="2880" w:hanging="360"/>
      </w:pPr>
    </w:lvl>
    <w:lvl w:ilvl="4" w:tplc="A68842C6">
      <w:start w:val="1"/>
      <w:numFmt w:val="lowerLetter"/>
      <w:lvlText w:val="%5."/>
      <w:lvlJc w:val="left"/>
      <w:pPr>
        <w:ind w:left="3600" w:hanging="360"/>
      </w:pPr>
    </w:lvl>
    <w:lvl w:ilvl="5" w:tplc="3418FBAC">
      <w:start w:val="1"/>
      <w:numFmt w:val="lowerRoman"/>
      <w:lvlText w:val="%6."/>
      <w:lvlJc w:val="right"/>
      <w:pPr>
        <w:ind w:left="4320" w:hanging="180"/>
      </w:pPr>
    </w:lvl>
    <w:lvl w:ilvl="6" w:tplc="99445ADE">
      <w:start w:val="1"/>
      <w:numFmt w:val="decimal"/>
      <w:lvlText w:val="%7."/>
      <w:lvlJc w:val="left"/>
      <w:pPr>
        <w:ind w:left="5040" w:hanging="360"/>
      </w:pPr>
    </w:lvl>
    <w:lvl w:ilvl="7" w:tplc="6E16B040">
      <w:start w:val="1"/>
      <w:numFmt w:val="lowerLetter"/>
      <w:lvlText w:val="%8."/>
      <w:lvlJc w:val="left"/>
      <w:pPr>
        <w:ind w:left="5760" w:hanging="360"/>
      </w:pPr>
    </w:lvl>
    <w:lvl w:ilvl="8" w:tplc="08342096">
      <w:start w:val="1"/>
      <w:numFmt w:val="lowerRoman"/>
      <w:lvlText w:val="%9."/>
      <w:lvlJc w:val="right"/>
      <w:pPr>
        <w:ind w:left="6480" w:hanging="180"/>
      </w:pPr>
    </w:lvl>
  </w:abstractNum>
  <w:abstractNum w:abstractNumId="3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15:restartNumberingAfterBreak="0">
    <w:nsid w:val="7E8641AB"/>
    <w:multiLevelType w:val="hybridMultilevel"/>
    <w:tmpl w:val="0B3EB6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21"/>
  </w:num>
  <w:num w:numId="4">
    <w:abstractNumId w:val="34"/>
  </w:num>
  <w:num w:numId="5">
    <w:abstractNumId w:val="27"/>
  </w:num>
  <w:num w:numId="6">
    <w:abstractNumId w:val="5"/>
  </w:num>
  <w:num w:numId="7">
    <w:abstractNumId w:val="14"/>
  </w:num>
  <w:num w:numId="8">
    <w:abstractNumId w:val="19"/>
  </w:num>
  <w:num w:numId="9">
    <w:abstractNumId w:val="10"/>
  </w:num>
  <w:num w:numId="10">
    <w:abstractNumId w:val="15"/>
  </w:num>
  <w:num w:numId="11">
    <w:abstractNumId w:val="4"/>
  </w:num>
  <w:num w:numId="12">
    <w:abstractNumId w:val="36"/>
  </w:num>
  <w:num w:numId="13">
    <w:abstractNumId w:val="29"/>
  </w:num>
  <w:num w:numId="14">
    <w:abstractNumId w:val="22"/>
  </w:num>
  <w:num w:numId="15">
    <w:abstractNumId w:val="2"/>
  </w:num>
  <w:num w:numId="16">
    <w:abstractNumId w:val="35"/>
  </w:num>
  <w:num w:numId="17">
    <w:abstractNumId w:val="11"/>
  </w:num>
  <w:num w:numId="18">
    <w:abstractNumId w:val="13"/>
  </w:num>
  <w:num w:numId="19">
    <w:abstractNumId w:val="6"/>
  </w:num>
  <w:num w:numId="20">
    <w:abstractNumId w:val="18"/>
  </w:num>
  <w:num w:numId="21">
    <w:abstractNumId w:val="12"/>
  </w:num>
  <w:num w:numId="22">
    <w:abstractNumId w:val="25"/>
  </w:num>
  <w:num w:numId="23">
    <w:abstractNumId w:val="26"/>
  </w:num>
  <w:num w:numId="24">
    <w:abstractNumId w:val="38"/>
  </w:num>
  <w:num w:numId="25">
    <w:abstractNumId w:val="17"/>
  </w:num>
  <w:num w:numId="26">
    <w:abstractNumId w:val="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0"/>
  </w:num>
  <w:num w:numId="30">
    <w:abstractNumId w:val="3"/>
  </w:num>
  <w:num w:numId="31">
    <w:abstractNumId w:val="33"/>
  </w:num>
  <w:num w:numId="32">
    <w:abstractNumId w:val="30"/>
  </w:num>
  <w:num w:numId="33">
    <w:abstractNumId w:val="8"/>
  </w:num>
  <w:num w:numId="34">
    <w:abstractNumId w:val="0"/>
  </w:num>
  <w:num w:numId="35">
    <w:abstractNumId w:val="32"/>
  </w:num>
  <w:num w:numId="36">
    <w:abstractNumId w:val="24"/>
  </w:num>
  <w:num w:numId="37">
    <w:abstractNumId w:val="31"/>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59"/>
    <w:rsid w:val="00054D30"/>
    <w:rsid w:val="00065C8C"/>
    <w:rsid w:val="000D2B1D"/>
    <w:rsid w:val="001733E1"/>
    <w:rsid w:val="00181E83"/>
    <w:rsid w:val="00276C5E"/>
    <w:rsid w:val="002A570D"/>
    <w:rsid w:val="0031738A"/>
    <w:rsid w:val="00377AD0"/>
    <w:rsid w:val="003C358D"/>
    <w:rsid w:val="004561A8"/>
    <w:rsid w:val="004B653C"/>
    <w:rsid w:val="00503E62"/>
    <w:rsid w:val="006A6B44"/>
    <w:rsid w:val="006A6D66"/>
    <w:rsid w:val="00764E05"/>
    <w:rsid w:val="00774076"/>
    <w:rsid w:val="00782C29"/>
    <w:rsid w:val="00852AE5"/>
    <w:rsid w:val="00865D4A"/>
    <w:rsid w:val="00866263"/>
    <w:rsid w:val="0086778A"/>
    <w:rsid w:val="008D6426"/>
    <w:rsid w:val="00981F0B"/>
    <w:rsid w:val="00982BB9"/>
    <w:rsid w:val="00A627F9"/>
    <w:rsid w:val="00A74FE9"/>
    <w:rsid w:val="00A974DD"/>
    <w:rsid w:val="00BC5BF0"/>
    <w:rsid w:val="00C81715"/>
    <w:rsid w:val="00CB2EC1"/>
    <w:rsid w:val="00CC3F68"/>
    <w:rsid w:val="00CE1FC1"/>
    <w:rsid w:val="00D15014"/>
    <w:rsid w:val="00D40559"/>
    <w:rsid w:val="00DE0743"/>
    <w:rsid w:val="00E12627"/>
    <w:rsid w:val="00EC2261"/>
    <w:rsid w:val="00EE5546"/>
    <w:rsid w:val="00F70BC4"/>
    <w:rsid w:val="00FA2C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9DD41"/>
  <w15:docId w15:val="{735FAF48-08C2-4BD2-ABD9-D9AEFEBA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0559"/>
  </w:style>
  <w:style w:type="paragraph" w:styleId="Nadpis1">
    <w:name w:val="heading 1"/>
    <w:basedOn w:val="Normlny"/>
    <w:next w:val="Normlny"/>
    <w:link w:val="Nadpis1Char"/>
    <w:uiPriority w:val="9"/>
    <w:qFormat/>
    <w:rsid w:val="00A74FE9"/>
    <w:pPr>
      <w:keepNext/>
      <w:keepLines/>
      <w:spacing w:before="240" w:after="0"/>
      <w:jc w:val="both"/>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D40559"/>
    <w:rPr>
      <w:sz w:val="16"/>
      <w:szCs w:val="16"/>
    </w:rPr>
  </w:style>
  <w:style w:type="paragraph" w:styleId="Textkomentra">
    <w:name w:val="annotation text"/>
    <w:basedOn w:val="Normlny"/>
    <w:link w:val="TextkomentraChar"/>
    <w:uiPriority w:val="99"/>
    <w:semiHidden/>
    <w:unhideWhenUsed/>
    <w:rsid w:val="00D40559"/>
    <w:pPr>
      <w:spacing w:line="240" w:lineRule="auto"/>
    </w:pPr>
    <w:rPr>
      <w:sz w:val="20"/>
      <w:szCs w:val="20"/>
    </w:rPr>
  </w:style>
  <w:style w:type="character" w:customStyle="1" w:styleId="TextkomentraChar">
    <w:name w:val="Text komentára Char"/>
    <w:basedOn w:val="Predvolenpsmoodseku"/>
    <w:link w:val="Textkomentra"/>
    <w:uiPriority w:val="99"/>
    <w:semiHidden/>
    <w:rsid w:val="00D40559"/>
    <w:rPr>
      <w:sz w:val="20"/>
      <w:szCs w:val="20"/>
    </w:rPr>
  </w:style>
  <w:style w:type="paragraph" w:styleId="Textbubliny">
    <w:name w:val="Balloon Text"/>
    <w:basedOn w:val="Normlny"/>
    <w:link w:val="TextbublinyChar"/>
    <w:uiPriority w:val="99"/>
    <w:semiHidden/>
    <w:unhideWhenUsed/>
    <w:rsid w:val="00D405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0559"/>
    <w:rPr>
      <w:rFonts w:ascii="Segoe UI" w:hAnsi="Segoe UI" w:cs="Segoe UI"/>
      <w:sz w:val="18"/>
      <w:szCs w:val="18"/>
    </w:rPr>
  </w:style>
  <w:style w:type="paragraph" w:styleId="Odsekzoznamu">
    <w:name w:val="List Paragraph"/>
    <w:aliases w:val="body,Odsek zoznamu2,Dot pt,F5 List Paragraph,No Spacing1,List Paragraph Char Char Char,Indicator Text,Numbered Para 1,Colorful List - Accent 11,Bullet 1,Bullet Points,Párrafo de lista,MAIN CONTENT,Recommendation,numbered list,2,OBC Bullet"/>
    <w:basedOn w:val="Normlny"/>
    <w:link w:val="OdsekzoznamuChar"/>
    <w:uiPriority w:val="34"/>
    <w:qFormat/>
    <w:rsid w:val="00774076"/>
    <w:pPr>
      <w:ind w:left="720"/>
      <w:contextualSpacing/>
    </w:pPr>
    <w:rPr>
      <w:rFonts w:eastAsia="Times New Roman" w:cs="Times New Roman"/>
    </w:rPr>
  </w:style>
  <w:style w:type="character" w:customStyle="1" w:styleId="OdsekzoznamuChar">
    <w:name w:val="Odsek zoznamu Char"/>
    <w:aliases w:val="body Char,Odsek zoznamu2 Char,Dot pt Char,F5 List Paragraph Char,No Spacing1 Char,List Paragraph Char Char Char Char,Indicator Text Char,Numbered Para 1 Char,Colorful List - Accent 11 Char,Bullet 1 Char,Bullet Points Char,2 Char"/>
    <w:link w:val="Odsekzoznamu"/>
    <w:uiPriority w:val="34"/>
    <w:qFormat/>
    <w:locked/>
    <w:rsid w:val="00774076"/>
    <w:rPr>
      <w:rFonts w:eastAsia="Times New Roman" w:cs="Times New Roman"/>
    </w:rPr>
  </w:style>
  <w:style w:type="paragraph" w:styleId="Bezriadkovania">
    <w:name w:val="No Spacing"/>
    <w:uiPriority w:val="1"/>
    <w:qFormat/>
    <w:rsid w:val="002A570D"/>
    <w:pPr>
      <w:spacing w:after="0" w:line="240" w:lineRule="auto"/>
    </w:pPr>
  </w:style>
  <w:style w:type="table" w:customStyle="1" w:styleId="Mriekatabuky1">
    <w:name w:val="Mriežka tabuľky1"/>
    <w:basedOn w:val="Normlnatabuka"/>
    <w:next w:val="Mriekatabuky"/>
    <w:uiPriority w:val="59"/>
    <w:rsid w:val="00A7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FE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A74FE9"/>
    <w:rPr>
      <w:color w:val="0563C1" w:themeColor="hyperlink"/>
      <w:u w:val="single"/>
    </w:rPr>
  </w:style>
  <w:style w:type="character" w:styleId="Zvraznenie">
    <w:name w:val="Emphasis"/>
    <w:uiPriority w:val="20"/>
    <w:qFormat/>
    <w:rsid w:val="00A74FE9"/>
    <w:rPr>
      <w:i/>
      <w:iCs/>
    </w:rPr>
  </w:style>
  <w:style w:type="character" w:styleId="Zstupntext">
    <w:name w:val="Placeholder Text"/>
    <w:basedOn w:val="Predvolenpsmoodseku"/>
    <w:uiPriority w:val="99"/>
    <w:semiHidden/>
    <w:rsid w:val="00A74FE9"/>
    <w:rPr>
      <w:rFonts w:ascii="Times New Roman" w:hAnsi="Times New Roman" w:cs="Times New Roman"/>
      <w:color w:val="808080"/>
    </w:rPr>
  </w:style>
  <w:style w:type="paragraph" w:styleId="Normlnywebov">
    <w:name w:val="Normal (Web)"/>
    <w:basedOn w:val="Normlny"/>
    <w:uiPriority w:val="99"/>
    <w:unhideWhenUsed/>
    <w:rsid w:val="00A74FE9"/>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59"/>
    <w:rsid w:val="00A7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A74FE9"/>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A74FE9"/>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A74FE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74FE9"/>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A74FE9"/>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A74FE9"/>
    <w:rPr>
      <w:rFonts w:cs="Times New Roman"/>
    </w:rPr>
  </w:style>
  <w:style w:type="numbering" w:customStyle="1" w:styleId="Bezzoznamu1">
    <w:name w:val="Bez zoznamu1"/>
    <w:next w:val="Bezzoznamu"/>
    <w:uiPriority w:val="99"/>
    <w:semiHidden/>
    <w:unhideWhenUsed/>
    <w:rsid w:val="00A74FE9"/>
  </w:style>
  <w:style w:type="paragraph" w:styleId="Zkladntext">
    <w:name w:val="Body Text"/>
    <w:basedOn w:val="Normlny"/>
    <w:link w:val="ZkladntextChar"/>
    <w:uiPriority w:val="99"/>
    <w:rsid w:val="00A74FE9"/>
    <w:pPr>
      <w:spacing w:after="0" w:line="240" w:lineRule="auto"/>
    </w:pPr>
    <w:rPr>
      <w:rFonts w:ascii="Times New Roman" w:eastAsia="Times New Roman" w:hAnsi="Times New Roman" w:cs="Times New Roman"/>
      <w:b/>
      <w:sz w:val="20"/>
      <w:szCs w:val="20"/>
      <w:lang w:val="x-none" w:eastAsia="sk-SK"/>
    </w:rPr>
  </w:style>
  <w:style w:type="character" w:customStyle="1" w:styleId="ZkladntextChar">
    <w:name w:val="Základný text Char"/>
    <w:basedOn w:val="Predvolenpsmoodseku"/>
    <w:link w:val="Zkladntext"/>
    <w:uiPriority w:val="99"/>
    <w:rsid w:val="00A74FE9"/>
    <w:rPr>
      <w:rFonts w:ascii="Times New Roman" w:eastAsia="Times New Roman" w:hAnsi="Times New Roman" w:cs="Times New Roman"/>
      <w:b/>
      <w:sz w:val="20"/>
      <w:szCs w:val="20"/>
      <w:lang w:val="x-none" w:eastAsia="sk-SK"/>
    </w:rPr>
  </w:style>
  <w:style w:type="table" w:styleId="Tabukasmriekou4">
    <w:name w:val="Grid Table 4"/>
    <w:basedOn w:val="Normlnatabuka"/>
    <w:uiPriority w:val="49"/>
    <w:rsid w:val="00A74FE9"/>
    <w:pPr>
      <w:spacing w:after="0" w:line="240" w:lineRule="auto"/>
    </w:pPr>
    <w:rPr>
      <w:rFonts w:ascii="Calibri" w:eastAsia="Times New Roman" w:hAnsi="Calibri" w:cs="Calibri"/>
      <w:sz w:val="20"/>
      <w:szCs w:val="20"/>
      <w:lang w:eastAsia="sk-S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wspan">
    <w:name w:val="awspan"/>
    <w:basedOn w:val="Predvolenpsmoodseku"/>
    <w:rsid w:val="00A74FE9"/>
  </w:style>
  <w:style w:type="paragraph" w:styleId="Predmetkomentra">
    <w:name w:val="annotation subject"/>
    <w:basedOn w:val="Textkomentra"/>
    <w:next w:val="Textkomentra"/>
    <w:link w:val="PredmetkomentraChar"/>
    <w:uiPriority w:val="99"/>
    <w:semiHidden/>
    <w:unhideWhenUsed/>
    <w:rsid w:val="00A74FE9"/>
    <w:pPr>
      <w:spacing w:after="200"/>
    </w:pPr>
    <w:rPr>
      <w:b/>
      <w:bCs/>
    </w:rPr>
  </w:style>
  <w:style w:type="character" w:customStyle="1" w:styleId="PredmetkomentraChar">
    <w:name w:val="Predmet komentára Char"/>
    <w:basedOn w:val="TextkomentraChar"/>
    <w:link w:val="Predmetkomentra"/>
    <w:uiPriority w:val="99"/>
    <w:semiHidden/>
    <w:rsid w:val="00A74FE9"/>
    <w:rPr>
      <w:b/>
      <w:bCs/>
      <w:sz w:val="20"/>
      <w:szCs w:val="20"/>
    </w:rPr>
  </w:style>
  <w:style w:type="paragraph" w:styleId="Textpoznmkypodiarou">
    <w:name w:val="footnote text"/>
    <w:basedOn w:val="Normlny"/>
    <w:link w:val="TextpoznmkypodiarouChar"/>
    <w:uiPriority w:val="99"/>
    <w:semiHidden/>
    <w:unhideWhenUsed/>
    <w:rsid w:val="00A74FE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74FE9"/>
    <w:rPr>
      <w:sz w:val="20"/>
      <w:szCs w:val="20"/>
    </w:rPr>
  </w:style>
  <w:style w:type="character" w:styleId="Odkaznapoznmkupodiarou">
    <w:name w:val="footnote reference"/>
    <w:basedOn w:val="Predvolenpsmoodseku"/>
    <w:uiPriority w:val="99"/>
    <w:semiHidden/>
    <w:unhideWhenUsed/>
    <w:rsid w:val="00A74FE9"/>
    <w:rPr>
      <w:vertAlign w:val="superscript"/>
    </w:rPr>
  </w:style>
  <w:style w:type="paragraph" w:customStyle="1" w:styleId="gmail-m-1648484718305530482msolistparagraph">
    <w:name w:val="gmail-m_-1648484718305530482msolistparagraph"/>
    <w:basedOn w:val="Normlny"/>
    <w:rsid w:val="00A74FE9"/>
    <w:pPr>
      <w:spacing w:before="100" w:beforeAutospacing="1" w:after="100" w:afterAutospacing="1" w:line="240" w:lineRule="auto"/>
    </w:pPr>
    <w:rPr>
      <w:rFonts w:ascii="Calibri" w:hAnsi="Calibri" w:cs="Calibri"/>
      <w:lang w:eastAsia="sk-SK"/>
    </w:rPr>
  </w:style>
  <w:style w:type="paragraph" w:styleId="Zarkazkladnhotextu">
    <w:name w:val="Body Text Indent"/>
    <w:basedOn w:val="Normlny"/>
    <w:link w:val="ZarkazkladnhotextuChar"/>
    <w:uiPriority w:val="99"/>
    <w:rsid w:val="00764E05"/>
    <w:pPr>
      <w:spacing w:after="0" w:line="240" w:lineRule="auto"/>
      <w:ind w:firstLine="709"/>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764E05"/>
    <w:rPr>
      <w:rFonts w:ascii="Times New Roman" w:eastAsia="Times New Roman" w:hAnsi="Times New Roman" w:cs="Times New Roman"/>
      <w:sz w:val="24"/>
      <w:szCs w:val="24"/>
      <w:lang w:eastAsia="sk-SK"/>
    </w:rPr>
  </w:style>
  <w:style w:type="paragraph" w:styleId="Nzov">
    <w:name w:val="Title"/>
    <w:basedOn w:val="Normlny"/>
    <w:link w:val="NzovChar"/>
    <w:uiPriority w:val="10"/>
    <w:qFormat/>
    <w:rsid w:val="00764E05"/>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uiPriority w:val="10"/>
    <w:rsid w:val="00764E05"/>
    <w:rPr>
      <w:rFonts w:ascii="Times New Roman" w:eastAsia="Times New Roman" w:hAnsi="Times New Roman" w:cs="Times New Roman"/>
      <w:b/>
      <w:bCs/>
      <w:sz w:val="24"/>
      <w:szCs w:val="24"/>
      <w:lang w:eastAsia="sk-SK"/>
    </w:rPr>
  </w:style>
  <w:style w:type="character" w:styleId="Siln">
    <w:name w:val="Strong"/>
    <w:uiPriority w:val="22"/>
    <w:qFormat/>
    <w:rsid w:val="00764E05"/>
    <w:rPr>
      <w:b/>
      <w:bCs/>
    </w:rPr>
  </w:style>
  <w:style w:type="paragraph" w:customStyle="1" w:styleId="Zkladntext0">
    <w:name w:val="Základní text"/>
    <w:rsid w:val="00764E05"/>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customStyle="1" w:styleId="c08dispositif">
    <w:name w:val="c08dispositif"/>
    <w:basedOn w:val="Normlny"/>
    <w:rsid w:val="00764E05"/>
    <w:pPr>
      <w:spacing w:before="100" w:beforeAutospacing="1" w:after="240" w:line="240" w:lineRule="auto"/>
      <w:ind w:left="1134" w:hanging="567"/>
      <w:jc w:val="both"/>
    </w:pPr>
    <w:rPr>
      <w:rFonts w:ascii="Times New Roman" w:eastAsia="Times New Roman" w:hAnsi="Times New Roman" w:cs="Times New Roman"/>
      <w:b/>
      <w:bCs/>
      <w:sz w:val="24"/>
      <w:szCs w:val="24"/>
      <w:lang w:eastAsia="sk-SK"/>
    </w:rPr>
  </w:style>
  <w:style w:type="paragraph" w:customStyle="1" w:styleId="c31dispositiftiretlong">
    <w:name w:val="c31dispositiftiretlong"/>
    <w:basedOn w:val="Normlny"/>
    <w:rsid w:val="00764E0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764E05"/>
    <w:pPr>
      <w:spacing w:after="120" w:line="240" w:lineRule="auto"/>
      <w:ind w:left="283"/>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764E0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footer" Target="footer23.xml"/><Relationship Id="rId63" Type="http://schemas.openxmlformats.org/officeDocument/2006/relationships/header" Target="header28.xml"/><Relationship Id="rId68" Type="http://schemas.openxmlformats.org/officeDocument/2006/relationships/footer" Target="footer29.xml"/><Relationship Id="rId76" Type="http://schemas.openxmlformats.org/officeDocument/2006/relationships/footer" Target="footer33.xml"/><Relationship Id="rId84" Type="http://schemas.openxmlformats.org/officeDocument/2006/relationships/header" Target="header38.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footer" Target="footer18.xml"/><Relationship Id="rId53" Type="http://schemas.openxmlformats.org/officeDocument/2006/relationships/header" Target="header24.xml"/><Relationship Id="rId58" Type="http://schemas.openxmlformats.org/officeDocument/2006/relationships/hyperlink" Target="https://www.elibrary.imf.org/view/journals/018/2023/053/article-A001-en.xml" TargetMode="External"/><Relationship Id="rId66" Type="http://schemas.openxmlformats.org/officeDocument/2006/relationships/header" Target="header30.xml"/><Relationship Id="rId74" Type="http://schemas.openxmlformats.org/officeDocument/2006/relationships/footer" Target="footer32.xml"/><Relationship Id="rId79" Type="http://schemas.openxmlformats.org/officeDocument/2006/relationships/footer" Target="footer34.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25.xml"/><Relationship Id="rId82" Type="http://schemas.openxmlformats.org/officeDocument/2006/relationships/header" Target="header37.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rcel.moravcik@mfsr.sk" TargetMode="Externa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5.xml"/><Relationship Id="rId64" Type="http://schemas.openxmlformats.org/officeDocument/2006/relationships/footer" Target="footer27.xml"/><Relationship Id="rId69" Type="http://schemas.openxmlformats.org/officeDocument/2006/relationships/header" Target="header31.xml"/><Relationship Id="rId77" Type="http://schemas.openxmlformats.org/officeDocument/2006/relationships/hyperlink" Target="https://www.mhsr.sk/podnikatelske-prostredie/lepsia-regulacia/regulacne-zatazenie/kalkulacka-nakladov-regulacie" TargetMode="Externa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header" Target="header33.xml"/><Relationship Id="rId80" Type="http://schemas.openxmlformats.org/officeDocument/2006/relationships/footer" Target="footer35.xml"/><Relationship Id="rId85" Type="http://schemas.openxmlformats.org/officeDocument/2006/relationships/footer" Target="footer3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footer" Target="footer28.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4.xml"/><Relationship Id="rId83" Type="http://schemas.openxmlformats.org/officeDocument/2006/relationships/footer" Target="footer36.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header" Target="header29.xml"/><Relationship Id="rId73" Type="http://schemas.openxmlformats.org/officeDocument/2006/relationships/footer" Target="footer31.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header" Target="header39.xml"/></Relationships>
</file>

<file path=word/_rels/footnotes.xml.rels><?xml version="1.0" encoding="UTF-8" standalone="yes"?>
<Relationships xmlns="http://schemas.openxmlformats.org/package/2006/relationships"><Relationship Id="rId1" Type="http://schemas.openxmlformats.org/officeDocument/2006/relationships/hyperlink" Target="https://www.elibrary.imf.org/view/journals/018/2023/053/article-A001-en.x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7F23-1586-4226-82CB-07DF7288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124</Pages>
  <Words>31456</Words>
  <Characters>179300</Characters>
  <Application>Microsoft Office Word</Application>
  <DocSecurity>0</DocSecurity>
  <Lines>1494</Lines>
  <Paragraphs>420</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210336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Bittnerova Iveta</dc:creator>
  <cp:keywords/>
  <dc:description/>
  <cp:lastModifiedBy>Ivanicova Eva</cp:lastModifiedBy>
  <cp:revision>3</cp:revision>
  <cp:lastPrinted>2023-12-04T15:21:00Z</cp:lastPrinted>
  <dcterms:created xsi:type="dcterms:W3CDTF">2023-12-04T14:13:00Z</dcterms:created>
  <dcterms:modified xsi:type="dcterms:W3CDTF">2023-12-04T15:21:00Z</dcterms:modified>
</cp:coreProperties>
</file>