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8B414" w14:textId="77777777" w:rsidR="00843A80" w:rsidRPr="00A362EB" w:rsidRDefault="00843A80" w:rsidP="00843A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362EB">
        <w:rPr>
          <w:b/>
          <w:sz w:val="28"/>
          <w:szCs w:val="28"/>
        </w:rPr>
        <w:t>Doložka vybraných vplyvov</w:t>
      </w:r>
    </w:p>
    <w:p w14:paraId="24B15276" w14:textId="77777777" w:rsidR="00843A80" w:rsidRPr="00A362EB" w:rsidRDefault="00843A80" w:rsidP="00843A80">
      <w:pPr>
        <w:jc w:val="center"/>
        <w:rPr>
          <w:b/>
          <w:sz w:val="28"/>
          <w:szCs w:val="28"/>
        </w:rPr>
      </w:pPr>
    </w:p>
    <w:p w14:paraId="41B5419F" w14:textId="77777777" w:rsidR="00843A80" w:rsidRPr="00A362EB" w:rsidRDefault="00843A80" w:rsidP="00843A80">
      <w:pPr>
        <w:spacing w:line="276" w:lineRule="auto"/>
        <w:ind w:left="426"/>
        <w:contextualSpacing/>
        <w:rPr>
          <w:rFonts w:eastAsia="Calibri"/>
          <w:b/>
          <w:sz w:val="22"/>
          <w:szCs w:val="22"/>
          <w:lang w:eastAsia="en-US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843A80" w:rsidRPr="00A362EB" w14:paraId="5296CEEA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61A358E9" w14:textId="77777777" w:rsidR="00843A80" w:rsidRPr="00A362EB" w:rsidRDefault="00843A80" w:rsidP="00854B8B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A362EB">
              <w:rPr>
                <w:rFonts w:eastAsia="Calibri"/>
                <w:b/>
              </w:rPr>
              <w:t>Základné údaje</w:t>
            </w:r>
          </w:p>
        </w:tc>
      </w:tr>
      <w:tr w:rsidR="00843A80" w:rsidRPr="00A362EB" w14:paraId="7B83D755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7E8CD2E7" w14:textId="77777777" w:rsidR="00843A80" w:rsidRPr="00A362EB" w:rsidRDefault="00843A80" w:rsidP="00854B8B">
            <w:pPr>
              <w:spacing w:line="276" w:lineRule="auto"/>
              <w:ind w:left="142"/>
              <w:contextualSpacing/>
              <w:rPr>
                <w:rFonts w:eastAsia="Calibri"/>
                <w:b/>
              </w:rPr>
            </w:pPr>
            <w:r w:rsidRPr="00A362EB">
              <w:rPr>
                <w:rFonts w:eastAsia="Calibri"/>
                <w:b/>
              </w:rPr>
              <w:t>Názov materiálu</w:t>
            </w:r>
          </w:p>
        </w:tc>
      </w:tr>
      <w:tr w:rsidR="00843A80" w:rsidRPr="00A362EB" w14:paraId="1E29188D" w14:textId="77777777" w:rsidTr="00854B8B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8A6" w14:textId="2FDB5E44" w:rsidR="00843A80" w:rsidRPr="00A362EB" w:rsidRDefault="00843A80" w:rsidP="003C2160">
            <w:pPr>
              <w:rPr>
                <w:sz w:val="20"/>
                <w:szCs w:val="20"/>
              </w:rPr>
            </w:pPr>
            <w:r w:rsidRPr="00E7626A">
              <w:rPr>
                <w:sz w:val="20"/>
                <w:szCs w:val="20"/>
              </w:rPr>
              <w:t xml:space="preserve">Návrh zákona,  </w:t>
            </w:r>
            <w:r w:rsidR="004F570E">
              <w:rPr>
                <w:sz w:val="20"/>
                <w:szCs w:val="20"/>
              </w:rPr>
              <w:t xml:space="preserve">ktorým sa mení </w:t>
            </w:r>
            <w:r w:rsidRPr="00E7626A">
              <w:rPr>
                <w:sz w:val="20"/>
                <w:szCs w:val="20"/>
              </w:rPr>
              <w:t xml:space="preserve">zákon č. </w:t>
            </w:r>
            <w:r w:rsidR="003C2160">
              <w:rPr>
                <w:sz w:val="20"/>
                <w:szCs w:val="20"/>
              </w:rPr>
              <w:t>153/2013</w:t>
            </w:r>
            <w:r w:rsidRPr="00E7626A">
              <w:rPr>
                <w:sz w:val="20"/>
                <w:szCs w:val="20"/>
              </w:rPr>
              <w:t xml:space="preserve"> Z. z. </w:t>
            </w:r>
            <w:r w:rsidR="003C2160" w:rsidRPr="003C2160">
              <w:rPr>
                <w:sz w:val="20"/>
                <w:szCs w:val="20"/>
              </w:rPr>
              <w:t>o národnom zdravotníckom informačnom systéme a o zmene a doplnení niektorých zákonov</w:t>
            </w:r>
            <w:r w:rsidRPr="00E7626A">
              <w:rPr>
                <w:sz w:val="20"/>
                <w:szCs w:val="20"/>
              </w:rPr>
              <w:t xml:space="preserve"> v znení </w:t>
            </w:r>
            <w:r w:rsidR="003C2160">
              <w:rPr>
                <w:sz w:val="20"/>
                <w:szCs w:val="20"/>
              </w:rPr>
              <w:t>neskorších predpisov</w:t>
            </w:r>
            <w:r w:rsidRPr="00E02D2B">
              <w:rPr>
                <w:rFonts w:eastAsia="Calibri"/>
                <w:sz w:val="20"/>
                <w:szCs w:val="20"/>
              </w:rPr>
              <w:t xml:space="preserve"> </w:t>
            </w:r>
            <w:r w:rsidR="004F570E" w:rsidRPr="004F570E">
              <w:rPr>
                <w:rFonts w:eastAsia="Calibri"/>
                <w:sz w:val="20"/>
                <w:szCs w:val="20"/>
              </w:rPr>
              <w:t>a ktorým sa menia a dopĺňajú niektoré zákony</w:t>
            </w:r>
          </w:p>
        </w:tc>
      </w:tr>
      <w:tr w:rsidR="00843A80" w:rsidRPr="00A362EB" w14:paraId="697AF9F9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299F9099" w14:textId="77777777" w:rsidR="00843A80" w:rsidRPr="00A362EB" w:rsidRDefault="00843A80" w:rsidP="00843A80">
            <w:pPr>
              <w:spacing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Predkladateľ (a spolupredkladateľ)</w:t>
            </w:r>
          </w:p>
        </w:tc>
      </w:tr>
      <w:tr w:rsidR="00843A80" w:rsidRPr="00A362EB" w14:paraId="53401DA4" w14:textId="77777777" w:rsidTr="00854B8B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4AEBC" w14:textId="77777777" w:rsidR="00843A80" w:rsidRPr="00843A80" w:rsidRDefault="00843A80" w:rsidP="00843A80">
            <w:pPr>
              <w:rPr>
                <w:sz w:val="20"/>
                <w:szCs w:val="20"/>
              </w:rPr>
            </w:pPr>
            <w:r w:rsidRPr="00843A80">
              <w:rPr>
                <w:sz w:val="20"/>
                <w:szCs w:val="20"/>
              </w:rPr>
              <w:t>Ministerstvo zdravotníctva Slovenskej republiky</w:t>
            </w:r>
          </w:p>
        </w:tc>
      </w:tr>
      <w:tr w:rsidR="00843A80" w:rsidRPr="00A362EB" w14:paraId="44211517" w14:textId="77777777" w:rsidTr="00854B8B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  <w:hideMark/>
          </w:tcPr>
          <w:p w14:paraId="5DBDF105" w14:textId="77777777" w:rsidR="00843A80" w:rsidRPr="00A362EB" w:rsidRDefault="00843A80" w:rsidP="00843A80">
            <w:pPr>
              <w:spacing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5AD441DA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F3DC3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Materiál nelegislatívnej povahy</w:t>
            </w:r>
          </w:p>
        </w:tc>
      </w:tr>
      <w:tr w:rsidR="00843A80" w:rsidRPr="00A362EB" w14:paraId="65A7C6CB" w14:textId="77777777" w:rsidTr="00854B8B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F67C" w14:textId="77777777" w:rsidR="00843A80" w:rsidRPr="00A362EB" w:rsidRDefault="00843A80" w:rsidP="00843A8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sdt>
          <w:sdtPr>
            <w:rPr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7226D8CC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7FD93" w14:textId="77777777" w:rsidR="00843A80" w:rsidRPr="00A362EB" w:rsidRDefault="00843A80" w:rsidP="00843A80">
            <w:pPr>
              <w:ind w:left="175" w:hanging="175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Materiál legislatívnej povahy</w:t>
            </w:r>
          </w:p>
        </w:tc>
      </w:tr>
      <w:tr w:rsidR="00843A80" w:rsidRPr="00A362EB" w14:paraId="268B8A37" w14:textId="77777777" w:rsidTr="00854B8B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424" w14:textId="77777777" w:rsidR="00843A80" w:rsidRPr="00A362EB" w:rsidRDefault="00843A80" w:rsidP="00843A8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sdt>
          <w:sdtPr>
            <w:rPr>
              <w:sz w:val="20"/>
              <w:szCs w:val="20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507D1695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8358E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Transpozícia/ implementácia práva EÚ</w:t>
            </w:r>
          </w:p>
        </w:tc>
      </w:tr>
      <w:tr w:rsidR="00843A80" w:rsidRPr="00A362EB" w14:paraId="0EECAB67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52421C99" w14:textId="77777777" w:rsidR="00843A80" w:rsidRPr="00A362EB" w:rsidRDefault="00843A80" w:rsidP="00843A80">
            <w:pPr>
              <w:rPr>
                <w:i/>
                <w:sz w:val="20"/>
                <w:szCs w:val="20"/>
              </w:rPr>
            </w:pPr>
            <w:r w:rsidRPr="00A362EB">
              <w:rPr>
                <w:i/>
                <w:sz w:val="20"/>
                <w:szCs w:val="20"/>
              </w:rPr>
              <w:t>V prípade transpozície/implementácie uveďte zoznam transponovaných/implementovaných predpisov:</w:t>
            </w:r>
          </w:p>
          <w:p w14:paraId="4D4FF166" w14:textId="0E74418E" w:rsidR="00843A80" w:rsidRPr="00843A80" w:rsidRDefault="00843A80" w:rsidP="00843A80">
            <w:pPr>
              <w:pStyle w:val="Odsekzoznamu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</w:p>
        </w:tc>
      </w:tr>
      <w:tr w:rsidR="00843A80" w:rsidRPr="00A362EB" w14:paraId="7A13C6E7" w14:textId="77777777" w:rsidTr="00854B8B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28783DA0" w14:textId="77777777" w:rsidR="00843A80" w:rsidRPr="00A362EB" w:rsidRDefault="00843A80" w:rsidP="00843A80">
            <w:pPr>
              <w:spacing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73D" w14:textId="22303659" w:rsidR="00843A80" w:rsidRPr="00A362EB" w:rsidRDefault="00843A80" w:rsidP="00843A80">
            <w:pPr>
              <w:rPr>
                <w:i/>
                <w:sz w:val="20"/>
                <w:szCs w:val="20"/>
              </w:rPr>
            </w:pPr>
          </w:p>
        </w:tc>
      </w:tr>
      <w:tr w:rsidR="00843A80" w:rsidRPr="00A362EB" w14:paraId="74F91C36" w14:textId="77777777" w:rsidTr="00854B8B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63C29183" w14:textId="77777777" w:rsidR="00843A80" w:rsidRPr="00A362EB" w:rsidRDefault="00843A80" w:rsidP="00843A80">
            <w:pPr>
              <w:spacing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9B3" w14:textId="19746AC1" w:rsidR="00843A80" w:rsidRPr="00A362EB" w:rsidRDefault="00843A80" w:rsidP="00843A80">
            <w:pPr>
              <w:rPr>
                <w:i/>
                <w:sz w:val="20"/>
                <w:szCs w:val="20"/>
              </w:rPr>
            </w:pPr>
          </w:p>
        </w:tc>
      </w:tr>
      <w:tr w:rsidR="00843A80" w:rsidRPr="00A362EB" w14:paraId="16D6FA36" w14:textId="77777777" w:rsidTr="00854B8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13BC28B3" w14:textId="77777777" w:rsidR="00843A80" w:rsidRPr="00A362EB" w:rsidRDefault="00843A80" w:rsidP="00843A80">
            <w:pPr>
              <w:spacing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FDA" w14:textId="77777777" w:rsidR="00843A80" w:rsidRPr="00A362EB" w:rsidRDefault="00843A80" w:rsidP="00843A80">
            <w:pPr>
              <w:rPr>
                <w:i/>
                <w:sz w:val="20"/>
                <w:szCs w:val="20"/>
              </w:rPr>
            </w:pPr>
          </w:p>
        </w:tc>
      </w:tr>
      <w:tr w:rsidR="00843A80" w:rsidRPr="00A362EB" w14:paraId="753731A7" w14:textId="77777777" w:rsidTr="00854B8B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50499F31" w14:textId="77777777" w:rsidR="00843A80" w:rsidRPr="00A362EB" w:rsidRDefault="00843A80" w:rsidP="00843A80">
            <w:pPr>
              <w:spacing w:line="276" w:lineRule="auto"/>
              <w:ind w:left="142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FC5" w14:textId="6373F159" w:rsidR="00843A80" w:rsidRPr="00A362EB" w:rsidRDefault="00843A80" w:rsidP="00843A8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November 2023</w:t>
            </w:r>
          </w:p>
        </w:tc>
      </w:tr>
      <w:tr w:rsidR="00843A80" w:rsidRPr="00A362EB" w14:paraId="7339C59F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78D2BF" w14:textId="77777777" w:rsidR="00843A80" w:rsidRPr="00A362EB" w:rsidRDefault="00843A80" w:rsidP="00843A80">
            <w:pPr>
              <w:rPr>
                <w:sz w:val="20"/>
                <w:szCs w:val="20"/>
              </w:rPr>
            </w:pPr>
          </w:p>
        </w:tc>
      </w:tr>
      <w:tr w:rsidR="00843A80" w:rsidRPr="00A362EB" w14:paraId="0663E411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0A5F559B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Definovanie problému</w:t>
            </w:r>
          </w:p>
        </w:tc>
      </w:tr>
      <w:tr w:rsidR="00843A80" w:rsidRPr="00A362EB" w14:paraId="14F0C6A4" w14:textId="77777777" w:rsidTr="00854B8B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B3C91" w14:textId="77777777" w:rsidR="00843A80" w:rsidRPr="009617B8" w:rsidRDefault="00843A80" w:rsidP="00843A80">
            <w:pPr>
              <w:jc w:val="both"/>
              <w:rPr>
                <w:i/>
                <w:sz w:val="20"/>
                <w:szCs w:val="20"/>
              </w:rPr>
            </w:pPr>
            <w:r w:rsidRPr="009617B8">
              <w:rPr>
                <w:i/>
                <w:sz w:val="20"/>
                <w:szCs w:val="20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3F3F65E9" w14:textId="77777777" w:rsidR="00843A80" w:rsidRPr="009617B8" w:rsidRDefault="00843A80" w:rsidP="00843A80">
            <w:pPr>
              <w:jc w:val="both"/>
              <w:rPr>
                <w:sz w:val="20"/>
                <w:szCs w:val="20"/>
              </w:rPr>
            </w:pPr>
          </w:p>
          <w:p w14:paraId="487376A8" w14:textId="77777777" w:rsidR="003C2160" w:rsidRPr="003C2160" w:rsidRDefault="003C2160" w:rsidP="003C2160">
            <w:pPr>
              <w:ind w:firstLine="578"/>
              <w:jc w:val="both"/>
              <w:rPr>
                <w:sz w:val="20"/>
                <w:szCs w:val="20"/>
              </w:rPr>
            </w:pPr>
            <w:r w:rsidRPr="003C2160">
              <w:rPr>
                <w:sz w:val="20"/>
                <w:szCs w:val="20"/>
              </w:rPr>
              <w:t>Účelom návrhu zákona je predísť zlyhaniu dostupnosti zdravotnej starostlivosti v  Slovenskej republike od 1. januára 2024, a to v zmysle nutnosťou uzatvorenia elektronickej dohody o poskytovaní všeobecnej ambulantnej starostlivosti prostredníctvom technického zariadenia poskytovateľa a úradného autentifikátora, teda občianskym preukazom s čipom. Značná časť obyvateľov Slovenskej republiky nemá občiansky preukaz s čipom a toto ustanovenie zákona je teda nevykonateľné.  Legislatívna úprava preto odstránením tejto prekážky umožní širšie využitie služieb u obyvateľstva.</w:t>
            </w:r>
          </w:p>
          <w:p w14:paraId="109BD73D" w14:textId="77777777" w:rsidR="003C2160" w:rsidRPr="003C2160" w:rsidRDefault="003C2160" w:rsidP="003C2160">
            <w:pPr>
              <w:ind w:firstLine="578"/>
              <w:jc w:val="both"/>
              <w:rPr>
                <w:sz w:val="20"/>
                <w:szCs w:val="20"/>
              </w:rPr>
            </w:pPr>
          </w:p>
          <w:p w14:paraId="3392E70E" w14:textId="77777777" w:rsidR="00843A80" w:rsidRDefault="003C2160" w:rsidP="003C2160">
            <w:pPr>
              <w:rPr>
                <w:sz w:val="20"/>
                <w:szCs w:val="20"/>
              </w:rPr>
            </w:pPr>
            <w:r w:rsidRPr="003C2160">
              <w:rPr>
                <w:sz w:val="20"/>
                <w:szCs w:val="20"/>
              </w:rPr>
              <w:t xml:space="preserve">Súčasne návrh zákona rieši aj problematiku prístupu zdravotníckych pracovníkov k elektronickým zdravotným záznamom z elektronickej zdravotnej knižky v rozsahu a za podmienok určených zákonom prostredníctvom občianskeho preukazu s čipom. Keďže značná časť obyvateľov Slovenskej republiky nemá občiansky preukaz s čipom, pri výkone zdravotníckeho povolania by bol značne obmedzený prístup zdravotníckych pracovníkov k elektronickým zdravotným záznamom občanov.  </w:t>
            </w:r>
          </w:p>
          <w:p w14:paraId="413121F7" w14:textId="2F859ADD" w:rsidR="003C2160" w:rsidRPr="00A362EB" w:rsidRDefault="003C2160" w:rsidP="003C2160">
            <w:pPr>
              <w:rPr>
                <w:b/>
                <w:sz w:val="20"/>
                <w:szCs w:val="20"/>
              </w:rPr>
            </w:pPr>
          </w:p>
        </w:tc>
      </w:tr>
      <w:tr w:rsidR="00843A80" w:rsidRPr="00A362EB" w14:paraId="7011EC96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7401471C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Ciele a výsledný stav</w:t>
            </w:r>
          </w:p>
        </w:tc>
      </w:tr>
      <w:tr w:rsidR="00843A80" w:rsidRPr="00A362EB" w14:paraId="090A95B1" w14:textId="77777777" w:rsidTr="00854B8B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07B94" w14:textId="77777777" w:rsidR="00843A80" w:rsidRPr="00793892" w:rsidRDefault="00843A80" w:rsidP="00843A80">
            <w:pPr>
              <w:rPr>
                <w:i/>
                <w:sz w:val="20"/>
                <w:szCs w:val="20"/>
              </w:rPr>
            </w:pPr>
            <w:r w:rsidRPr="00793892">
              <w:rPr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753A4A47" w14:textId="77777777" w:rsidR="00843A80" w:rsidRDefault="00843A80" w:rsidP="00843A80">
            <w:pPr>
              <w:jc w:val="both"/>
            </w:pPr>
          </w:p>
          <w:p w14:paraId="11838660" w14:textId="7852AA00" w:rsidR="00843A80" w:rsidRDefault="00843A80" w:rsidP="00843A80">
            <w:pPr>
              <w:jc w:val="both"/>
              <w:rPr>
                <w:sz w:val="20"/>
                <w:szCs w:val="20"/>
              </w:rPr>
            </w:pPr>
            <w:r w:rsidRPr="00AF6BBD">
              <w:rPr>
                <w:sz w:val="20"/>
                <w:szCs w:val="20"/>
              </w:rPr>
              <w:t xml:space="preserve">Cieľom navrhovanej právnej úpravy je </w:t>
            </w:r>
            <w:r w:rsidR="001D424B" w:rsidRPr="00AF6BBD">
              <w:rPr>
                <w:sz w:val="20"/>
                <w:szCs w:val="20"/>
              </w:rPr>
              <w:t xml:space="preserve">zabezpečiť kontinuitu </w:t>
            </w:r>
            <w:r w:rsidR="00AF6BBD">
              <w:rPr>
                <w:sz w:val="20"/>
                <w:szCs w:val="20"/>
              </w:rPr>
              <w:t xml:space="preserve">a dostupnosť </w:t>
            </w:r>
            <w:r w:rsidR="001D424B" w:rsidRPr="00AF6BBD">
              <w:rPr>
                <w:sz w:val="20"/>
                <w:szCs w:val="20"/>
              </w:rPr>
              <w:t xml:space="preserve">poskytovania zdravotnej starostlivosti </w:t>
            </w:r>
            <w:r w:rsidR="00AF6BBD">
              <w:rPr>
                <w:sz w:val="20"/>
                <w:szCs w:val="20"/>
              </w:rPr>
              <w:t xml:space="preserve">od 1. januára 2024, tak ako </w:t>
            </w:r>
            <w:r w:rsidR="00D557AE">
              <w:rPr>
                <w:sz w:val="20"/>
                <w:szCs w:val="20"/>
              </w:rPr>
              <w:t>bolo v ustanovení zákona doposiaľ a je účinné do 31.12.2023</w:t>
            </w:r>
            <w:r w:rsidR="00AF6BBD">
              <w:rPr>
                <w:sz w:val="20"/>
                <w:szCs w:val="20"/>
              </w:rPr>
              <w:t xml:space="preserve">. </w:t>
            </w:r>
          </w:p>
          <w:p w14:paraId="39720150" w14:textId="77777777" w:rsidR="00AF6BBD" w:rsidRDefault="00AF6BBD" w:rsidP="00843A80">
            <w:pPr>
              <w:jc w:val="both"/>
              <w:rPr>
                <w:sz w:val="20"/>
                <w:szCs w:val="20"/>
              </w:rPr>
            </w:pPr>
          </w:p>
          <w:p w14:paraId="7AAE3A96" w14:textId="330D079B" w:rsidR="00843A80" w:rsidRPr="00A362EB" w:rsidRDefault="00AF6BBD" w:rsidP="00D557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Zároveň</w:t>
            </w:r>
            <w:r w:rsidR="003B1549">
              <w:rPr>
                <w:sz w:val="20"/>
                <w:szCs w:val="20"/>
              </w:rPr>
              <w:t xml:space="preserve"> cieľom je</w:t>
            </w:r>
            <w:r>
              <w:rPr>
                <w:sz w:val="20"/>
                <w:szCs w:val="20"/>
              </w:rPr>
              <w:t xml:space="preserve"> </w:t>
            </w:r>
            <w:r w:rsidR="00D557AE">
              <w:rPr>
                <w:sz w:val="20"/>
                <w:szCs w:val="20"/>
              </w:rPr>
              <w:t xml:space="preserve">možnosť </w:t>
            </w:r>
            <w:r w:rsidR="00D557AE" w:rsidRPr="00D557AE">
              <w:rPr>
                <w:sz w:val="20"/>
                <w:szCs w:val="20"/>
              </w:rPr>
              <w:t xml:space="preserve">uzatvorenia elektronickej dohody o poskytovaní všeobecnej ambulantnej starostlivosti </w:t>
            </w:r>
            <w:r w:rsidR="00D557AE">
              <w:rPr>
                <w:sz w:val="20"/>
                <w:szCs w:val="20"/>
              </w:rPr>
              <w:t>prostredníctvom identifikačnej karty</w:t>
            </w:r>
            <w:r w:rsidR="003B1549">
              <w:rPr>
                <w:sz w:val="20"/>
                <w:szCs w:val="20"/>
              </w:rPr>
              <w:t xml:space="preserve">, s tým, aby </w:t>
            </w:r>
            <w:r w:rsidR="00D557AE">
              <w:rPr>
                <w:sz w:val="20"/>
                <w:szCs w:val="20"/>
              </w:rPr>
              <w:t>to</w:t>
            </w:r>
            <w:r w:rsidR="00793892">
              <w:rPr>
                <w:sz w:val="20"/>
                <w:szCs w:val="20"/>
              </w:rPr>
              <w:t xml:space="preserve"> bolo </w:t>
            </w:r>
            <w:r w:rsidR="00D557AE">
              <w:rPr>
                <w:sz w:val="20"/>
                <w:szCs w:val="20"/>
              </w:rPr>
              <w:t>povinné</w:t>
            </w:r>
            <w:r w:rsidR="00793892">
              <w:rPr>
                <w:sz w:val="20"/>
                <w:szCs w:val="20"/>
              </w:rPr>
              <w:t xml:space="preserve"> až od 1. januára 2025.</w:t>
            </w:r>
          </w:p>
        </w:tc>
      </w:tr>
      <w:tr w:rsidR="00843A80" w:rsidRPr="00A362EB" w14:paraId="5CCEF161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761D4AE4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Dotknuté subjekty</w:t>
            </w:r>
          </w:p>
        </w:tc>
      </w:tr>
      <w:tr w:rsidR="00843A80" w:rsidRPr="00A362EB" w14:paraId="7E83CE3D" w14:textId="77777777" w:rsidTr="00854B8B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8E08B" w14:textId="77777777" w:rsidR="00843A80" w:rsidRPr="00A37419" w:rsidRDefault="00843A80" w:rsidP="00843A80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Ministerstvo zdravotníctva</w:t>
            </w:r>
          </w:p>
          <w:p w14:paraId="376B04E5" w14:textId="77777777" w:rsidR="00843A80" w:rsidRPr="00A37419" w:rsidRDefault="00843A80" w:rsidP="00843A80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Úrad pre dohľad nad zdravotnou starostlivosťou</w:t>
            </w:r>
          </w:p>
          <w:p w14:paraId="1FA79B36" w14:textId="77777777" w:rsidR="00843A80" w:rsidRPr="00A37419" w:rsidRDefault="00843A80" w:rsidP="00843A80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Samosprávne kraje</w:t>
            </w:r>
          </w:p>
          <w:p w14:paraId="7BFA2E2C" w14:textId="77777777" w:rsidR="00843A80" w:rsidRPr="00A37419" w:rsidRDefault="00843A80" w:rsidP="00843A80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Národné centrum zdravotníckych informácií</w:t>
            </w:r>
          </w:p>
          <w:p w14:paraId="47CA39BB" w14:textId="77777777" w:rsidR="00843A80" w:rsidRPr="00A37419" w:rsidRDefault="00843A80" w:rsidP="00843A80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Zdravotné poisťovne</w:t>
            </w:r>
          </w:p>
          <w:p w14:paraId="34159C91" w14:textId="5ECECC63" w:rsidR="00843A80" w:rsidRPr="00A37419" w:rsidRDefault="00843A80" w:rsidP="00843A80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lastRenderedPageBreak/>
              <w:t xml:space="preserve">Lekári so špecializáciou všeobecné lekárstvo pre dospelých a všeobecné lekárstvo pre deti a dorast </w:t>
            </w:r>
          </w:p>
          <w:p w14:paraId="53F18EF6" w14:textId="6472E9DF" w:rsidR="00843A80" w:rsidRPr="00A37419" w:rsidRDefault="00A37419" w:rsidP="00843A80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P</w:t>
            </w:r>
            <w:r w:rsidR="00843A80" w:rsidRPr="00A37419">
              <w:rPr>
                <w:sz w:val="20"/>
                <w:szCs w:val="20"/>
              </w:rPr>
              <w:t>oistenci verejného zdravotného poistenia</w:t>
            </w:r>
          </w:p>
          <w:p w14:paraId="7506688D" w14:textId="77777777" w:rsidR="00843A80" w:rsidRPr="00A37419" w:rsidRDefault="00843A80" w:rsidP="00843A80">
            <w:pPr>
              <w:rPr>
                <w:b/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Osoby, ktorým sa poskytuje zdravotná starostlivosť.</w:t>
            </w:r>
          </w:p>
          <w:p w14:paraId="0A0F0D74" w14:textId="52B6CE65" w:rsidR="00843A80" w:rsidRPr="00A37419" w:rsidRDefault="00843A80" w:rsidP="00843A80">
            <w:pPr>
              <w:rPr>
                <w:i/>
                <w:sz w:val="20"/>
                <w:szCs w:val="20"/>
              </w:rPr>
            </w:pPr>
          </w:p>
        </w:tc>
      </w:tr>
      <w:tr w:rsidR="00843A80" w:rsidRPr="00A362EB" w14:paraId="115E5B8E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218BF5B8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lastRenderedPageBreak/>
              <w:t>Alternatívne riešenia</w:t>
            </w:r>
          </w:p>
        </w:tc>
      </w:tr>
      <w:tr w:rsidR="00843A80" w:rsidRPr="00A362EB" w14:paraId="7DE48C24" w14:textId="77777777" w:rsidTr="00854B8B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52109" w14:textId="77777777" w:rsidR="00843A80" w:rsidRPr="00793892" w:rsidRDefault="00843A80" w:rsidP="00843A80">
            <w:pPr>
              <w:jc w:val="both"/>
              <w:rPr>
                <w:i/>
                <w:sz w:val="20"/>
                <w:szCs w:val="20"/>
              </w:rPr>
            </w:pPr>
            <w:r w:rsidRPr="00793892">
              <w:rPr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19811091" w14:textId="77777777" w:rsidR="00843A80" w:rsidRPr="00793892" w:rsidRDefault="00843A80" w:rsidP="00843A80">
            <w:pPr>
              <w:rPr>
                <w:i/>
                <w:sz w:val="20"/>
                <w:szCs w:val="20"/>
              </w:rPr>
            </w:pPr>
          </w:p>
          <w:p w14:paraId="07654A4B" w14:textId="5E4D11C2" w:rsidR="00843A80" w:rsidRDefault="00785F8D" w:rsidP="002D78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prípade </w:t>
            </w:r>
            <w:r w:rsidR="00863FB8" w:rsidRPr="00863FB8">
              <w:rPr>
                <w:sz w:val="20"/>
                <w:szCs w:val="20"/>
              </w:rPr>
              <w:t>nutnos</w:t>
            </w:r>
            <w:r w:rsidR="00863FB8">
              <w:rPr>
                <w:sz w:val="20"/>
                <w:szCs w:val="20"/>
              </w:rPr>
              <w:t>ti</w:t>
            </w:r>
            <w:r w:rsidR="00863FB8" w:rsidRPr="00863FB8">
              <w:rPr>
                <w:sz w:val="20"/>
                <w:szCs w:val="20"/>
              </w:rPr>
              <w:t xml:space="preserve"> uzatvorenia elektronickej dohody o poskytovaní všeobecnej ambulantnej starostlivosti prostredníctvom technického zariadenia poskytovateľa a úradného autentifikátora, teda občianskym preukazom s čipom</w:t>
            </w:r>
            <w:r>
              <w:rPr>
                <w:sz w:val="20"/>
                <w:szCs w:val="20"/>
              </w:rPr>
              <w:t xml:space="preserve"> neexistuje iné riešenie ako úprava zákona č. </w:t>
            </w:r>
            <w:r w:rsidR="00863FB8"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</w:rPr>
              <w:t>/201</w:t>
            </w:r>
            <w:r w:rsidR="00863F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Z. z. </w:t>
            </w:r>
            <w:r w:rsidR="00863FB8" w:rsidRPr="00863FB8">
              <w:rPr>
                <w:sz w:val="20"/>
                <w:szCs w:val="20"/>
              </w:rPr>
              <w:t>o národnom zdravotníckom informačnom systéme a o zmene a doplnení niektorých zákonov v znení neskorších predpisov</w:t>
            </w:r>
            <w:r w:rsidR="002D7855">
              <w:rPr>
                <w:sz w:val="20"/>
                <w:szCs w:val="20"/>
              </w:rPr>
              <w:t xml:space="preserve">. </w:t>
            </w:r>
          </w:p>
          <w:p w14:paraId="7BCD923F" w14:textId="77777777" w:rsidR="002D7855" w:rsidRDefault="002D7855" w:rsidP="00843A80">
            <w:pPr>
              <w:rPr>
                <w:sz w:val="20"/>
                <w:szCs w:val="20"/>
              </w:rPr>
            </w:pPr>
          </w:p>
          <w:p w14:paraId="35733A5D" w14:textId="5181598D" w:rsidR="001F4213" w:rsidRDefault="00843A80" w:rsidP="00843A80">
            <w:pPr>
              <w:jc w:val="both"/>
              <w:rPr>
                <w:sz w:val="20"/>
                <w:szCs w:val="20"/>
              </w:rPr>
            </w:pPr>
            <w:r w:rsidRPr="00793892">
              <w:rPr>
                <w:i/>
                <w:sz w:val="20"/>
                <w:szCs w:val="20"/>
              </w:rPr>
              <w:t>Nulový variant - uveďte dôsledky, ku ktorým by došlo v prípade nevykonania úprav v predkladanom materiáli a alternatívne riešenia/spôsoby dosiahnutia cieľov uvedených v bode 3.</w:t>
            </w:r>
            <w:r w:rsidRPr="00793892">
              <w:rPr>
                <w:i/>
                <w:sz w:val="20"/>
                <w:szCs w:val="20"/>
              </w:rPr>
              <w:br/>
            </w:r>
            <w:r w:rsidRPr="00793892">
              <w:rPr>
                <w:i/>
                <w:sz w:val="20"/>
                <w:szCs w:val="20"/>
              </w:rPr>
              <w:br/>
            </w:r>
            <w:r w:rsidRPr="00793892">
              <w:rPr>
                <w:sz w:val="20"/>
                <w:szCs w:val="20"/>
              </w:rPr>
              <w:t xml:space="preserve">V prípade, </w:t>
            </w:r>
            <w:r w:rsidR="00863FB8">
              <w:rPr>
                <w:sz w:val="20"/>
                <w:szCs w:val="20"/>
              </w:rPr>
              <w:t>že</w:t>
            </w:r>
            <w:r w:rsidR="001E2244">
              <w:rPr>
                <w:sz w:val="20"/>
                <w:szCs w:val="20"/>
              </w:rPr>
              <w:t xml:space="preserve"> </w:t>
            </w:r>
            <w:r w:rsidR="00863FB8">
              <w:rPr>
                <w:sz w:val="20"/>
                <w:szCs w:val="20"/>
              </w:rPr>
              <w:t>nedôjde k uzatvoreniu</w:t>
            </w:r>
            <w:r w:rsidR="00863FB8" w:rsidRPr="00863FB8">
              <w:rPr>
                <w:sz w:val="20"/>
                <w:szCs w:val="20"/>
              </w:rPr>
              <w:t xml:space="preserve"> dohody o poskytovaní všeobecnej ambulantnej starostlivosti</w:t>
            </w:r>
            <w:r w:rsidR="00863FB8">
              <w:rPr>
                <w:sz w:val="20"/>
                <w:szCs w:val="20"/>
              </w:rPr>
              <w:t xml:space="preserve"> do 31.12.2023 </w:t>
            </w:r>
            <w:r w:rsidR="00545627">
              <w:rPr>
                <w:sz w:val="20"/>
                <w:szCs w:val="20"/>
              </w:rPr>
              <w:t>a</w:t>
            </w:r>
            <w:r w:rsidR="00337169">
              <w:rPr>
                <w:sz w:val="20"/>
                <w:szCs w:val="20"/>
              </w:rPr>
              <w:t xml:space="preserve"> zároveň účinnosť zákona </w:t>
            </w:r>
            <w:r w:rsidR="00863FB8">
              <w:rPr>
                <w:sz w:val="20"/>
                <w:szCs w:val="20"/>
              </w:rPr>
              <w:t>153/2013</w:t>
            </w:r>
            <w:r w:rsidR="00337169">
              <w:rPr>
                <w:sz w:val="20"/>
                <w:szCs w:val="20"/>
              </w:rPr>
              <w:t xml:space="preserve"> Z. z. bude od </w:t>
            </w:r>
            <w:r w:rsidR="009D5866">
              <w:rPr>
                <w:sz w:val="20"/>
                <w:szCs w:val="20"/>
              </w:rPr>
              <w:t xml:space="preserve">1. januára 2024, dôjde k ohrozeniu </w:t>
            </w:r>
            <w:r w:rsidR="00863FB8">
              <w:rPr>
                <w:sz w:val="20"/>
                <w:szCs w:val="20"/>
              </w:rPr>
              <w:t>poskytovania</w:t>
            </w:r>
            <w:r w:rsidR="009D5866">
              <w:rPr>
                <w:sz w:val="20"/>
                <w:szCs w:val="20"/>
              </w:rPr>
              <w:t xml:space="preserve"> zdravotnej starostlivosti na </w:t>
            </w:r>
            <w:r w:rsidR="00863FB8">
              <w:rPr>
                <w:sz w:val="20"/>
                <w:szCs w:val="20"/>
              </w:rPr>
              <w:t xml:space="preserve">celom </w:t>
            </w:r>
            <w:r w:rsidR="009D5866">
              <w:rPr>
                <w:sz w:val="20"/>
                <w:szCs w:val="20"/>
              </w:rPr>
              <w:t>územ</w:t>
            </w:r>
            <w:r w:rsidR="00863FB8">
              <w:rPr>
                <w:sz w:val="20"/>
                <w:szCs w:val="20"/>
              </w:rPr>
              <w:t>í</w:t>
            </w:r>
            <w:r w:rsidR="009D5866">
              <w:rPr>
                <w:sz w:val="20"/>
                <w:szCs w:val="20"/>
              </w:rPr>
              <w:t xml:space="preserve"> Slovenskej </w:t>
            </w:r>
            <w:r w:rsidR="001F4213">
              <w:rPr>
                <w:sz w:val="20"/>
                <w:szCs w:val="20"/>
              </w:rPr>
              <w:t xml:space="preserve">republiky. </w:t>
            </w:r>
          </w:p>
          <w:p w14:paraId="6FCF4705" w14:textId="25D550D1" w:rsidR="00843A80" w:rsidRPr="00A362EB" w:rsidRDefault="00843A80" w:rsidP="00843A8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43A80" w:rsidRPr="00A362EB" w14:paraId="30C958FA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3E12EB3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Vykonávacie predpisy</w:t>
            </w:r>
          </w:p>
        </w:tc>
      </w:tr>
      <w:tr w:rsidR="00843A80" w:rsidRPr="00A362EB" w14:paraId="2B564B3C" w14:textId="77777777" w:rsidTr="00854B8B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674164" w14:textId="77777777" w:rsidR="00843A80" w:rsidRPr="00A362EB" w:rsidRDefault="00843A80" w:rsidP="00843A80">
            <w:pPr>
              <w:rPr>
                <w:i/>
                <w:sz w:val="20"/>
                <w:szCs w:val="20"/>
              </w:rPr>
            </w:pPr>
            <w:r w:rsidRPr="00A362EB">
              <w:rPr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44799D" w14:textId="77777777" w:rsidR="00843A80" w:rsidRPr="00A362EB" w:rsidRDefault="00E430DC" w:rsidP="00843A8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80"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3A80" w:rsidRPr="00A362EB">
              <w:rPr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FA3F2C" w14:textId="77777777" w:rsidR="00843A80" w:rsidRPr="00A362EB" w:rsidRDefault="00E430DC" w:rsidP="00843A8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80"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843A80" w:rsidRPr="00A362EB">
              <w:rPr>
                <w:b/>
                <w:sz w:val="20"/>
                <w:szCs w:val="20"/>
              </w:rPr>
              <w:t xml:space="preserve">  Nie</w:t>
            </w:r>
          </w:p>
        </w:tc>
      </w:tr>
      <w:tr w:rsidR="00843A80" w:rsidRPr="00A362EB" w14:paraId="3964C4BB" w14:textId="77777777" w:rsidTr="00854B8B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04E1" w14:textId="77777777" w:rsidR="00843A80" w:rsidRPr="00A362EB" w:rsidRDefault="00843A80" w:rsidP="00843A80">
            <w:pPr>
              <w:rPr>
                <w:i/>
                <w:sz w:val="20"/>
                <w:szCs w:val="20"/>
              </w:rPr>
            </w:pPr>
            <w:r w:rsidRPr="00A362EB">
              <w:rPr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14:paraId="5E74FB89" w14:textId="77777777" w:rsidR="00843A80" w:rsidRPr="00A362EB" w:rsidRDefault="00843A80" w:rsidP="00843A80">
            <w:pPr>
              <w:rPr>
                <w:i/>
                <w:sz w:val="20"/>
                <w:szCs w:val="20"/>
              </w:rPr>
            </w:pPr>
            <w:r w:rsidRPr="00A362EB">
              <w:rPr>
                <w:i/>
                <w:sz w:val="20"/>
                <w:szCs w:val="20"/>
              </w:rPr>
              <w:t>-</w:t>
            </w:r>
          </w:p>
          <w:p w14:paraId="48E2A1C4" w14:textId="77777777" w:rsidR="00843A80" w:rsidRPr="00A362EB" w:rsidRDefault="00843A80" w:rsidP="00843A80">
            <w:pPr>
              <w:rPr>
                <w:sz w:val="20"/>
                <w:szCs w:val="20"/>
              </w:rPr>
            </w:pPr>
          </w:p>
        </w:tc>
      </w:tr>
      <w:tr w:rsidR="00843A80" w:rsidRPr="00A362EB" w14:paraId="376BAD15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69DBFC51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 xml:space="preserve">Transpozícia/implementácia práva EÚ </w:t>
            </w:r>
          </w:p>
        </w:tc>
      </w:tr>
      <w:tr w:rsidR="00843A80" w:rsidRPr="00A362EB" w14:paraId="08748621" w14:textId="77777777" w:rsidTr="00854B8B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3"/>
            </w:tblGrid>
            <w:tr w:rsidR="00843A80" w:rsidRPr="00A362EB" w14:paraId="62D03F00" w14:textId="77777777" w:rsidTr="00854B8B">
              <w:trPr>
                <w:trHeight w:val="90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DBC98F" w14:textId="77777777" w:rsidR="00843A80" w:rsidRPr="00A362EB" w:rsidRDefault="00843A80" w:rsidP="00843A80">
                  <w:pPr>
                    <w:pStyle w:val="Default"/>
                    <w:spacing w:line="256" w:lineRule="auto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</w:rPr>
                  </w:pPr>
                  <w:r w:rsidRPr="00A362EB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843A80" w:rsidRPr="00A362EB" w14:paraId="42634D3A" w14:textId="77777777" w:rsidTr="00854B8B">
              <w:trPr>
                <w:trHeight w:val="296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DCAD9" w14:textId="77777777" w:rsidR="00843A80" w:rsidRPr="00A362EB" w:rsidRDefault="00843A80" w:rsidP="00843A80">
                  <w:pPr>
                    <w:pStyle w:val="Default"/>
                    <w:spacing w:line="256" w:lineRule="auto"/>
                    <w:rPr>
                      <w:rFonts w:ascii="Times New Roman" w:hAnsi="Times New Roman" w:cs="Times New Roman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A362EB">
                    <w:rPr>
                      <w:rFonts w:ascii="Times New Roman" w:hAnsi="Times New Roman" w:cs="Times New Roman"/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01608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A362EB">
                    <w:rPr>
                      <w:rFonts w:ascii="Times New Roman" w:hAnsi="Times New Roman" w:cs="Times New Roman"/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362EB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A362EB">
                    <w:rPr>
                      <w:rFonts w:ascii="Times New Roman" w:hAnsi="Times New Roman" w:cs="Times New Roman"/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2E2BDD98" w14:textId="77777777" w:rsidR="00843A80" w:rsidRPr="00A362EB" w:rsidRDefault="00843A80" w:rsidP="00843A80">
                  <w:pPr>
                    <w:pStyle w:val="Default"/>
                    <w:spacing w:line="256" w:lineRule="auto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63E0E63C" w14:textId="77777777" w:rsidR="00843A80" w:rsidRPr="00A362EB" w:rsidRDefault="00843A80" w:rsidP="00843A80">
                  <w:pPr>
                    <w:pStyle w:val="Default"/>
                    <w:spacing w:line="256" w:lineRule="auto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A362EB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  <w:p w14:paraId="45ED79B7" w14:textId="77777777" w:rsidR="00843A80" w:rsidRPr="00A362EB" w:rsidRDefault="00843A80" w:rsidP="00843A80">
                  <w:pPr>
                    <w:pStyle w:val="Default"/>
                    <w:spacing w:line="256" w:lineRule="auto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362EB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6968B8D" w14:textId="77777777" w:rsidR="00843A80" w:rsidRPr="00A362EB" w:rsidRDefault="00843A80" w:rsidP="00843A8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43A80" w:rsidRPr="00A362EB" w14:paraId="339ECBD6" w14:textId="77777777" w:rsidTr="00854B8B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54A9" w14:textId="77777777" w:rsidR="00843A80" w:rsidRPr="00A362EB" w:rsidRDefault="00843A80" w:rsidP="00843A80">
            <w:pPr>
              <w:rPr>
                <w:sz w:val="20"/>
                <w:szCs w:val="20"/>
              </w:rPr>
            </w:pPr>
          </w:p>
        </w:tc>
      </w:tr>
      <w:tr w:rsidR="00843A80" w:rsidRPr="00A362EB" w14:paraId="59B597E9" w14:textId="77777777" w:rsidTr="00854B8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6DFE8EB5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Preskúmanie účelnosti</w:t>
            </w:r>
          </w:p>
        </w:tc>
      </w:tr>
      <w:tr w:rsidR="00843A80" w:rsidRPr="00A362EB" w14:paraId="631A57A5" w14:textId="77777777" w:rsidTr="00854B8B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F40F2" w14:textId="77777777" w:rsidR="00843A80" w:rsidRPr="002C5BAE" w:rsidRDefault="00843A80" w:rsidP="00843A80">
            <w:pPr>
              <w:rPr>
                <w:i/>
                <w:sz w:val="20"/>
                <w:szCs w:val="20"/>
              </w:rPr>
            </w:pPr>
            <w:r w:rsidRPr="002C5BAE">
              <w:rPr>
                <w:i/>
                <w:sz w:val="20"/>
                <w:szCs w:val="20"/>
              </w:rPr>
              <w:t>Uveďte termín, kedy by malo dôjsť k preskúmaniu účinnosti a účelnosti predkladaného materiálu.</w:t>
            </w:r>
          </w:p>
          <w:p w14:paraId="75CDC59F" w14:textId="25F2078E" w:rsidR="00843A80" w:rsidRPr="002C5BAE" w:rsidRDefault="00843A80" w:rsidP="00843A80">
            <w:pPr>
              <w:rPr>
                <w:i/>
                <w:sz w:val="20"/>
                <w:szCs w:val="20"/>
              </w:rPr>
            </w:pPr>
            <w:r w:rsidRPr="002C5BAE">
              <w:rPr>
                <w:i/>
                <w:sz w:val="20"/>
                <w:szCs w:val="20"/>
              </w:rPr>
              <w:t>Uveďte kritériá, na základe ktorých bude preskúmanie vykonané.</w:t>
            </w:r>
          </w:p>
          <w:p w14:paraId="5363A3C9" w14:textId="77777777" w:rsidR="00843A80" w:rsidRPr="002C5BAE" w:rsidRDefault="00843A80" w:rsidP="00843A80">
            <w:pPr>
              <w:rPr>
                <w:sz w:val="20"/>
                <w:szCs w:val="20"/>
              </w:rPr>
            </w:pPr>
          </w:p>
          <w:p w14:paraId="1BFD650D" w14:textId="72236842" w:rsidR="00843A80" w:rsidRPr="00A362EB" w:rsidRDefault="00843A80" w:rsidP="00843A80">
            <w:pPr>
              <w:rPr>
                <w:i/>
                <w:sz w:val="20"/>
                <w:szCs w:val="20"/>
              </w:rPr>
            </w:pPr>
            <w:r w:rsidRPr="002C5BAE">
              <w:rPr>
                <w:sz w:val="20"/>
                <w:szCs w:val="20"/>
              </w:rPr>
              <w:t>Preskúmanie účinnosti a účelnosti navrhovaného predpisu bude vykonávané priebežne po nadobudnutí jeho účinnosti.</w:t>
            </w:r>
          </w:p>
        </w:tc>
      </w:tr>
      <w:tr w:rsidR="00843A80" w:rsidRPr="00A362EB" w14:paraId="30A3A8D0" w14:textId="77777777" w:rsidTr="00854B8B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A1506D" w14:textId="77777777" w:rsidR="00843A80" w:rsidRPr="00A362EB" w:rsidRDefault="00843A80" w:rsidP="00843A80">
            <w:pPr>
              <w:jc w:val="both"/>
              <w:rPr>
                <w:sz w:val="20"/>
                <w:szCs w:val="20"/>
              </w:rPr>
            </w:pPr>
          </w:p>
          <w:p w14:paraId="3B972643" w14:textId="77777777" w:rsidR="00843A80" w:rsidRPr="00A362EB" w:rsidRDefault="00843A80" w:rsidP="00843A8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43A80" w:rsidRPr="00A362EB" w14:paraId="5ED7B4A8" w14:textId="77777777" w:rsidTr="00854B8B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  <w:hideMark/>
          </w:tcPr>
          <w:p w14:paraId="1190108D" w14:textId="77777777" w:rsidR="00843A80" w:rsidRPr="00A362EB" w:rsidRDefault="00843A80" w:rsidP="00843A80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Vybrané vplyvy  materiálu</w:t>
            </w:r>
          </w:p>
        </w:tc>
      </w:tr>
      <w:tr w:rsidR="00843A80" w:rsidRPr="00A362EB" w14:paraId="3B2693F0" w14:textId="77777777" w:rsidTr="00854B8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143A7D28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22E01F21" w14:textId="5E38473F" w:rsidR="00843A80" w:rsidRPr="00A362EB" w:rsidRDefault="00DB4736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B17064A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0D58FB6F" w14:textId="49851128" w:rsidR="00843A80" w:rsidRPr="00A362EB" w:rsidRDefault="00DE38BC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9B28DCB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41F66EA0" w14:textId="3951CA58" w:rsidR="00843A80" w:rsidRPr="00A362EB" w:rsidRDefault="00DE38BC" w:rsidP="00843A80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5FECDB6" w14:textId="77777777" w:rsidR="00843A80" w:rsidRPr="00A362EB" w:rsidRDefault="00843A80" w:rsidP="00843A80">
            <w:pPr>
              <w:ind w:left="3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  <w:tr w:rsidR="00843A80" w:rsidRPr="00A362EB" w14:paraId="74B04AE9" w14:textId="77777777" w:rsidTr="00854B8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52062957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 xml:space="preserve">    z toho rozpočtovo zabezpečené vplyvy,         </w:t>
            </w:r>
          </w:p>
          <w:p w14:paraId="516CCF90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 xml:space="preserve">    v prípade identifikovaného negatívneho </w:t>
            </w:r>
          </w:p>
          <w:p w14:paraId="5663A2CD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 xml:space="preserve">    vplyvu</w:t>
            </w:r>
          </w:p>
        </w:tc>
        <w:sdt>
          <w:sdtPr>
            <w:rPr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476963FF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2DF917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4BB9BDD3" w14:textId="54634888" w:rsidR="00843A80" w:rsidRPr="00A362EB" w:rsidRDefault="00DE38BC" w:rsidP="00843A8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B412A8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2A3C8A0E" w14:textId="60ADE189" w:rsidR="00843A80" w:rsidRPr="00A362EB" w:rsidRDefault="00DE38BC" w:rsidP="00843A80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8F873" w14:textId="77777777" w:rsidR="00843A80" w:rsidRPr="00A362EB" w:rsidRDefault="00843A80" w:rsidP="00843A80">
            <w:pPr>
              <w:ind w:left="34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Čiastočne</w:t>
            </w:r>
          </w:p>
        </w:tc>
      </w:tr>
      <w:tr w:rsidR="00843A80" w:rsidRPr="00A362EB" w14:paraId="3C59D9BE" w14:textId="77777777" w:rsidTr="00854B8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2A36C5A8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12497EFF" w14:textId="440E9B51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899C29F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2DCC1A44" w14:textId="7097BE81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A1867A4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654CB63F" w14:textId="349DB9A1" w:rsidR="00843A80" w:rsidRPr="00A362EB" w:rsidRDefault="00843A80" w:rsidP="00843A80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AF88D84" w14:textId="77777777" w:rsidR="00843A80" w:rsidRPr="00A362EB" w:rsidRDefault="00843A80" w:rsidP="00843A80">
            <w:pPr>
              <w:ind w:left="3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  <w:tr w:rsidR="00843A80" w:rsidRPr="00A362EB" w14:paraId="3BDA8324" w14:textId="77777777" w:rsidTr="00854B8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5E03313A" w14:textId="77777777" w:rsidR="00843A80" w:rsidRPr="00A362EB" w:rsidRDefault="00843A80" w:rsidP="00843A80">
            <w:pPr>
              <w:ind w:left="171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z toho rozpočtovo zabezpečené vplyvy,</w:t>
            </w:r>
          </w:p>
          <w:p w14:paraId="3B846ACB" w14:textId="77777777" w:rsidR="00843A80" w:rsidRPr="00A362EB" w:rsidRDefault="00843A80" w:rsidP="00843A80">
            <w:pPr>
              <w:ind w:left="171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201B6B9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BD442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49AEE41" w14:textId="43026320" w:rsidR="00843A80" w:rsidRPr="00A362EB" w:rsidRDefault="00087307" w:rsidP="00843A8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2D3E8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5785022" w14:textId="7732A9EF" w:rsidR="00843A80" w:rsidRPr="00A362EB" w:rsidRDefault="00843A80" w:rsidP="00843A80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14ED" w14:textId="77777777" w:rsidR="00843A80" w:rsidRPr="00A362EB" w:rsidRDefault="00843A80" w:rsidP="00843A80">
            <w:pPr>
              <w:ind w:left="34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Čiastočne</w:t>
            </w:r>
          </w:p>
        </w:tc>
      </w:tr>
      <w:tr w:rsidR="00843A80" w:rsidRPr="00A362EB" w14:paraId="4A782D87" w14:textId="77777777" w:rsidTr="00854B8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48E5DB03" w14:textId="77777777" w:rsidR="00843A80" w:rsidRPr="00A362EB" w:rsidRDefault="00843A80" w:rsidP="00843A80">
            <w:pPr>
              <w:ind w:left="171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Vplyv na dlhodobú udržateľnosť verejných financií v prípade vybraných opatrení ***</w:t>
            </w:r>
          </w:p>
        </w:tc>
        <w:sdt>
          <w:sdtPr>
            <w:rPr>
              <w:sz w:val="20"/>
              <w:szCs w:val="20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50FE140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121F3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04EFB" w14:textId="77777777" w:rsidR="00843A80" w:rsidRPr="00A362EB" w:rsidRDefault="00843A80" w:rsidP="00843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2B5A6" w14:textId="77777777" w:rsidR="00843A80" w:rsidRPr="00A362EB" w:rsidRDefault="00843A80" w:rsidP="00843A8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F1F5933" w14:textId="77777777" w:rsidR="00843A80" w:rsidRPr="00A362EB" w:rsidRDefault="00843A80" w:rsidP="00843A80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E6B3" w14:textId="77777777" w:rsidR="00843A80" w:rsidRPr="00A362EB" w:rsidRDefault="00843A80" w:rsidP="00843A80">
            <w:pPr>
              <w:ind w:left="34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Nie</w:t>
            </w:r>
          </w:p>
        </w:tc>
      </w:tr>
      <w:tr w:rsidR="00843A80" w:rsidRPr="00A362EB" w14:paraId="664F94EF" w14:textId="77777777" w:rsidTr="00854B8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7F777F56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Vplyvy na limit verejných výdavkov</w:t>
            </w:r>
          </w:p>
        </w:tc>
        <w:sdt>
          <w:sdtPr>
            <w:rPr>
              <w:b/>
              <w:sz w:val="20"/>
              <w:szCs w:val="20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65D0AA4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E0DEB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18D021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56113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D99DCA3" w14:textId="6354861C" w:rsidR="00843A80" w:rsidRPr="00A362EB" w:rsidRDefault="00843A80" w:rsidP="00843A80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1EAC" w14:textId="77777777" w:rsidR="00843A80" w:rsidRPr="00A362EB" w:rsidRDefault="00843A80" w:rsidP="00843A80">
            <w:pPr>
              <w:ind w:left="34"/>
              <w:rPr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  <w:tr w:rsidR="00843A80" w:rsidRPr="00A362EB" w14:paraId="1C48C6A2" w14:textId="77777777" w:rsidTr="00854B8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1611769C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6FFF3B9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435CAC4" w14:textId="77777777" w:rsidR="00843A80" w:rsidRPr="00A362EB" w:rsidRDefault="00843A80" w:rsidP="00843A80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6EB06A69" w14:textId="61A549F4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EF3A9B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74A7F48B" w14:textId="2CB945E4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6717" w14:textId="77777777" w:rsidR="00843A80" w:rsidRPr="00A362EB" w:rsidRDefault="00843A80" w:rsidP="00843A80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  <w:tr w:rsidR="00843A80" w:rsidRPr="00A362EB" w14:paraId="5A306BEA" w14:textId="77777777" w:rsidTr="00854B8B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2EF8F032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 xml:space="preserve">    z toho vplyvy na MSP</w:t>
            </w:r>
          </w:p>
          <w:p w14:paraId="1F23829C" w14:textId="77777777" w:rsidR="00843A80" w:rsidRPr="00A362EB" w:rsidRDefault="00843A80" w:rsidP="00843A8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0566959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144A87" w14:textId="77777777" w:rsidR="00843A80" w:rsidRPr="00A362EB" w:rsidRDefault="00843A80" w:rsidP="00843A80">
            <w:pPr>
              <w:ind w:right="-108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Pozitívne</w:t>
            </w:r>
          </w:p>
        </w:tc>
        <w:sdt>
          <w:sdtPr>
            <w:rPr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6B7C1D05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722BF3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Žiadne</w:t>
            </w:r>
          </w:p>
        </w:tc>
        <w:sdt>
          <w:sdtPr>
            <w:rPr>
              <w:sz w:val="20"/>
              <w:szCs w:val="20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E0CC8BE" w14:textId="77777777" w:rsidR="00843A80" w:rsidRPr="00A362EB" w:rsidRDefault="00843A80" w:rsidP="00843A8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7DF517" w14:textId="77777777" w:rsidR="00843A80" w:rsidRPr="00A362EB" w:rsidRDefault="00843A80" w:rsidP="00843A80">
            <w:pPr>
              <w:ind w:left="54"/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Negatívne</w:t>
            </w:r>
          </w:p>
        </w:tc>
      </w:tr>
      <w:tr w:rsidR="00843A80" w:rsidRPr="00A362EB" w14:paraId="7B3EDAAD" w14:textId="77777777" w:rsidTr="00854B8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0EA8D3E4" w14:textId="77777777" w:rsidR="00843A80" w:rsidRPr="00A362EB" w:rsidRDefault="00843A80" w:rsidP="00843A80">
            <w:pPr>
              <w:rPr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 xml:space="preserve">    Mechanizmus znižovania byrokracie    </w:t>
            </w:r>
          </w:p>
          <w:p w14:paraId="7DD58A2C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 xml:space="preserve">    a nákladov sa uplatňuje:</w:t>
            </w:r>
          </w:p>
        </w:tc>
        <w:sdt>
          <w:sdtPr>
            <w:rPr>
              <w:b/>
              <w:sz w:val="20"/>
              <w:szCs w:val="20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422AA9B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7B016" w14:textId="77777777" w:rsidR="00843A80" w:rsidRPr="00A362EB" w:rsidRDefault="00843A80" w:rsidP="00843A80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B032C" w14:textId="77777777" w:rsidR="00843A80" w:rsidRPr="00A362EB" w:rsidRDefault="00843A80" w:rsidP="00843A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59E42" w14:textId="77777777" w:rsidR="00843A80" w:rsidRPr="00A362EB" w:rsidRDefault="00843A80" w:rsidP="00843A80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834F369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E26" w14:textId="77777777" w:rsidR="00843A80" w:rsidRPr="00A362EB" w:rsidRDefault="00843A80" w:rsidP="00843A80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Nie</w:t>
            </w:r>
          </w:p>
        </w:tc>
      </w:tr>
      <w:tr w:rsidR="00843A80" w:rsidRPr="00A362EB" w14:paraId="20E1BEA2" w14:textId="77777777" w:rsidTr="00854B8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35582BDD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1297916F" w14:textId="38335A93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30220" w14:textId="77777777" w:rsidR="00843A80" w:rsidRPr="00A362EB" w:rsidRDefault="00843A80" w:rsidP="00843A80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D65654E" w14:textId="4EB158CE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C5FD1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8249FC7" w14:textId="484BFB7F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80BE" w14:textId="77777777" w:rsidR="00843A80" w:rsidRPr="00A362EB" w:rsidRDefault="00843A80" w:rsidP="00843A80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  <w:tr w:rsidR="00843A80" w:rsidRPr="00A362EB" w14:paraId="05D57C01" w14:textId="77777777" w:rsidTr="00854B8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0F5B1CE1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356F96EA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D6B2C" w14:textId="77777777" w:rsidR="00843A80" w:rsidRPr="00A362EB" w:rsidRDefault="00843A80" w:rsidP="00843A80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9053A7E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1E6DD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228620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04B4B" w14:textId="77777777" w:rsidR="00843A80" w:rsidRPr="00A362EB" w:rsidRDefault="00843A80" w:rsidP="00843A80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  <w:tr w:rsidR="00843A80" w:rsidRPr="00A362EB" w14:paraId="3C4A95FA" w14:textId="77777777" w:rsidTr="00854B8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A02DA39" w14:textId="77777777" w:rsidR="00843A80" w:rsidRPr="00A362EB" w:rsidRDefault="00843A80" w:rsidP="00843A80">
            <w:pPr>
              <w:rPr>
                <w:sz w:val="20"/>
                <w:szCs w:val="20"/>
              </w:rPr>
            </w:pPr>
          </w:p>
          <w:p w14:paraId="0A7AAED4" w14:textId="77777777" w:rsidR="00843A80" w:rsidRPr="00A362EB" w:rsidRDefault="00843A80" w:rsidP="00843A80">
            <w:pPr>
              <w:ind w:left="164"/>
              <w:rPr>
                <w:b/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b/>
              <w:sz w:val="20"/>
              <w:szCs w:val="20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F91A0A2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C215F" w14:textId="77777777" w:rsidR="00843A80" w:rsidRPr="00A362EB" w:rsidRDefault="00843A80" w:rsidP="00843A80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90E08" w14:textId="77777777" w:rsidR="00843A80" w:rsidRPr="00A362EB" w:rsidRDefault="00843A80" w:rsidP="00843A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C1E8D" w14:textId="77777777" w:rsidR="00843A80" w:rsidRPr="00A362EB" w:rsidRDefault="00843A80" w:rsidP="00843A80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7FCD24E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ADF6" w14:textId="77777777" w:rsidR="00843A80" w:rsidRPr="00A362EB" w:rsidRDefault="00843A80" w:rsidP="00843A80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sz w:val="20"/>
                <w:szCs w:val="20"/>
              </w:rPr>
              <w:t>Nie</w:t>
            </w:r>
          </w:p>
        </w:tc>
      </w:tr>
      <w:tr w:rsidR="00843A80" w:rsidRPr="00A362EB" w14:paraId="1240B615" w14:textId="77777777" w:rsidTr="00854B8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146868F8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048FC112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E9440" w14:textId="77777777" w:rsidR="00843A80" w:rsidRPr="00A362EB" w:rsidRDefault="00843A80" w:rsidP="00843A80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0BA2461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281DE" w14:textId="77777777" w:rsidR="00843A80" w:rsidRPr="00A362EB" w:rsidRDefault="00843A80" w:rsidP="00843A80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10CF964" w14:textId="77777777" w:rsidR="00843A80" w:rsidRPr="00A362EB" w:rsidRDefault="00843A80" w:rsidP="00843A8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3FB3" w14:textId="77777777" w:rsidR="00843A80" w:rsidRPr="00A362EB" w:rsidRDefault="00843A80" w:rsidP="00843A80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540"/>
        <w:gridCol w:w="1308"/>
        <w:gridCol w:w="568"/>
        <w:gridCol w:w="1129"/>
        <w:gridCol w:w="546"/>
        <w:gridCol w:w="1293"/>
      </w:tblGrid>
      <w:tr w:rsidR="00843A80" w:rsidRPr="00A362EB" w14:paraId="0A9E72C0" w14:textId="77777777" w:rsidTr="00854B8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57960770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  <w:r w:rsidRPr="00A362EB">
              <w:rPr>
                <w:rFonts w:eastAsia="Calibri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83C4A" w14:textId="77777777" w:rsidR="00843A80" w:rsidRPr="00A362EB" w:rsidRDefault="00843A80" w:rsidP="00854B8B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DAC3D" w14:textId="77777777" w:rsidR="00843A80" w:rsidRPr="00A362EB" w:rsidRDefault="00843A80" w:rsidP="00854B8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57354" w14:textId="77777777" w:rsidR="00843A80" w:rsidRPr="00A362EB" w:rsidRDefault="00843A80" w:rsidP="00854B8B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64F2F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886AF" w14:textId="77777777" w:rsidR="00843A80" w:rsidRPr="00A362EB" w:rsidRDefault="00843A80" w:rsidP="00854B8B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F39B6D" w14:textId="77777777" w:rsidR="00843A80" w:rsidRPr="00A362EB" w:rsidRDefault="00843A80" w:rsidP="00854B8B">
            <w:pPr>
              <w:ind w:left="54"/>
              <w:rPr>
                <w:b/>
                <w:sz w:val="20"/>
                <w:szCs w:val="20"/>
              </w:rPr>
            </w:pPr>
          </w:p>
        </w:tc>
      </w:tr>
      <w:tr w:rsidR="00843A80" w:rsidRPr="00A362EB" w14:paraId="3FA5318E" w14:textId="77777777" w:rsidTr="00854B8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7BA4F488" w14:textId="77777777" w:rsidR="00843A80" w:rsidRPr="00A362EB" w:rsidRDefault="00843A80" w:rsidP="00854B8B">
            <w:pPr>
              <w:ind w:left="196" w:hanging="19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62EB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0245FBDF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1DC543B" w14:textId="77777777" w:rsidR="00843A80" w:rsidRPr="00A362EB" w:rsidRDefault="00843A80" w:rsidP="00854B8B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0C983A73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706FE2E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72521196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1799064" w14:textId="77777777" w:rsidR="00843A80" w:rsidRPr="00A362EB" w:rsidRDefault="00843A80" w:rsidP="00854B8B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  <w:tr w:rsidR="00843A80" w:rsidRPr="00A362EB" w14:paraId="3E377EBD" w14:textId="77777777" w:rsidTr="00854B8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3F6AFDA3" w14:textId="77777777" w:rsidR="00843A80" w:rsidRPr="00A362EB" w:rsidRDefault="00843A80" w:rsidP="00854B8B">
            <w:pPr>
              <w:ind w:left="168" w:hanging="16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62EB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b/>
              <w:sz w:val="20"/>
              <w:szCs w:val="20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06912305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F93144" w14:textId="77777777" w:rsidR="00843A80" w:rsidRPr="00A362EB" w:rsidRDefault="00843A80" w:rsidP="00854B8B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5AE3A4E4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399897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E9FC9EC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12403F" w14:textId="77777777" w:rsidR="00843A80" w:rsidRPr="00A362EB" w:rsidRDefault="00843A80" w:rsidP="00854B8B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843A80" w:rsidRPr="00A362EB" w14:paraId="3B0C5666" w14:textId="77777777" w:rsidTr="00854B8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7205E7EE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79F9C68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020DD" w14:textId="77777777" w:rsidR="00843A80" w:rsidRPr="00A362EB" w:rsidRDefault="00843A80" w:rsidP="00854B8B">
            <w:pPr>
              <w:ind w:right="-108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439AB61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0940F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0ECEBE6" w14:textId="77777777" w:rsidR="00843A80" w:rsidRPr="00A362EB" w:rsidRDefault="00843A80" w:rsidP="00854B8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362E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B87C" w14:textId="77777777" w:rsidR="00843A80" w:rsidRPr="00A362EB" w:rsidRDefault="00843A80" w:rsidP="00854B8B">
            <w:pPr>
              <w:ind w:left="54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Negatívne</w:t>
            </w:r>
          </w:p>
        </w:tc>
      </w:tr>
    </w:tbl>
    <w:p w14:paraId="635B495D" w14:textId="77777777" w:rsidR="00843A80" w:rsidRPr="00A362EB" w:rsidRDefault="00843A80" w:rsidP="00843A80">
      <w:pPr>
        <w:ind w:right="141"/>
        <w:rPr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843A80" w:rsidRPr="00A362EB" w14:paraId="5099D001" w14:textId="77777777" w:rsidTr="00854B8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01A6B79" w14:textId="77777777" w:rsidR="00843A80" w:rsidRPr="00A362EB" w:rsidRDefault="00843A80" w:rsidP="00854B8B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Poznámky</w:t>
            </w:r>
          </w:p>
        </w:tc>
      </w:tr>
      <w:tr w:rsidR="00843A80" w:rsidRPr="00A362EB" w14:paraId="4A488EF4" w14:textId="77777777" w:rsidTr="00854B8B">
        <w:trPr>
          <w:trHeight w:val="71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1EF28F9" w14:textId="77777777" w:rsidR="00532E60" w:rsidRDefault="00532E60" w:rsidP="00C6657D">
            <w:pPr>
              <w:contextualSpacing/>
              <w:jc w:val="both"/>
              <w:rPr>
                <w:sz w:val="20"/>
                <w:szCs w:val="20"/>
              </w:rPr>
            </w:pPr>
          </w:p>
          <w:p w14:paraId="173F9B22" w14:textId="0F32262C" w:rsidR="00A80694" w:rsidRPr="00532E60" w:rsidRDefault="009A1714" w:rsidP="00C6657D">
            <w:pPr>
              <w:contextualSpacing/>
              <w:jc w:val="both"/>
              <w:rPr>
                <w:sz w:val="20"/>
                <w:szCs w:val="20"/>
              </w:rPr>
            </w:pPr>
            <w:r w:rsidRPr="00532E60">
              <w:rPr>
                <w:sz w:val="20"/>
                <w:szCs w:val="20"/>
              </w:rPr>
              <w:t>Ministerstvo zdravotníctva rozhodlo</w:t>
            </w:r>
            <w:r w:rsidR="00A80694" w:rsidRPr="00532E60">
              <w:rPr>
                <w:sz w:val="20"/>
                <w:szCs w:val="20"/>
              </w:rPr>
              <w:t xml:space="preserve"> o možnosti prístupu</w:t>
            </w:r>
            <w:r w:rsidRPr="00532E60">
              <w:rPr>
                <w:sz w:val="20"/>
                <w:szCs w:val="20"/>
              </w:rPr>
              <w:t xml:space="preserve"> </w:t>
            </w:r>
            <w:r w:rsidR="00A80694" w:rsidRPr="00532E60">
              <w:rPr>
                <w:sz w:val="20"/>
                <w:szCs w:val="20"/>
              </w:rPr>
              <w:t xml:space="preserve">zdravotníckeho pracovníka k elektronickým zdravotným záznamom z elektronickej zdravotnej knižky v určenom rozsahu na základe rodného čísla len do 31.12.2023 podľa </w:t>
            </w:r>
            <w:r w:rsidR="00A80694" w:rsidRPr="00532E60">
              <w:rPr>
                <w:sz w:val="20"/>
                <w:szCs w:val="20"/>
                <w:shd w:val="clear" w:color="auto" w:fill="FFFFFF"/>
              </w:rPr>
              <w:t xml:space="preserve">§ 16 ods. 1 </w:t>
            </w:r>
            <w:r w:rsidR="00A80694" w:rsidRPr="00532E60">
              <w:rPr>
                <w:sz w:val="20"/>
                <w:szCs w:val="20"/>
              </w:rPr>
              <w:t xml:space="preserve">zákona č. 153/2013 Z. z. o národnom zdravotníckom informačnom systéme a o zmene a doplnení niektorých zákonov v znení neskorších predpisov. Od 01.01.2024 je prístupu zdravotníckeho pracovníka k elektronickým zdravotným záznamom z elektronickej zdravotnej knižky v určenom rozsahu možný len s občianskym preukazom s elektronickým čipom alebo dokladom o pobyte s elektronickým čipom. </w:t>
            </w:r>
          </w:p>
          <w:p w14:paraId="7DD0B6A4" w14:textId="77777777" w:rsidR="00A80694" w:rsidRPr="00532E60" w:rsidRDefault="00A80694" w:rsidP="00C6657D">
            <w:pPr>
              <w:contextualSpacing/>
              <w:jc w:val="both"/>
              <w:rPr>
                <w:sz w:val="20"/>
                <w:szCs w:val="20"/>
              </w:rPr>
            </w:pPr>
          </w:p>
          <w:p w14:paraId="0AFE495B" w14:textId="1B989298" w:rsidR="003A7D9E" w:rsidRPr="00532E60" w:rsidRDefault="00A80694" w:rsidP="003A7D9E">
            <w:pPr>
              <w:contextualSpacing/>
              <w:jc w:val="both"/>
              <w:rPr>
                <w:sz w:val="20"/>
                <w:szCs w:val="20"/>
              </w:rPr>
            </w:pPr>
            <w:r w:rsidRPr="00532E60">
              <w:rPr>
                <w:rFonts w:cstheme="minorHAnsi"/>
                <w:sz w:val="20"/>
                <w:szCs w:val="20"/>
              </w:rPr>
              <w:t xml:space="preserve">Do 31. decembra 2023 je osoba oprávnená uzatvoriť dohodu o poskytovaní všeobecnej ambulantnej zdravotnej starostlivosti prostredníctvom technického zariadenia poskytovateľa a úradného autentifikátora </w:t>
            </w:r>
            <w:r w:rsidRPr="00532E60">
              <w:rPr>
                <w:sz w:val="20"/>
                <w:szCs w:val="20"/>
              </w:rPr>
              <w:t xml:space="preserve">podľa </w:t>
            </w:r>
            <w:r w:rsidRPr="00532E60">
              <w:rPr>
                <w:sz w:val="20"/>
                <w:szCs w:val="20"/>
                <w:shd w:val="clear" w:color="auto" w:fill="FFFFFF"/>
              </w:rPr>
              <w:t>§ 49j ods. 1</w:t>
            </w:r>
            <w:r w:rsidRPr="00532E60">
              <w:rPr>
                <w:rFonts w:cstheme="minorHAnsi"/>
                <w:sz w:val="20"/>
                <w:szCs w:val="20"/>
              </w:rPr>
              <w:t xml:space="preserve"> </w:t>
            </w:r>
            <w:r w:rsidRPr="00532E60">
              <w:rPr>
                <w:sz w:val="20"/>
                <w:szCs w:val="20"/>
              </w:rPr>
              <w:t>zákona č. 576/2004 Z. z</w:t>
            </w:r>
            <w:r w:rsidR="003A7D9E" w:rsidRPr="00532E60">
              <w:rPr>
                <w:sz w:val="20"/>
                <w:szCs w:val="20"/>
              </w:rPr>
              <w:t>.</w:t>
            </w:r>
            <w:r w:rsidRPr="00532E60">
              <w:rPr>
                <w:sz w:val="20"/>
                <w:szCs w:val="20"/>
              </w:rPr>
              <w:t xml:space="preserve"> o zdravotnej starostlivosti, službách súvisiacich s poskytovaním zdravotnej starostlivosti a o zmene a doplnení niektorých zákonov v znení</w:t>
            </w:r>
            <w:r w:rsidR="003A7D9E" w:rsidRPr="00532E60">
              <w:rPr>
                <w:sz w:val="20"/>
                <w:szCs w:val="20"/>
              </w:rPr>
              <w:t xml:space="preserve"> neskorších predpisov.</w:t>
            </w:r>
          </w:p>
          <w:p w14:paraId="528AD993" w14:textId="01C62CD4" w:rsidR="00A80694" w:rsidRPr="00532E60" w:rsidRDefault="00A80694" w:rsidP="00C6657D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10B73C66" w14:textId="6081839F" w:rsidR="003A7D9E" w:rsidRPr="00532E60" w:rsidRDefault="003A7D9E" w:rsidP="00C6657D">
            <w:pPr>
              <w:contextualSpacing/>
              <w:jc w:val="both"/>
              <w:rPr>
                <w:sz w:val="20"/>
                <w:szCs w:val="20"/>
              </w:rPr>
            </w:pPr>
            <w:r w:rsidRPr="00532E60">
              <w:rPr>
                <w:sz w:val="20"/>
                <w:szCs w:val="20"/>
              </w:rPr>
              <w:t>Ministerstvo vnútra SR však n</w:t>
            </w:r>
            <w:r w:rsidR="00CD5640" w:rsidRPr="00532E60">
              <w:rPr>
                <w:sz w:val="20"/>
                <w:szCs w:val="20"/>
              </w:rPr>
              <w:t xml:space="preserve">evydalo </w:t>
            </w:r>
            <w:r w:rsidRPr="00532E60">
              <w:rPr>
                <w:sz w:val="20"/>
                <w:szCs w:val="20"/>
              </w:rPr>
              <w:t xml:space="preserve">do 31. decembra 2023 občanom Slovenskej republiky s trvalým pobytom na našom území, ktorí sú mladší ako 15 rokov a občanom starším ako 65 rokov, ktorí nie sú držiteľom občianskeho preukazu s elektronickým čipom, občianske preukazy bez podoby tváre z úradnej moci na základe údajov z registra fyzických osôb, podľa § 19 ods. 2 a 3 zákon č. 395/2019 Z. z. o občianskych preukazoch a o zmene a doplnení niektorých zákonov v znení neskorších predpisov, z kapacitných dôvodov. </w:t>
            </w:r>
          </w:p>
          <w:p w14:paraId="4919E158" w14:textId="77777777" w:rsidR="003A7D9E" w:rsidRPr="00532E60" w:rsidRDefault="003A7D9E" w:rsidP="00C6657D">
            <w:pPr>
              <w:contextualSpacing/>
              <w:jc w:val="both"/>
              <w:rPr>
                <w:sz w:val="20"/>
                <w:szCs w:val="20"/>
              </w:rPr>
            </w:pPr>
          </w:p>
          <w:p w14:paraId="7535AD9A" w14:textId="19DBFC13" w:rsidR="003A7D9E" w:rsidRPr="00532E60" w:rsidRDefault="00F36C9A" w:rsidP="00C6657D">
            <w:pPr>
              <w:contextualSpacing/>
              <w:jc w:val="both"/>
              <w:rPr>
                <w:sz w:val="20"/>
                <w:szCs w:val="20"/>
              </w:rPr>
            </w:pPr>
            <w:r w:rsidRPr="00532E60">
              <w:rPr>
                <w:sz w:val="20"/>
                <w:szCs w:val="20"/>
              </w:rPr>
              <w:t xml:space="preserve">Ide o úpravu zákona, ktorá umožňuje </w:t>
            </w:r>
            <w:r w:rsidR="003A7D9E" w:rsidRPr="00532E60">
              <w:rPr>
                <w:sz w:val="20"/>
                <w:szCs w:val="20"/>
              </w:rPr>
              <w:t>prístup zdravotníckeho pracovníka k elektronickým zdravotným záznamom z elektronickej zdravotnej knižky v určenom rozsahu na základe rodného čísla</w:t>
            </w:r>
            <w:r w:rsidRPr="00532E60">
              <w:rPr>
                <w:sz w:val="20"/>
                <w:szCs w:val="20"/>
              </w:rPr>
              <w:t xml:space="preserve"> do konca decembra 202</w:t>
            </w:r>
            <w:r w:rsidR="003A7D9E" w:rsidRPr="00532E60">
              <w:rPr>
                <w:sz w:val="20"/>
                <w:szCs w:val="20"/>
              </w:rPr>
              <w:t>4</w:t>
            </w:r>
            <w:r w:rsidRPr="00532E60">
              <w:rPr>
                <w:sz w:val="20"/>
                <w:szCs w:val="20"/>
              </w:rPr>
              <w:t>,</w:t>
            </w:r>
            <w:r w:rsidR="003A7D9E" w:rsidRPr="00532E60">
              <w:rPr>
                <w:sz w:val="20"/>
                <w:szCs w:val="20"/>
              </w:rPr>
              <w:t xml:space="preserve"> možnosť uzatvoriť dohodu o poskytovaní všeobecnej ambulantnej zdravotnej starostlivosti v listinnej podobe do konca decembra 2024 a povinnosť Ministerstva vnútra SR vydať občanom Slovenskej republiky s trvalým pobytom na našom území, ktorí sú mladší ako 15 rokov a občanom starším ako 65 rokov, ktorí nie sú držiteľom občianskeho preukazu s elektronickým čipom, občianske preukazy bez podoby tváre z úradnej moci na základe údajov z registra fyzických osôb do konca decembra 2024. </w:t>
            </w:r>
          </w:p>
          <w:p w14:paraId="18F2D4EE" w14:textId="276231DB" w:rsidR="00C6657D" w:rsidRPr="00532E60" w:rsidRDefault="008D63F0" w:rsidP="00C6657D">
            <w:pPr>
              <w:contextualSpacing/>
              <w:jc w:val="both"/>
              <w:rPr>
                <w:sz w:val="20"/>
                <w:szCs w:val="20"/>
              </w:rPr>
            </w:pPr>
            <w:r w:rsidRPr="00532E60">
              <w:rPr>
                <w:sz w:val="20"/>
                <w:szCs w:val="20"/>
              </w:rPr>
              <w:t>Táto navrhovaná úprava</w:t>
            </w:r>
            <w:r w:rsidR="00C12AC7" w:rsidRPr="00532E60">
              <w:rPr>
                <w:sz w:val="20"/>
                <w:szCs w:val="20"/>
              </w:rPr>
              <w:t xml:space="preserve"> preto</w:t>
            </w:r>
            <w:r w:rsidRPr="00532E60">
              <w:rPr>
                <w:sz w:val="20"/>
                <w:szCs w:val="20"/>
              </w:rPr>
              <w:t xml:space="preserve"> nemá </w:t>
            </w:r>
            <w:r w:rsidR="005F58A3" w:rsidRPr="00532E60">
              <w:rPr>
                <w:sz w:val="20"/>
                <w:szCs w:val="20"/>
              </w:rPr>
              <w:t xml:space="preserve">pozitívne ani negatívne vplyvy na rozpočet verejnej správy, </w:t>
            </w:r>
            <w:r w:rsidR="005968ED" w:rsidRPr="00532E60">
              <w:rPr>
                <w:sz w:val="20"/>
                <w:szCs w:val="20"/>
              </w:rPr>
              <w:t xml:space="preserve">ani </w:t>
            </w:r>
            <w:r w:rsidR="005F58A3" w:rsidRPr="00532E60">
              <w:rPr>
                <w:sz w:val="20"/>
                <w:szCs w:val="20"/>
              </w:rPr>
              <w:t>na limit verejných výdavkov,</w:t>
            </w:r>
            <w:r w:rsidR="005968ED" w:rsidRPr="00532E60">
              <w:rPr>
                <w:sz w:val="20"/>
                <w:szCs w:val="20"/>
              </w:rPr>
              <w:t xml:space="preserve"> ani</w:t>
            </w:r>
            <w:r w:rsidR="005F58A3" w:rsidRPr="00532E60">
              <w:rPr>
                <w:sz w:val="20"/>
                <w:szCs w:val="20"/>
              </w:rPr>
              <w:t xml:space="preserve"> na podnikateľské prostredie, </w:t>
            </w:r>
            <w:r w:rsidR="005968ED" w:rsidRPr="00532E60">
              <w:rPr>
                <w:sz w:val="20"/>
                <w:szCs w:val="20"/>
              </w:rPr>
              <w:t xml:space="preserve">ani </w:t>
            </w:r>
            <w:r w:rsidR="005F58A3" w:rsidRPr="00532E60">
              <w:rPr>
                <w:sz w:val="20"/>
                <w:szCs w:val="20"/>
              </w:rPr>
              <w:t xml:space="preserve">sociálne vplyvy, </w:t>
            </w:r>
            <w:r w:rsidR="005968ED" w:rsidRPr="00532E60">
              <w:rPr>
                <w:sz w:val="20"/>
                <w:szCs w:val="20"/>
              </w:rPr>
              <w:t xml:space="preserve">ani </w:t>
            </w:r>
            <w:r w:rsidR="005F58A3" w:rsidRPr="00532E60">
              <w:rPr>
                <w:sz w:val="20"/>
                <w:szCs w:val="20"/>
              </w:rPr>
              <w:t xml:space="preserve">vplyvy na životné prostredie, </w:t>
            </w:r>
            <w:r w:rsidR="005968ED" w:rsidRPr="00532E60">
              <w:rPr>
                <w:sz w:val="20"/>
                <w:szCs w:val="20"/>
              </w:rPr>
              <w:t xml:space="preserve">ani </w:t>
            </w:r>
            <w:r w:rsidR="005F58A3" w:rsidRPr="00532E60">
              <w:rPr>
                <w:sz w:val="20"/>
                <w:szCs w:val="20"/>
              </w:rPr>
              <w:t xml:space="preserve">vplyvy na informatizáciu spoločnosti, </w:t>
            </w:r>
            <w:r w:rsidR="005968ED" w:rsidRPr="00532E60">
              <w:rPr>
                <w:sz w:val="20"/>
                <w:szCs w:val="20"/>
              </w:rPr>
              <w:t xml:space="preserve">ani </w:t>
            </w:r>
            <w:r w:rsidR="005F58A3" w:rsidRPr="00532E60">
              <w:rPr>
                <w:sz w:val="20"/>
                <w:szCs w:val="20"/>
              </w:rPr>
              <w:t xml:space="preserve">vplyvy na služby verejnej správy pre občana, </w:t>
            </w:r>
            <w:r w:rsidR="005968ED" w:rsidRPr="00532E60">
              <w:rPr>
                <w:sz w:val="20"/>
                <w:szCs w:val="20"/>
              </w:rPr>
              <w:t xml:space="preserve">ani </w:t>
            </w:r>
            <w:r w:rsidR="005F58A3" w:rsidRPr="00532E60">
              <w:rPr>
                <w:sz w:val="20"/>
                <w:szCs w:val="20"/>
              </w:rPr>
              <w:t>vplyvy na manželstvo, rodičovstvo a</w:t>
            </w:r>
            <w:r w:rsidR="00DB2259" w:rsidRPr="00532E60">
              <w:rPr>
                <w:sz w:val="20"/>
                <w:szCs w:val="20"/>
              </w:rPr>
              <w:t> </w:t>
            </w:r>
            <w:r w:rsidR="005F58A3" w:rsidRPr="00532E60">
              <w:rPr>
                <w:sz w:val="20"/>
                <w:szCs w:val="20"/>
              </w:rPr>
              <w:t>rodinu</w:t>
            </w:r>
            <w:r w:rsidR="00DB2259" w:rsidRPr="00532E60">
              <w:rPr>
                <w:sz w:val="20"/>
                <w:szCs w:val="20"/>
              </w:rPr>
              <w:t xml:space="preserve">. </w:t>
            </w:r>
          </w:p>
          <w:p w14:paraId="2C2B12EE" w14:textId="77777777" w:rsidR="009B5615" w:rsidRPr="00532E60" w:rsidRDefault="009B5615" w:rsidP="004512FF">
            <w:pPr>
              <w:rPr>
                <w:sz w:val="20"/>
                <w:szCs w:val="20"/>
              </w:rPr>
            </w:pPr>
          </w:p>
          <w:p w14:paraId="22DCE7FA" w14:textId="19F15358" w:rsidR="000B2A24" w:rsidRPr="00532E60" w:rsidRDefault="000B2A24" w:rsidP="00BB4350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60">
              <w:rPr>
                <w:sz w:val="20"/>
                <w:szCs w:val="20"/>
              </w:rPr>
              <w:t>Vzhľadom na vyššie uvedené a nemožnosť presnej kvantifikácie daného vplyvu</w:t>
            </w:r>
            <w:r w:rsidR="00CA2447" w:rsidRPr="00532E60">
              <w:rPr>
                <w:sz w:val="20"/>
                <w:szCs w:val="20"/>
              </w:rPr>
              <w:t>, daný vplyv v tabuľke vybraných vplyvov materiálu neuvádzame.</w:t>
            </w:r>
          </w:p>
          <w:p w14:paraId="685547E3" w14:textId="77777777" w:rsidR="00843A80" w:rsidRDefault="003D4347" w:rsidP="00BB4350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80694">
              <w:rPr>
                <w:sz w:val="20"/>
                <w:szCs w:val="20"/>
              </w:rPr>
              <w:t xml:space="preserve"> </w:t>
            </w:r>
          </w:p>
          <w:p w14:paraId="4D94B76A" w14:textId="77777777" w:rsidR="00532E60" w:rsidRDefault="00532E60" w:rsidP="00BB4350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0CEF1014" w14:textId="2AB3C4E1" w:rsidR="00532E60" w:rsidRPr="00A80694" w:rsidRDefault="00532E60" w:rsidP="00BB4350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843A80" w:rsidRPr="00A362EB" w14:paraId="29E0E63C" w14:textId="77777777" w:rsidTr="00854B8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5CA10F9D" w14:textId="77777777" w:rsidR="00843A80" w:rsidRPr="00A362EB" w:rsidRDefault="00843A80" w:rsidP="00854B8B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A362EB">
              <w:rPr>
                <w:rFonts w:eastAsia="Calibri"/>
                <w:b/>
              </w:rPr>
              <w:t>Kontakt na spracovateľa</w:t>
            </w:r>
          </w:p>
        </w:tc>
      </w:tr>
      <w:tr w:rsidR="00843A80" w:rsidRPr="00A362EB" w14:paraId="641C0037" w14:textId="77777777" w:rsidTr="00854B8B">
        <w:trPr>
          <w:trHeight w:val="586"/>
        </w:trPr>
        <w:tc>
          <w:tcPr>
            <w:tcW w:w="91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3A83A" w14:textId="77777777" w:rsidR="003A7D9E" w:rsidRPr="00A37419" w:rsidRDefault="003A7D9E" w:rsidP="003A7D9E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lastRenderedPageBreak/>
              <w:t>Národné centrum zdravotníckych informácií</w:t>
            </w:r>
          </w:p>
          <w:p w14:paraId="4B99A62A" w14:textId="77777777" w:rsidR="003A7D9E" w:rsidRPr="00A37419" w:rsidRDefault="003A7D9E" w:rsidP="003A7D9E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Lazaretská 26</w:t>
            </w:r>
          </w:p>
          <w:p w14:paraId="1C9AA644" w14:textId="77777777" w:rsidR="00843A80" w:rsidRPr="00A37419" w:rsidRDefault="003A7D9E" w:rsidP="003A7D9E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811 09 Bratislava 1</w:t>
            </w:r>
          </w:p>
          <w:p w14:paraId="52AD7987" w14:textId="1DD5334E" w:rsidR="003A7D9E" w:rsidRPr="00532E60" w:rsidRDefault="00532E60" w:rsidP="003A7D9E">
            <w:pPr>
              <w:rPr>
                <w:sz w:val="20"/>
                <w:szCs w:val="20"/>
              </w:rPr>
            </w:pPr>
            <w:r w:rsidRPr="00A37419">
              <w:rPr>
                <w:sz w:val="20"/>
                <w:szCs w:val="20"/>
              </w:rPr>
              <w:t>email: nczisk@nczisk.sk</w:t>
            </w:r>
          </w:p>
        </w:tc>
      </w:tr>
      <w:tr w:rsidR="00843A80" w:rsidRPr="00A362EB" w14:paraId="5B46CD6C" w14:textId="77777777" w:rsidTr="00854B8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21412575" w14:textId="77777777" w:rsidR="00843A80" w:rsidRPr="00A362EB" w:rsidRDefault="00843A80" w:rsidP="00854B8B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Zdroje</w:t>
            </w:r>
          </w:p>
        </w:tc>
      </w:tr>
      <w:tr w:rsidR="00843A80" w:rsidRPr="00A362EB" w14:paraId="6F8CCB63" w14:textId="77777777" w:rsidTr="00854B8B">
        <w:trPr>
          <w:trHeight w:val="401"/>
        </w:trPr>
        <w:tc>
          <w:tcPr>
            <w:tcW w:w="91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1E47" w14:textId="77777777" w:rsidR="00843A80" w:rsidRPr="002C5BAE" w:rsidRDefault="00843A80" w:rsidP="00843A80">
            <w:pPr>
              <w:jc w:val="both"/>
              <w:rPr>
                <w:i/>
                <w:sz w:val="20"/>
                <w:szCs w:val="20"/>
              </w:rPr>
            </w:pPr>
            <w:r w:rsidRPr="002C5BAE">
              <w:rPr>
                <w:i/>
                <w:sz w:val="20"/>
                <w:szCs w:val="20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2C5BAE">
              <w:rPr>
                <w:sz w:val="20"/>
                <w:szCs w:val="20"/>
              </w:rPr>
              <w:t xml:space="preserve"> </w:t>
            </w:r>
          </w:p>
          <w:p w14:paraId="2A85711F" w14:textId="77777777" w:rsidR="00843A80" w:rsidRPr="002C5BAE" w:rsidRDefault="00843A80" w:rsidP="00843A80">
            <w:pPr>
              <w:rPr>
                <w:i/>
                <w:sz w:val="20"/>
                <w:szCs w:val="20"/>
              </w:rPr>
            </w:pPr>
          </w:p>
          <w:p w14:paraId="5C51783E" w14:textId="6FFA3B8D" w:rsidR="00843A80" w:rsidRPr="002C5BAE" w:rsidRDefault="00843A80" w:rsidP="00982C29">
            <w:pPr>
              <w:jc w:val="both"/>
              <w:rPr>
                <w:i/>
                <w:sz w:val="20"/>
                <w:szCs w:val="20"/>
              </w:rPr>
            </w:pPr>
            <w:r w:rsidRPr="002C5BAE">
              <w:rPr>
                <w:sz w:val="20"/>
                <w:szCs w:val="20"/>
              </w:rPr>
              <w:t xml:space="preserve">Navrhovaná právna úprava </w:t>
            </w:r>
            <w:r w:rsidR="002C5BAE">
              <w:rPr>
                <w:sz w:val="20"/>
                <w:szCs w:val="20"/>
              </w:rPr>
              <w:t xml:space="preserve">je výsledkom diskusii </w:t>
            </w:r>
            <w:r w:rsidR="00982C29">
              <w:rPr>
                <w:sz w:val="20"/>
                <w:szCs w:val="20"/>
              </w:rPr>
              <w:t xml:space="preserve">o vykonateľnosti určitých častí zákona č. </w:t>
            </w:r>
            <w:r w:rsidR="00532E60">
              <w:rPr>
                <w:sz w:val="20"/>
                <w:szCs w:val="20"/>
              </w:rPr>
              <w:t>153/</w:t>
            </w:r>
            <w:r w:rsidR="00982C29">
              <w:rPr>
                <w:sz w:val="20"/>
                <w:szCs w:val="20"/>
              </w:rPr>
              <w:t>201</w:t>
            </w:r>
            <w:r w:rsidR="00532E60">
              <w:rPr>
                <w:sz w:val="20"/>
                <w:szCs w:val="20"/>
              </w:rPr>
              <w:t>3</w:t>
            </w:r>
            <w:r w:rsidR="00982C29">
              <w:rPr>
                <w:sz w:val="20"/>
                <w:szCs w:val="20"/>
              </w:rPr>
              <w:t xml:space="preserve"> Z. z. </w:t>
            </w:r>
            <w:r w:rsidR="00C50DEF">
              <w:rPr>
                <w:sz w:val="20"/>
                <w:szCs w:val="20"/>
              </w:rPr>
              <w:t>a</w:t>
            </w:r>
            <w:r w:rsidR="00CF0E10">
              <w:rPr>
                <w:sz w:val="20"/>
                <w:szCs w:val="20"/>
              </w:rPr>
              <w:t> </w:t>
            </w:r>
            <w:r w:rsidR="00C50DEF">
              <w:rPr>
                <w:sz w:val="20"/>
                <w:szCs w:val="20"/>
              </w:rPr>
              <w:t>zhody</w:t>
            </w:r>
            <w:r w:rsidR="00CF0E10">
              <w:rPr>
                <w:sz w:val="20"/>
                <w:szCs w:val="20"/>
              </w:rPr>
              <w:t xml:space="preserve"> o ďalšom postupe</w:t>
            </w:r>
            <w:r w:rsidR="00C50DEF">
              <w:rPr>
                <w:sz w:val="20"/>
                <w:szCs w:val="20"/>
              </w:rPr>
              <w:t xml:space="preserve"> </w:t>
            </w:r>
            <w:r w:rsidR="002C5BAE">
              <w:rPr>
                <w:sz w:val="20"/>
                <w:szCs w:val="20"/>
              </w:rPr>
              <w:t xml:space="preserve">na úrovni </w:t>
            </w:r>
            <w:r w:rsidR="00E11FB7">
              <w:rPr>
                <w:sz w:val="20"/>
                <w:szCs w:val="20"/>
              </w:rPr>
              <w:t xml:space="preserve">zástupcov </w:t>
            </w:r>
            <w:r w:rsidR="002C5BAE">
              <w:rPr>
                <w:sz w:val="20"/>
                <w:szCs w:val="20"/>
              </w:rPr>
              <w:t>ministerstva zdravotníctva a</w:t>
            </w:r>
            <w:r w:rsidR="00532E60">
              <w:rPr>
                <w:sz w:val="20"/>
                <w:szCs w:val="20"/>
              </w:rPr>
              <w:t> poskytovateľov zdravotnej starostlivosti</w:t>
            </w:r>
            <w:r w:rsidR="00E11FB7">
              <w:rPr>
                <w:sz w:val="20"/>
                <w:szCs w:val="20"/>
              </w:rPr>
              <w:t xml:space="preserve">, zdravotných poisťovní a samosprávnych krajov. </w:t>
            </w:r>
          </w:p>
          <w:p w14:paraId="40A75C4D" w14:textId="46A52CF9" w:rsidR="00843A80" w:rsidRPr="00A362EB" w:rsidRDefault="00843A80" w:rsidP="00854B8B">
            <w:pPr>
              <w:rPr>
                <w:i/>
                <w:sz w:val="20"/>
                <w:szCs w:val="20"/>
              </w:rPr>
            </w:pPr>
          </w:p>
        </w:tc>
      </w:tr>
      <w:tr w:rsidR="00843A80" w:rsidRPr="00A362EB" w14:paraId="4C242E92" w14:textId="77777777" w:rsidTr="00854B8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076397DE" w14:textId="77777777" w:rsidR="00843A80" w:rsidRPr="00A362EB" w:rsidRDefault="00843A80" w:rsidP="00854B8B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Stanovisko Komisie na posudzovanie vybraných vplyvov z PPK č. ..........</w:t>
            </w:r>
            <w:r w:rsidRPr="00A362EB">
              <w:rPr>
                <w:rFonts w:eastAsia="Calibri"/>
              </w:rPr>
              <w:t xml:space="preserve"> </w:t>
            </w:r>
          </w:p>
          <w:p w14:paraId="12C5DFB7" w14:textId="77777777" w:rsidR="00843A80" w:rsidRPr="00A362EB" w:rsidRDefault="00843A80" w:rsidP="00854B8B">
            <w:pPr>
              <w:ind w:left="502"/>
              <w:rPr>
                <w:b/>
                <w:sz w:val="20"/>
                <w:szCs w:val="20"/>
              </w:rPr>
            </w:pPr>
            <w:r w:rsidRPr="00A362EB">
              <w:rPr>
                <w:rFonts w:eastAsia="Calibri"/>
              </w:rPr>
              <w:t>(v prípade, ak sa uskutočnilo v zmysle bodu 8.1 Jednotnej metodiky)</w:t>
            </w:r>
          </w:p>
        </w:tc>
      </w:tr>
      <w:tr w:rsidR="00843A80" w:rsidRPr="00A362EB" w14:paraId="77097235" w14:textId="77777777" w:rsidTr="00854B8B">
        <w:trPr>
          <w:trHeight w:val="70"/>
        </w:trPr>
        <w:tc>
          <w:tcPr>
            <w:tcW w:w="91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B6EA2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</w:p>
          <w:tbl>
            <w:tblPr>
              <w:tblStyle w:val="Mriekatabuky1"/>
              <w:tblW w:w="8910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3826"/>
              <w:gridCol w:w="2533"/>
            </w:tblGrid>
            <w:tr w:rsidR="00843A80" w:rsidRPr="00A362EB" w14:paraId="31EFA031" w14:textId="77777777" w:rsidTr="00854B8B">
              <w:trPr>
                <w:trHeight w:val="396"/>
              </w:trPr>
              <w:tc>
                <w:tcPr>
                  <w:tcW w:w="2552" w:type="dxa"/>
                  <w:hideMark/>
                </w:tcPr>
                <w:p w14:paraId="6E6FFD4A" w14:textId="77777777" w:rsidR="00843A80" w:rsidRPr="00A362EB" w:rsidRDefault="00E430DC" w:rsidP="00854B8B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A80" w:rsidRPr="00A362EB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43A80" w:rsidRPr="00A362EB">
                    <w:rPr>
                      <w:b/>
                      <w:sz w:val="20"/>
                      <w:szCs w:val="20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  <w:hideMark/>
                </w:tcPr>
                <w:p w14:paraId="5954E1D0" w14:textId="77777777" w:rsidR="00843A80" w:rsidRPr="00A362EB" w:rsidRDefault="00E430DC" w:rsidP="00854B8B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A80" w:rsidRPr="00A362EB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43A80" w:rsidRPr="00A362EB">
                    <w:rPr>
                      <w:b/>
                      <w:sz w:val="20"/>
                      <w:szCs w:val="20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  <w:hideMark/>
                </w:tcPr>
                <w:p w14:paraId="2867D1FD" w14:textId="2C45AE85" w:rsidR="00843A80" w:rsidRPr="00A362EB" w:rsidRDefault="00E430DC" w:rsidP="00854B8B">
                  <w:pPr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5BAE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43A80" w:rsidRPr="00A362EB">
                    <w:rPr>
                      <w:b/>
                      <w:sz w:val="20"/>
                      <w:szCs w:val="20"/>
                    </w:rPr>
                    <w:t xml:space="preserve">  Nesúhlasné</w:t>
                  </w:r>
                </w:p>
              </w:tc>
            </w:tr>
          </w:tbl>
          <w:p w14:paraId="50E14401" w14:textId="77777777" w:rsidR="00843A80" w:rsidRPr="00A362EB" w:rsidRDefault="00843A80" w:rsidP="00854B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A362EB">
              <w:rPr>
                <w:b/>
                <w:sz w:val="20"/>
                <w:szCs w:val="20"/>
              </w:rPr>
              <w:t>ripomienky zo stanoviska Komisie z časti II. spolu vyhodnotením:</w:t>
            </w:r>
          </w:p>
          <w:p w14:paraId="710C1188" w14:textId="77777777" w:rsidR="00843A80" w:rsidRPr="00A362EB" w:rsidRDefault="00843A80" w:rsidP="00843A80">
            <w:pPr>
              <w:pStyle w:val="z00e1kladn00fd0020text"/>
              <w:spacing w:after="0" w:line="240" w:lineRule="atLeast"/>
              <w:jc w:val="both"/>
              <w:rPr>
                <w:b/>
              </w:rPr>
            </w:pPr>
          </w:p>
        </w:tc>
      </w:tr>
      <w:tr w:rsidR="00843A80" w:rsidRPr="00A362EB" w14:paraId="0AC3ECE0" w14:textId="77777777" w:rsidTr="00854B8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06F595C" w14:textId="77777777" w:rsidR="00843A80" w:rsidRPr="00A362EB" w:rsidRDefault="00843A80" w:rsidP="00854B8B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62EB">
              <w:rPr>
                <w:rFonts w:eastAsia="Calibri"/>
                <w:b/>
              </w:rPr>
              <w:t>Stanovisko Komisie na posudzovanie vybraných vplyvov zo záverečného posúdenia č. ..........</w:t>
            </w:r>
            <w:r w:rsidRPr="00A362EB">
              <w:rPr>
                <w:rFonts w:eastAsia="Calibri"/>
              </w:rPr>
              <w:t xml:space="preserve"> (v prípade, ak sa uskutočnilo v zmysle bodu 9.1. Jednotnej metodiky) </w:t>
            </w:r>
          </w:p>
        </w:tc>
      </w:tr>
      <w:tr w:rsidR="00843A80" w:rsidRPr="00A362EB" w14:paraId="52E93CDE" w14:textId="77777777" w:rsidTr="00854B8B">
        <w:tc>
          <w:tcPr>
            <w:tcW w:w="91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07AC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</w:p>
          <w:tbl>
            <w:tblPr>
              <w:tblStyle w:val="Mriekatabuky1"/>
              <w:tblW w:w="8910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3826"/>
              <w:gridCol w:w="2533"/>
            </w:tblGrid>
            <w:tr w:rsidR="00843A80" w:rsidRPr="00A362EB" w14:paraId="02EC4555" w14:textId="77777777" w:rsidTr="00854B8B">
              <w:trPr>
                <w:trHeight w:val="396"/>
              </w:trPr>
              <w:tc>
                <w:tcPr>
                  <w:tcW w:w="2552" w:type="dxa"/>
                  <w:hideMark/>
                </w:tcPr>
                <w:p w14:paraId="072A111A" w14:textId="77777777" w:rsidR="00843A80" w:rsidRPr="00A362EB" w:rsidRDefault="00E430DC" w:rsidP="00854B8B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A80" w:rsidRPr="00A362EB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43A80" w:rsidRPr="00A362EB">
                    <w:rPr>
                      <w:b/>
                      <w:sz w:val="20"/>
                      <w:szCs w:val="20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  <w:hideMark/>
                </w:tcPr>
                <w:p w14:paraId="73DECE16" w14:textId="77777777" w:rsidR="00843A80" w:rsidRPr="00A362EB" w:rsidRDefault="00E430DC" w:rsidP="00854B8B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A80" w:rsidRPr="00A362EB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43A80" w:rsidRPr="00A362EB">
                    <w:rPr>
                      <w:b/>
                      <w:sz w:val="20"/>
                      <w:szCs w:val="20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  <w:hideMark/>
                </w:tcPr>
                <w:p w14:paraId="4595124F" w14:textId="77777777" w:rsidR="00843A80" w:rsidRPr="00A362EB" w:rsidRDefault="00E430DC" w:rsidP="00854B8B">
                  <w:pPr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A80" w:rsidRPr="00A362EB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43A80" w:rsidRPr="00A362EB">
                    <w:rPr>
                      <w:b/>
                      <w:sz w:val="20"/>
                      <w:szCs w:val="20"/>
                    </w:rPr>
                    <w:t xml:space="preserve">  Nesúhlasné</w:t>
                  </w:r>
                </w:p>
              </w:tc>
            </w:tr>
          </w:tbl>
          <w:p w14:paraId="3D2C7F2F" w14:textId="77777777" w:rsidR="00843A80" w:rsidRPr="00A362EB" w:rsidRDefault="00843A80" w:rsidP="00854B8B">
            <w:pPr>
              <w:jc w:val="both"/>
              <w:rPr>
                <w:b/>
                <w:sz w:val="20"/>
                <w:szCs w:val="20"/>
              </w:rPr>
            </w:pPr>
            <w:r w:rsidRPr="00A362EB">
              <w:rPr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14:paraId="6F17F57B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</w:p>
          <w:p w14:paraId="05316480" w14:textId="77777777" w:rsidR="00843A80" w:rsidRPr="00A362EB" w:rsidRDefault="00843A80" w:rsidP="00854B8B">
            <w:pPr>
              <w:rPr>
                <w:b/>
                <w:sz w:val="20"/>
                <w:szCs w:val="20"/>
              </w:rPr>
            </w:pPr>
          </w:p>
        </w:tc>
      </w:tr>
    </w:tbl>
    <w:p w14:paraId="3C6D9F82" w14:textId="77777777" w:rsidR="005009C9" w:rsidRDefault="005009C9"/>
    <w:sectPr w:rsidR="0050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B8A7" w14:textId="77777777" w:rsidR="00E430DC" w:rsidRDefault="00E430DC" w:rsidP="000D4C95">
      <w:r>
        <w:separator/>
      </w:r>
    </w:p>
  </w:endnote>
  <w:endnote w:type="continuationSeparator" w:id="0">
    <w:p w14:paraId="19261CA0" w14:textId="77777777" w:rsidR="00E430DC" w:rsidRDefault="00E430DC" w:rsidP="000D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B1708" w14:textId="77777777" w:rsidR="00E430DC" w:rsidRDefault="00E430DC" w:rsidP="000D4C95">
      <w:r>
        <w:separator/>
      </w:r>
    </w:p>
  </w:footnote>
  <w:footnote w:type="continuationSeparator" w:id="0">
    <w:p w14:paraId="3DAB9BBE" w14:textId="77777777" w:rsidR="00E430DC" w:rsidRDefault="00E430DC" w:rsidP="000D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A78"/>
    <w:multiLevelType w:val="hybridMultilevel"/>
    <w:tmpl w:val="709EB770"/>
    <w:lvl w:ilvl="0" w:tplc="215ACC54">
      <w:start w:val="8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80"/>
    <w:rsid w:val="00011D98"/>
    <w:rsid w:val="00071124"/>
    <w:rsid w:val="00087307"/>
    <w:rsid w:val="000B2A24"/>
    <w:rsid w:val="000D4C95"/>
    <w:rsid w:val="001108D0"/>
    <w:rsid w:val="001435A7"/>
    <w:rsid w:val="001D424B"/>
    <w:rsid w:val="001E2244"/>
    <w:rsid w:val="001F4213"/>
    <w:rsid w:val="00230D71"/>
    <w:rsid w:val="002C5BAE"/>
    <w:rsid w:val="002D7855"/>
    <w:rsid w:val="00337169"/>
    <w:rsid w:val="003836A7"/>
    <w:rsid w:val="003A253E"/>
    <w:rsid w:val="003A7D9E"/>
    <w:rsid w:val="003B1549"/>
    <w:rsid w:val="003C2160"/>
    <w:rsid w:val="003C3287"/>
    <w:rsid w:val="003D4347"/>
    <w:rsid w:val="003E0792"/>
    <w:rsid w:val="00411A43"/>
    <w:rsid w:val="004124DD"/>
    <w:rsid w:val="004340E4"/>
    <w:rsid w:val="00442736"/>
    <w:rsid w:val="004512FF"/>
    <w:rsid w:val="00460E99"/>
    <w:rsid w:val="004A45BD"/>
    <w:rsid w:val="004B0819"/>
    <w:rsid w:val="004F570E"/>
    <w:rsid w:val="004F59B7"/>
    <w:rsid w:val="005009C9"/>
    <w:rsid w:val="005038F2"/>
    <w:rsid w:val="00505ADF"/>
    <w:rsid w:val="00532E60"/>
    <w:rsid w:val="00545627"/>
    <w:rsid w:val="00573969"/>
    <w:rsid w:val="00591BA5"/>
    <w:rsid w:val="005968ED"/>
    <w:rsid w:val="005F58A3"/>
    <w:rsid w:val="00622489"/>
    <w:rsid w:val="00650D73"/>
    <w:rsid w:val="00653D54"/>
    <w:rsid w:val="006A579E"/>
    <w:rsid w:val="006A6905"/>
    <w:rsid w:val="006F099E"/>
    <w:rsid w:val="00703A7F"/>
    <w:rsid w:val="007136F9"/>
    <w:rsid w:val="007559F1"/>
    <w:rsid w:val="00780613"/>
    <w:rsid w:val="00785F8D"/>
    <w:rsid w:val="00793892"/>
    <w:rsid w:val="00843A80"/>
    <w:rsid w:val="00854EDF"/>
    <w:rsid w:val="0086116D"/>
    <w:rsid w:val="00863FB8"/>
    <w:rsid w:val="008A33D1"/>
    <w:rsid w:val="008D63F0"/>
    <w:rsid w:val="00903347"/>
    <w:rsid w:val="009206F4"/>
    <w:rsid w:val="00924B07"/>
    <w:rsid w:val="00925F91"/>
    <w:rsid w:val="00940A71"/>
    <w:rsid w:val="00971B1A"/>
    <w:rsid w:val="00975CB8"/>
    <w:rsid w:val="00982C29"/>
    <w:rsid w:val="009A1714"/>
    <w:rsid w:val="009A404B"/>
    <w:rsid w:val="009B0307"/>
    <w:rsid w:val="009B5615"/>
    <w:rsid w:val="009D0B36"/>
    <w:rsid w:val="009D5866"/>
    <w:rsid w:val="00A130D7"/>
    <w:rsid w:val="00A37419"/>
    <w:rsid w:val="00A45A27"/>
    <w:rsid w:val="00A6409B"/>
    <w:rsid w:val="00A80694"/>
    <w:rsid w:val="00AA651C"/>
    <w:rsid w:val="00AF3235"/>
    <w:rsid w:val="00AF6BBD"/>
    <w:rsid w:val="00B2241C"/>
    <w:rsid w:val="00B44AD3"/>
    <w:rsid w:val="00B50587"/>
    <w:rsid w:val="00B6258A"/>
    <w:rsid w:val="00BA5E68"/>
    <w:rsid w:val="00BB3309"/>
    <w:rsid w:val="00BB4350"/>
    <w:rsid w:val="00C00BE2"/>
    <w:rsid w:val="00C10D04"/>
    <w:rsid w:val="00C12AC7"/>
    <w:rsid w:val="00C50DEF"/>
    <w:rsid w:val="00C6657D"/>
    <w:rsid w:val="00C814E5"/>
    <w:rsid w:val="00C9380F"/>
    <w:rsid w:val="00CA2447"/>
    <w:rsid w:val="00CD4C51"/>
    <w:rsid w:val="00CD5640"/>
    <w:rsid w:val="00CE60BB"/>
    <w:rsid w:val="00CF0E10"/>
    <w:rsid w:val="00D20242"/>
    <w:rsid w:val="00D220A9"/>
    <w:rsid w:val="00D256FC"/>
    <w:rsid w:val="00D557AE"/>
    <w:rsid w:val="00D7039A"/>
    <w:rsid w:val="00D7604D"/>
    <w:rsid w:val="00DB2259"/>
    <w:rsid w:val="00DB4736"/>
    <w:rsid w:val="00DE38BC"/>
    <w:rsid w:val="00E03698"/>
    <w:rsid w:val="00E11FB7"/>
    <w:rsid w:val="00E2043C"/>
    <w:rsid w:val="00E22C0B"/>
    <w:rsid w:val="00E30186"/>
    <w:rsid w:val="00E40769"/>
    <w:rsid w:val="00E430DC"/>
    <w:rsid w:val="00E501F7"/>
    <w:rsid w:val="00E55E75"/>
    <w:rsid w:val="00E73D11"/>
    <w:rsid w:val="00E7626A"/>
    <w:rsid w:val="00EC51B1"/>
    <w:rsid w:val="00EF5C0B"/>
    <w:rsid w:val="00F36C9A"/>
    <w:rsid w:val="00F50B27"/>
    <w:rsid w:val="00F92740"/>
    <w:rsid w:val="00FD6B5A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617D"/>
  <w15:chartTrackingRefBased/>
  <w15:docId w15:val="{A2D702B9-3F55-4C7E-854C-6DEA14A6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A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43A80"/>
    <w:rPr>
      <w:color w:val="0000FF"/>
      <w:u w:val="single"/>
    </w:rPr>
  </w:style>
  <w:style w:type="paragraph" w:customStyle="1" w:styleId="Default">
    <w:name w:val="Default"/>
    <w:rsid w:val="00843A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843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00e1lnychar1">
    <w:name w:val="norm_00e1lny__char1"/>
    <w:rsid w:val="00843A80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customStyle="1" w:styleId="z00e1kladn00fd0020textchar1">
    <w:name w:val="z_00e1kladn_00fd_0020text__char1"/>
    <w:rsid w:val="00843A80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843A80"/>
    <w:pPr>
      <w:spacing w:line="200" w:lineRule="atLeast"/>
    </w:pPr>
    <w:rPr>
      <w:sz w:val="20"/>
      <w:szCs w:val="20"/>
    </w:rPr>
  </w:style>
  <w:style w:type="paragraph" w:customStyle="1" w:styleId="z00e1kladn00fd0020text">
    <w:name w:val="z_00e1kladn_00fd_0020text"/>
    <w:basedOn w:val="Normlny"/>
    <w:rsid w:val="00843A80"/>
    <w:pPr>
      <w:spacing w:after="120" w:line="200" w:lineRule="atLeast"/>
    </w:pPr>
    <w:rPr>
      <w:sz w:val="20"/>
      <w:szCs w:val="20"/>
    </w:rPr>
  </w:style>
  <w:style w:type="table" w:styleId="Mriekatabuky">
    <w:name w:val="Table Grid"/>
    <w:basedOn w:val="Normlnatabuka"/>
    <w:uiPriority w:val="39"/>
    <w:rsid w:val="0084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43A80"/>
    <w:pPr>
      <w:ind w:left="720"/>
      <w:contextualSpacing/>
    </w:pPr>
  </w:style>
  <w:style w:type="paragraph" w:styleId="Normlnywebov">
    <w:name w:val="Normal (Web)"/>
    <w:aliases w:val="webb"/>
    <w:basedOn w:val="Normlny"/>
    <w:uiPriority w:val="99"/>
    <w:unhideWhenUsed/>
    <w:qFormat/>
    <w:rsid w:val="00843A80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C665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57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57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4C95"/>
    <w:pPr>
      <w:jc w:val="both"/>
    </w:pPr>
    <w:rPr>
      <w:rFonts w:ascii="Arial Narrow" w:eastAsiaTheme="minorHAnsi" w:hAnsi="Arial Narrow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4C95"/>
    <w:rPr>
      <w:rFonts w:ascii="Arial Narrow" w:hAnsi="Arial Narrow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4C9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5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570E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4E1FCEBA93549AF9D0C94F315E52B" ma:contentTypeVersion="14" ma:contentTypeDescription="Umožňuje vytvoriť nový dokument." ma:contentTypeScope="" ma:versionID="ce39b1985e18a1b118de43bc238b2c71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830014c22672467c3d306b9e1f700465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BE6DE-4975-47B5-A794-019ED7E79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E1AC-00DE-48A6-8B81-AC545560E15C}">
  <ds:schemaRefs>
    <ds:schemaRef ds:uri="http://schemas.microsoft.com/office/2006/metadata/properties"/>
    <ds:schemaRef ds:uri="http://schemas.microsoft.com/office/infopath/2007/PartnerControls"/>
    <ds:schemaRef ds:uri="3a0606dd-bf36-4def-9284-cd3cc8bb8967"/>
    <ds:schemaRef ds:uri="856c868e-d386-4b40-a6b9-c2d94f442fd3"/>
  </ds:schemaRefs>
</ds:datastoreItem>
</file>

<file path=customXml/itemProps3.xml><?xml version="1.0" encoding="utf-8"?>
<ds:datastoreItem xmlns:ds="http://schemas.openxmlformats.org/officeDocument/2006/customXml" ds:itemID="{CF2065BB-633E-4200-B292-13DEE5E9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Kostičová Zuzana</dc:creator>
  <cp:keywords/>
  <dc:description/>
  <cp:lastModifiedBy>Szakácsová Zuzana</cp:lastModifiedBy>
  <cp:revision>2</cp:revision>
  <dcterms:created xsi:type="dcterms:W3CDTF">2023-11-29T13:46:00Z</dcterms:created>
  <dcterms:modified xsi:type="dcterms:W3CDTF">2023-11-29T13:46:00Z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0x0101006E54E1FCEBA93549AF9D0C94F315E52B</vt:lpwstr>
  </property>
  <property fmtid="{D5CDD505-2E9C-101B-9397-08002B2CF9AE}" pid="3" name="MediaServiceImageTags">
    <vt:lpwstr/>
  </property>
</Properties>
</file>