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425EB80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3C317B">
        <w:rPr>
          <w:rFonts w:ascii="Times New Roman" w:eastAsia="Calibri" w:hAnsi="Times New Roman" w:cs="Times New Roman"/>
          <w:b/>
          <w:sz w:val="24"/>
          <w:szCs w:val="24"/>
        </w:rPr>
        <w:t xml:space="preserve"> </w:t>
      </w:r>
      <w:r w:rsidR="006D00EE">
        <w:rPr>
          <w:rFonts w:ascii="Times New Roman" w:eastAsia="Calibri" w:hAnsi="Times New Roman" w:cs="Times New Roman"/>
          <w:sz w:val="24"/>
          <w:szCs w:val="24"/>
        </w:rPr>
        <w:t>Vládny n</w:t>
      </w:r>
      <w:r w:rsidR="00254C85" w:rsidRPr="001F58F3">
        <w:rPr>
          <w:rFonts w:ascii="Times New Roman" w:eastAsia="Calibri" w:hAnsi="Times New Roman" w:cs="Times New Roman"/>
          <w:sz w:val="24"/>
          <w:szCs w:val="24"/>
        </w:rPr>
        <w:t>ávrh z</w:t>
      </w:r>
      <w:r w:rsidR="003C317B" w:rsidRPr="001F58F3">
        <w:rPr>
          <w:rFonts w:ascii="Times New Roman" w:eastAsia="Calibri" w:hAnsi="Times New Roman" w:cs="Times New Roman"/>
          <w:sz w:val="24"/>
          <w:szCs w:val="24"/>
        </w:rPr>
        <w:t>ákon</w:t>
      </w:r>
      <w:r w:rsidR="00254C85" w:rsidRPr="001F58F3">
        <w:rPr>
          <w:rFonts w:ascii="Times New Roman" w:eastAsia="Calibri" w:hAnsi="Times New Roman" w:cs="Times New Roman"/>
          <w:sz w:val="24"/>
          <w:szCs w:val="24"/>
        </w:rPr>
        <w:t>a</w:t>
      </w:r>
      <w:r w:rsidR="003C317B" w:rsidRPr="001F58F3">
        <w:rPr>
          <w:rFonts w:ascii="Times New Roman" w:eastAsia="Calibri" w:hAnsi="Times New Roman" w:cs="Times New Roman"/>
          <w:sz w:val="24"/>
          <w:szCs w:val="24"/>
        </w:rPr>
        <w:t xml:space="preserve"> </w:t>
      </w:r>
      <w:r w:rsidR="00082A5E" w:rsidRPr="001F58F3">
        <w:rPr>
          <w:rFonts w:ascii="Times New Roman" w:eastAsia="Calibri" w:hAnsi="Times New Roman" w:cs="Times New Roman"/>
          <w:sz w:val="24"/>
          <w:szCs w:val="24"/>
        </w:rPr>
        <w:t>o pomoci pri splácaní úveru na bývanie a o zmene a doplnení niektorých zákonov</w:t>
      </w:r>
    </w:p>
    <w:p w14:paraId="259AACC7" w14:textId="2E372EEC" w:rsidR="003C317B" w:rsidRDefault="00054C41" w:rsidP="003C317B">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Predkladateľ:</w:t>
      </w:r>
      <w:r w:rsidR="003C317B">
        <w:rPr>
          <w:rFonts w:ascii="Times New Roman" w:eastAsia="Calibri" w:hAnsi="Times New Roman" w:cs="Times New Roman"/>
          <w:b/>
          <w:sz w:val="24"/>
          <w:szCs w:val="24"/>
        </w:rPr>
        <w:t xml:space="preserve"> </w:t>
      </w:r>
      <w:r w:rsidR="003C317B" w:rsidRPr="001F6ECE">
        <w:rPr>
          <w:rFonts w:ascii="Times New Roman" w:eastAsia="Calibri" w:hAnsi="Times New Roman" w:cs="Times New Roman"/>
          <w:sz w:val="24"/>
          <w:szCs w:val="24"/>
        </w:rPr>
        <w:t xml:space="preserve">Ministerstvo </w:t>
      </w:r>
      <w:r w:rsidR="00082A5E">
        <w:rPr>
          <w:rFonts w:ascii="Times New Roman" w:eastAsia="Calibri" w:hAnsi="Times New Roman" w:cs="Times New Roman"/>
          <w:sz w:val="24"/>
          <w:szCs w:val="24"/>
        </w:rPr>
        <w:t>práce, sociálnych vecí a rodiny Slovenskej republiky</w:t>
      </w:r>
    </w:p>
    <w:p w14:paraId="515DBCE3" w14:textId="66FC2606"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0D0741"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0DFBC5E1" w:rsidR="000D0741" w:rsidRPr="00C929AE" w:rsidRDefault="000D0741" w:rsidP="000D0741">
            <w:pPr>
              <w:spacing w:after="0" w:line="240" w:lineRule="auto"/>
              <w:jc w:val="center"/>
              <w:rPr>
                <w:rFonts w:ascii="Times New Roman" w:eastAsia="Times New Roman" w:hAnsi="Times New Roman" w:cs="Times New Roman"/>
                <w:b/>
                <w:bCs/>
                <w:i/>
                <w:iCs/>
                <w:color w:val="000000"/>
                <w:sz w:val="20"/>
                <w:szCs w:val="20"/>
                <w:lang w:eastAsia="sk-SK"/>
              </w:rPr>
            </w:pPr>
            <w:r>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341B055A"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3A0A177"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Zníženie nákladov v € na PP</w:t>
            </w:r>
          </w:p>
        </w:tc>
      </w:tr>
      <w:tr w:rsidR="000D0741" w:rsidRPr="00C929AE" w14:paraId="0F790483"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5ABF24F3" w:rsidR="000D0741" w:rsidRPr="00C929AE" w:rsidRDefault="000D0741" w:rsidP="000D0741">
            <w:pPr>
              <w:spacing w:after="0" w:line="240" w:lineRule="auto"/>
              <w:rPr>
                <w:rFonts w:ascii="Times New Roman" w:eastAsia="Times New Roman" w:hAnsi="Times New Roman" w:cs="Times New Roman"/>
                <w:b/>
                <w:bCs/>
                <w:i/>
                <w:iCs/>
                <w:color w:val="000000"/>
                <w:sz w:val="20"/>
                <w:szCs w:val="20"/>
                <w:lang w:eastAsia="sk-SK"/>
              </w:rPr>
            </w:pPr>
            <w:r>
              <w:rPr>
                <w:b/>
                <w:bCs/>
                <w:i/>
                <w:iCs/>
                <w:color w:val="000000"/>
                <w:sz w:val="20"/>
                <w:szCs w:val="20"/>
              </w:rPr>
              <w:t xml:space="preserve">A. Dane, odvody, clá a poplatky, ktorých cieľom je znižovať negatívne </w:t>
            </w:r>
            <w:proofErr w:type="spellStart"/>
            <w:r>
              <w:rPr>
                <w:b/>
                <w:bCs/>
                <w:i/>
                <w:iCs/>
                <w:color w:val="000000"/>
                <w:sz w:val="20"/>
                <w:szCs w:val="20"/>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0B4F0D8F"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79388C13"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0D0741" w:rsidRPr="00C929AE" w14:paraId="37B64D12" w14:textId="77777777"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2AF89C7D" w:rsidR="000D0741" w:rsidRPr="00C929AE" w:rsidRDefault="000D0741" w:rsidP="000D0741">
            <w:pPr>
              <w:spacing w:after="0" w:line="240" w:lineRule="auto"/>
              <w:rPr>
                <w:rFonts w:ascii="Times New Roman" w:eastAsia="Times New Roman" w:hAnsi="Times New Roman" w:cs="Times New Roman"/>
                <w:b/>
                <w:bCs/>
                <w:i/>
                <w:iCs/>
                <w:color w:val="000000"/>
                <w:sz w:val="20"/>
                <w:szCs w:val="20"/>
                <w:lang w:eastAsia="sk-SK"/>
              </w:rPr>
            </w:pPr>
            <w:r>
              <w:rPr>
                <w:b/>
                <w:bCs/>
                <w:i/>
                <w:iCs/>
                <w:color w:val="000000"/>
                <w:sz w:val="20"/>
                <w:szCs w:val="20"/>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4EE44A43"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0B1C78E0"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0D0741" w:rsidRPr="00C929AE" w14:paraId="21231540" w14:textId="77777777"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217BEC8C" w:rsidR="000D0741" w:rsidRPr="00C929AE" w:rsidRDefault="000D0741" w:rsidP="000D0741">
            <w:pPr>
              <w:spacing w:after="0" w:line="240" w:lineRule="auto"/>
              <w:rPr>
                <w:rFonts w:ascii="Times New Roman" w:eastAsia="Times New Roman" w:hAnsi="Times New Roman" w:cs="Times New Roman"/>
                <w:b/>
                <w:bCs/>
                <w:i/>
                <w:iCs/>
                <w:color w:val="000000"/>
                <w:sz w:val="20"/>
                <w:szCs w:val="20"/>
                <w:lang w:eastAsia="sk-SK"/>
              </w:rPr>
            </w:pPr>
            <w:r>
              <w:rPr>
                <w:b/>
                <w:bCs/>
                <w:i/>
                <w:iCs/>
                <w:color w:val="000000"/>
                <w:sz w:val="20"/>
                <w:szCs w:val="20"/>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545B7843"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26B0BF56"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0D0741" w:rsidRPr="00C929AE" w14:paraId="280383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238B7F73" w:rsidR="000D0741" w:rsidRPr="00C929AE" w:rsidRDefault="000D0741" w:rsidP="000D0741">
            <w:pPr>
              <w:spacing w:after="0" w:line="240" w:lineRule="auto"/>
              <w:rPr>
                <w:rFonts w:ascii="Times New Roman" w:eastAsia="Times New Roman" w:hAnsi="Times New Roman" w:cs="Times New Roman"/>
                <w:b/>
                <w:bCs/>
                <w:i/>
                <w:iCs/>
                <w:color w:val="000000"/>
                <w:sz w:val="20"/>
                <w:szCs w:val="20"/>
                <w:lang w:eastAsia="sk-SK"/>
              </w:rPr>
            </w:pPr>
            <w:r>
              <w:rPr>
                <w:b/>
                <w:bCs/>
                <w:i/>
                <w:iCs/>
                <w:color w:val="000000"/>
                <w:sz w:val="20"/>
                <w:szCs w:val="20"/>
              </w:rPr>
              <w:t>D. Nepriame finančné náklady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1112873D"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105 000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00999D58"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0D0741" w:rsidRPr="00C929AE" w14:paraId="547BC8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505ABBF9" w:rsidR="000D0741" w:rsidRPr="00C929AE" w:rsidRDefault="000D0741" w:rsidP="000D0741">
            <w:pPr>
              <w:spacing w:after="0" w:line="240" w:lineRule="auto"/>
              <w:rPr>
                <w:rFonts w:ascii="Times New Roman" w:eastAsia="Times New Roman" w:hAnsi="Times New Roman" w:cs="Times New Roman"/>
                <w:b/>
                <w:bCs/>
                <w:i/>
                <w:iCs/>
                <w:color w:val="000000"/>
                <w:sz w:val="20"/>
                <w:szCs w:val="20"/>
                <w:lang w:eastAsia="sk-SK"/>
              </w:rPr>
            </w:pPr>
            <w:r>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09086118"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64 790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017ED495"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0D0741" w:rsidRPr="00C929AE" w14:paraId="10B7BDC5"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23B299FC" w:rsidR="000D0741" w:rsidRPr="00C929AE" w:rsidRDefault="000D0741" w:rsidP="000D0741">
            <w:pPr>
              <w:spacing w:after="0" w:line="240" w:lineRule="auto"/>
              <w:rPr>
                <w:rFonts w:ascii="Times New Roman" w:eastAsia="Times New Roman" w:hAnsi="Times New Roman" w:cs="Times New Roman"/>
                <w:b/>
                <w:bCs/>
                <w:i/>
                <w:iCs/>
                <w:color w:val="000000"/>
                <w:sz w:val="20"/>
                <w:szCs w:val="20"/>
                <w:lang w:eastAsia="sk-SK"/>
              </w:rPr>
            </w:pPr>
            <w:r>
              <w:rPr>
                <w:b/>
                <w:bCs/>
                <w:i/>
                <w:iCs/>
                <w:color w:val="000000"/>
                <w:sz w:val="20"/>
                <w:szCs w:val="20"/>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078BE232"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169 790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3FEE7594"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4307A5"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4307A5" w:rsidRPr="00C929AE" w:rsidRDefault="004307A5" w:rsidP="004307A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4307A5" w:rsidRPr="00C929AE" w:rsidRDefault="004307A5" w:rsidP="004307A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C929AE">
              <w:rPr>
                <w:rFonts w:ascii="Times New Roman" w:eastAsia="Times New Roman" w:hAnsi="Times New Roman" w:cs="Times New Roman"/>
                <w:i/>
                <w:iCs/>
                <w:color w:val="000000"/>
                <w:sz w:val="16"/>
                <w:szCs w:val="16"/>
                <w:lang w:eastAsia="sk-SK"/>
              </w:rPr>
              <w:t>externality</w:t>
            </w:r>
            <w:proofErr w:type="spellEnd"/>
            <w:r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44401B85" w:rsidR="004307A5" w:rsidRPr="00C929AE" w:rsidRDefault="004307A5" w:rsidP="004307A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61297FA3" w:rsidR="004307A5" w:rsidRPr="00C929AE" w:rsidRDefault="004307A5" w:rsidP="004307A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4307A5"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4307A5" w:rsidRPr="00C929AE" w:rsidRDefault="004307A5" w:rsidP="004307A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4307A5" w:rsidRPr="00C929AE" w:rsidRDefault="004307A5" w:rsidP="004307A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xml:space="preserve">. </w:t>
            </w:r>
            <w:proofErr w:type="spellStart"/>
            <w:r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2D41EF59" w:rsidR="004307A5" w:rsidRPr="00C929AE" w:rsidRDefault="004307A5" w:rsidP="004307A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58F7F9D1" w:rsidR="004307A5" w:rsidRPr="00C929AE" w:rsidRDefault="004307A5" w:rsidP="004307A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0D0741"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673584E9" w:rsidR="000D0741" w:rsidRPr="00C929AE" w:rsidRDefault="000D0741" w:rsidP="000D0741">
            <w:pPr>
              <w:spacing w:after="0" w:line="240" w:lineRule="auto"/>
              <w:rPr>
                <w:rFonts w:ascii="Times New Roman" w:eastAsia="Times New Roman" w:hAnsi="Times New Roman" w:cs="Times New Roman"/>
                <w:i/>
                <w:iCs/>
                <w:color w:val="000000"/>
                <w:sz w:val="20"/>
                <w:szCs w:val="20"/>
                <w:lang w:eastAsia="sk-SK"/>
              </w:rPr>
            </w:pPr>
            <w:r>
              <w:rPr>
                <w:i/>
                <w:iCs/>
                <w:color w:val="000000"/>
                <w:sz w:val="20"/>
                <w:szCs w:val="20"/>
              </w:rPr>
              <w:t>VÝPOČET PRAVIDLA 1in2out: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1E880AFE" w:rsidR="000D0741" w:rsidRPr="00C929AE" w:rsidRDefault="000D0741" w:rsidP="000D0741">
            <w:pPr>
              <w:spacing w:after="0" w:line="240" w:lineRule="auto"/>
              <w:jc w:val="center"/>
              <w:rPr>
                <w:rFonts w:ascii="Times New Roman" w:eastAsia="Times New Roman" w:hAnsi="Times New Roman" w:cs="Times New Roman"/>
                <w:color w:val="000000"/>
                <w:sz w:val="20"/>
                <w:szCs w:val="20"/>
                <w:lang w:eastAsia="sk-SK"/>
              </w:rPr>
            </w:pPr>
            <w:r>
              <w:rPr>
                <w:b/>
                <w:bCs/>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63DB0720" w:rsidR="000D0741" w:rsidRPr="00C929AE" w:rsidRDefault="000D0741" w:rsidP="000D0741">
            <w:pPr>
              <w:spacing w:after="0" w:line="240" w:lineRule="auto"/>
              <w:jc w:val="center"/>
              <w:rPr>
                <w:rFonts w:ascii="Times New Roman" w:eastAsia="Times New Roman" w:hAnsi="Times New Roman" w:cs="Times New Roman"/>
                <w:color w:val="000000"/>
                <w:sz w:val="20"/>
                <w:szCs w:val="20"/>
                <w:lang w:eastAsia="sk-SK"/>
              </w:rPr>
            </w:pPr>
            <w:r>
              <w:rPr>
                <w:b/>
                <w:bCs/>
                <w:color w:val="000000"/>
                <w:sz w:val="20"/>
                <w:szCs w:val="20"/>
              </w:rPr>
              <w:t>OUT</w:t>
            </w:r>
          </w:p>
        </w:tc>
      </w:tr>
      <w:tr w:rsidR="000D0741"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0D0741" w:rsidRPr="00C929AE" w:rsidRDefault="000D0741" w:rsidP="000D0741">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686A5A60" w:rsidR="000D0741" w:rsidRPr="00751DA9" w:rsidRDefault="000D0741" w:rsidP="000D0741">
            <w:pPr>
              <w:spacing w:after="0" w:line="240" w:lineRule="auto"/>
              <w:rPr>
                <w:rFonts w:ascii="Times New Roman" w:eastAsia="Times New Roman" w:hAnsi="Times New Roman" w:cs="Times New Roman"/>
                <w:i/>
                <w:iCs/>
                <w:color w:val="000000"/>
                <w:sz w:val="20"/>
                <w:szCs w:val="20"/>
                <w:lang w:eastAsia="sk-SK"/>
              </w:rPr>
            </w:pPr>
            <w:r>
              <w:rPr>
                <w:i/>
                <w:iCs/>
                <w:color w:val="000000"/>
                <w:sz w:val="20"/>
                <w:szCs w:val="20"/>
              </w:rPr>
              <w:t>H</w:t>
            </w:r>
            <w:r>
              <w:rPr>
                <w:b/>
                <w:bCs/>
                <w:i/>
                <w:iCs/>
                <w:color w:val="000000"/>
                <w:sz w:val="20"/>
                <w:szCs w:val="20"/>
              </w:rPr>
              <w:t>.</w:t>
            </w:r>
            <w:r>
              <w:rPr>
                <w:i/>
                <w:iCs/>
                <w:color w:val="000000"/>
                <w:sz w:val="20"/>
                <w:szCs w:val="20"/>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2903C4D2"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169 790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441D8763" w:rsidR="000D0741" w:rsidRPr="00C929AE" w:rsidRDefault="000D0741" w:rsidP="000D0741">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Style w:val="Mriekatabuky"/>
        <w:tblW w:w="0" w:type="auto"/>
        <w:tblLook w:val="04A0" w:firstRow="1" w:lastRow="0" w:firstColumn="1" w:lastColumn="0" w:noHBand="0" w:noVBand="1"/>
      </w:tblPr>
      <w:tblGrid>
        <w:gridCol w:w="534"/>
        <w:gridCol w:w="1725"/>
        <w:gridCol w:w="954"/>
        <w:gridCol w:w="1225"/>
        <w:gridCol w:w="1147"/>
        <w:gridCol w:w="1026"/>
        <w:gridCol w:w="1304"/>
        <w:gridCol w:w="1067"/>
        <w:gridCol w:w="880"/>
        <w:gridCol w:w="1067"/>
        <w:gridCol w:w="930"/>
        <w:gridCol w:w="875"/>
        <w:gridCol w:w="1260"/>
      </w:tblGrid>
      <w:tr w:rsidR="004D245F" w:rsidRPr="004D245F" w14:paraId="4DB476FA" w14:textId="77777777" w:rsidTr="004D245F">
        <w:trPr>
          <w:trHeight w:val="263"/>
        </w:trPr>
        <w:tc>
          <w:tcPr>
            <w:tcW w:w="900" w:type="dxa"/>
            <w:vMerge w:val="restart"/>
            <w:shd w:val="clear" w:color="auto" w:fill="D0CECE" w:themeFill="background2" w:themeFillShade="E6"/>
            <w:hideMark/>
          </w:tcPr>
          <w:p w14:paraId="25BD98EB" w14:textId="77777777" w:rsidR="004D245F" w:rsidRPr="004D245F" w:rsidRDefault="004D245F" w:rsidP="004D245F">
            <w:pPr>
              <w:jc w:val="both"/>
              <w:rPr>
                <w:rFonts w:ascii="Times New Roman" w:eastAsia="Calibri" w:hAnsi="Times New Roman" w:cs="Times New Roman"/>
                <w:b/>
                <w:bCs/>
              </w:rPr>
            </w:pPr>
            <w:proofErr w:type="spellStart"/>
            <w:r w:rsidRPr="004D245F">
              <w:rPr>
                <w:rFonts w:ascii="Times New Roman" w:eastAsia="Calibri" w:hAnsi="Times New Roman" w:cs="Times New Roman"/>
                <w:b/>
                <w:bCs/>
              </w:rPr>
              <w:t>P.č</w:t>
            </w:r>
            <w:proofErr w:type="spellEnd"/>
            <w:r w:rsidRPr="004D245F">
              <w:rPr>
                <w:rFonts w:ascii="Times New Roman" w:eastAsia="Calibri" w:hAnsi="Times New Roman" w:cs="Times New Roman"/>
                <w:b/>
                <w:bCs/>
              </w:rPr>
              <w:t>.</w:t>
            </w:r>
          </w:p>
        </w:tc>
        <w:tc>
          <w:tcPr>
            <w:tcW w:w="4540" w:type="dxa"/>
            <w:vMerge w:val="restart"/>
            <w:shd w:val="clear" w:color="auto" w:fill="D0CECE" w:themeFill="background2" w:themeFillShade="E6"/>
            <w:hideMark/>
          </w:tcPr>
          <w:p w14:paraId="75A02564"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 xml:space="preserve">Zrozumiteľný a stručný opis regulácie </w:t>
            </w:r>
            <w:r w:rsidRPr="004D245F">
              <w:rPr>
                <w:rFonts w:ascii="Times New Roman" w:eastAsia="Calibri" w:hAnsi="Times New Roman" w:cs="Times New Roman"/>
                <w:b/>
                <w:bCs/>
              </w:rPr>
              <w:br/>
              <w:t xml:space="preserve">(dôvod zvýšenia/zníženia nákladov na PP a dôvod ponechania nákladov na PP, ktoré </w:t>
            </w:r>
            <w:proofErr w:type="spellStart"/>
            <w:r w:rsidRPr="004D245F">
              <w:rPr>
                <w:rFonts w:ascii="Times New Roman" w:eastAsia="Calibri" w:hAnsi="Times New Roman" w:cs="Times New Roman"/>
                <w:b/>
                <w:bCs/>
              </w:rPr>
              <w:t>su</w:t>
            </w:r>
            <w:proofErr w:type="spellEnd"/>
            <w:r w:rsidRPr="004D245F">
              <w:rPr>
                <w:rFonts w:ascii="Times New Roman" w:eastAsia="Calibri" w:hAnsi="Times New Roman" w:cs="Times New Roman"/>
                <w:b/>
                <w:bCs/>
              </w:rPr>
              <w:t xml:space="preserve"> </w:t>
            </w:r>
            <w:proofErr w:type="spellStart"/>
            <w:r w:rsidRPr="004D245F">
              <w:rPr>
                <w:rFonts w:ascii="Times New Roman" w:eastAsia="Calibri" w:hAnsi="Times New Roman" w:cs="Times New Roman"/>
                <w:b/>
                <w:bCs/>
              </w:rPr>
              <w:t>goldplatingom</w:t>
            </w:r>
            <w:proofErr w:type="spellEnd"/>
            <w:r w:rsidRPr="004D245F">
              <w:rPr>
                <w:rFonts w:ascii="Times New Roman" w:eastAsia="Calibri" w:hAnsi="Times New Roman" w:cs="Times New Roman"/>
                <w:b/>
                <w:bCs/>
              </w:rPr>
              <w:t>)</w:t>
            </w:r>
          </w:p>
        </w:tc>
        <w:tc>
          <w:tcPr>
            <w:tcW w:w="1880" w:type="dxa"/>
            <w:vMerge w:val="restart"/>
            <w:shd w:val="clear" w:color="auto" w:fill="D0CECE" w:themeFill="background2" w:themeFillShade="E6"/>
            <w:hideMark/>
          </w:tcPr>
          <w:p w14:paraId="1BC76C1C"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Číslo normy</w:t>
            </w:r>
            <w:r w:rsidRPr="004D245F">
              <w:rPr>
                <w:rFonts w:ascii="Times New Roman" w:eastAsia="Calibri" w:hAnsi="Times New Roman" w:cs="Times New Roman"/>
                <w:b/>
                <w:bCs/>
              </w:rPr>
              <w:br/>
            </w:r>
            <w:r w:rsidRPr="004D245F">
              <w:rPr>
                <w:rFonts w:ascii="Times New Roman" w:eastAsia="Calibri" w:hAnsi="Times New Roman" w:cs="Times New Roman"/>
              </w:rPr>
              <w:t>(zákona, vyhlášky a pod.)</w:t>
            </w:r>
          </w:p>
        </w:tc>
        <w:tc>
          <w:tcPr>
            <w:tcW w:w="1880" w:type="dxa"/>
            <w:vMerge w:val="restart"/>
            <w:shd w:val="clear" w:color="auto" w:fill="D0CECE" w:themeFill="background2" w:themeFillShade="E6"/>
            <w:hideMark/>
          </w:tcPr>
          <w:p w14:paraId="4C8B2E89"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Lokalizácia</w:t>
            </w:r>
            <w:r w:rsidRPr="004D245F">
              <w:rPr>
                <w:rFonts w:ascii="Times New Roman" w:eastAsia="Calibri" w:hAnsi="Times New Roman" w:cs="Times New Roman"/>
                <w:b/>
                <w:bCs/>
              </w:rPr>
              <w:br/>
              <w:t>(§, ods., čl.,...)</w:t>
            </w:r>
          </w:p>
        </w:tc>
        <w:tc>
          <w:tcPr>
            <w:tcW w:w="6040" w:type="dxa"/>
            <w:vMerge w:val="restart"/>
            <w:shd w:val="clear" w:color="auto" w:fill="D0CECE" w:themeFill="background2" w:themeFillShade="E6"/>
            <w:hideMark/>
          </w:tcPr>
          <w:p w14:paraId="128518BC"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 xml:space="preserve">Pôvod regulácie: </w:t>
            </w:r>
            <w:r w:rsidRPr="004D245F">
              <w:rPr>
                <w:rFonts w:ascii="Times New Roman" w:eastAsia="Calibri" w:hAnsi="Times New Roman" w:cs="Times New Roman"/>
                <w:b/>
                <w:bCs/>
              </w:rPr>
              <w:br/>
            </w:r>
            <w:r w:rsidRPr="004D245F">
              <w:rPr>
                <w:rFonts w:ascii="Times New Roman" w:eastAsia="Calibri" w:hAnsi="Times New Roman" w:cs="Times New Roman"/>
              </w:rPr>
              <w:t xml:space="preserve">SK/EÚ úplná </w:t>
            </w:r>
            <w:proofErr w:type="spellStart"/>
            <w:r w:rsidRPr="004D245F">
              <w:rPr>
                <w:rFonts w:ascii="Times New Roman" w:eastAsia="Calibri" w:hAnsi="Times New Roman" w:cs="Times New Roman"/>
              </w:rPr>
              <w:t>harm</w:t>
            </w:r>
            <w:proofErr w:type="spellEnd"/>
            <w:r w:rsidRPr="004D245F">
              <w:rPr>
                <w:rFonts w:ascii="Times New Roman" w:eastAsia="Calibri" w:hAnsi="Times New Roman" w:cs="Times New Roman"/>
              </w:rPr>
              <w:t>./</w:t>
            </w:r>
            <w:r w:rsidRPr="004D245F">
              <w:rPr>
                <w:rFonts w:ascii="Times New Roman" w:eastAsia="Calibri" w:hAnsi="Times New Roman" w:cs="Times New Roman"/>
              </w:rPr>
              <w:br/>
            </w:r>
            <w:proofErr w:type="spellStart"/>
            <w:r w:rsidRPr="004D245F">
              <w:rPr>
                <w:rFonts w:ascii="Times New Roman" w:eastAsia="Calibri" w:hAnsi="Times New Roman" w:cs="Times New Roman"/>
              </w:rPr>
              <w:t>goldplating</w:t>
            </w:r>
            <w:proofErr w:type="spellEnd"/>
          </w:p>
        </w:tc>
        <w:tc>
          <w:tcPr>
            <w:tcW w:w="1000" w:type="dxa"/>
            <w:vMerge w:val="restart"/>
            <w:shd w:val="clear" w:color="auto" w:fill="D0CECE" w:themeFill="background2" w:themeFillShade="E6"/>
            <w:hideMark/>
          </w:tcPr>
          <w:p w14:paraId="1712AB68"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Účinnosť regulácie</w:t>
            </w:r>
          </w:p>
        </w:tc>
        <w:tc>
          <w:tcPr>
            <w:tcW w:w="1400" w:type="dxa"/>
            <w:vMerge w:val="restart"/>
            <w:shd w:val="clear" w:color="auto" w:fill="D0CECE" w:themeFill="background2" w:themeFillShade="E6"/>
            <w:hideMark/>
          </w:tcPr>
          <w:p w14:paraId="424676B8"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 xml:space="preserve">Kategória </w:t>
            </w:r>
            <w:proofErr w:type="spellStart"/>
            <w:r w:rsidRPr="004D245F">
              <w:rPr>
                <w:rFonts w:ascii="Times New Roman" w:eastAsia="Calibri" w:hAnsi="Times New Roman" w:cs="Times New Roman"/>
                <w:b/>
                <w:bCs/>
              </w:rPr>
              <w:t>dotk</w:t>
            </w:r>
            <w:proofErr w:type="spellEnd"/>
            <w:r w:rsidRPr="004D245F">
              <w:rPr>
                <w:rFonts w:ascii="Times New Roman" w:eastAsia="Calibri" w:hAnsi="Times New Roman" w:cs="Times New Roman"/>
                <w:b/>
                <w:bCs/>
              </w:rPr>
              <w:t>. subjektov</w:t>
            </w:r>
          </w:p>
        </w:tc>
        <w:tc>
          <w:tcPr>
            <w:tcW w:w="1080" w:type="dxa"/>
            <w:vMerge w:val="restart"/>
            <w:shd w:val="clear" w:color="auto" w:fill="D0CECE" w:themeFill="background2" w:themeFillShade="E6"/>
            <w:hideMark/>
          </w:tcPr>
          <w:p w14:paraId="244544B1"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 xml:space="preserve">Počet </w:t>
            </w:r>
            <w:proofErr w:type="spellStart"/>
            <w:r w:rsidRPr="004D245F">
              <w:rPr>
                <w:rFonts w:ascii="Times New Roman" w:eastAsia="Calibri" w:hAnsi="Times New Roman" w:cs="Times New Roman"/>
                <w:b/>
                <w:bCs/>
              </w:rPr>
              <w:t>dotk</w:t>
            </w:r>
            <w:proofErr w:type="spellEnd"/>
            <w:r w:rsidRPr="004D245F">
              <w:rPr>
                <w:rFonts w:ascii="Times New Roman" w:eastAsia="Calibri" w:hAnsi="Times New Roman" w:cs="Times New Roman"/>
                <w:b/>
                <w:bCs/>
              </w:rPr>
              <w:t xml:space="preserve">. subjektov spolu </w:t>
            </w:r>
          </w:p>
        </w:tc>
        <w:tc>
          <w:tcPr>
            <w:tcW w:w="1180" w:type="dxa"/>
            <w:vMerge w:val="restart"/>
            <w:shd w:val="clear" w:color="auto" w:fill="D0CECE" w:themeFill="background2" w:themeFillShade="E6"/>
            <w:hideMark/>
          </w:tcPr>
          <w:p w14:paraId="1068F798"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Vplyv na 1 podnik. v €</w:t>
            </w:r>
          </w:p>
        </w:tc>
        <w:tc>
          <w:tcPr>
            <w:tcW w:w="1320" w:type="dxa"/>
            <w:vMerge w:val="restart"/>
            <w:shd w:val="clear" w:color="auto" w:fill="D0CECE" w:themeFill="background2" w:themeFillShade="E6"/>
            <w:hideMark/>
          </w:tcPr>
          <w:p w14:paraId="25EF4C06"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 xml:space="preserve">Vplyv na kategóriu </w:t>
            </w:r>
            <w:proofErr w:type="spellStart"/>
            <w:r w:rsidRPr="004D245F">
              <w:rPr>
                <w:rFonts w:ascii="Times New Roman" w:eastAsia="Calibri" w:hAnsi="Times New Roman" w:cs="Times New Roman"/>
                <w:b/>
                <w:bCs/>
              </w:rPr>
              <w:t>dotk</w:t>
            </w:r>
            <w:proofErr w:type="spellEnd"/>
            <w:r w:rsidRPr="004D245F">
              <w:rPr>
                <w:rFonts w:ascii="Times New Roman" w:eastAsia="Calibri" w:hAnsi="Times New Roman" w:cs="Times New Roman"/>
                <w:b/>
                <w:bCs/>
              </w:rPr>
              <w:t>. subjektov v €</w:t>
            </w:r>
          </w:p>
        </w:tc>
        <w:tc>
          <w:tcPr>
            <w:tcW w:w="1900" w:type="dxa"/>
            <w:vMerge w:val="restart"/>
            <w:shd w:val="clear" w:color="auto" w:fill="D0CECE" w:themeFill="background2" w:themeFillShade="E6"/>
            <w:hideMark/>
          </w:tcPr>
          <w:p w14:paraId="684458CB"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Druh vplyvu</w:t>
            </w:r>
            <w:r w:rsidRPr="004D245F">
              <w:rPr>
                <w:rFonts w:ascii="Times New Roman" w:eastAsia="Calibri" w:hAnsi="Times New Roman" w:cs="Times New Roman"/>
                <w:b/>
                <w:bCs/>
              </w:rPr>
              <w:br/>
            </w:r>
            <w:r w:rsidRPr="004D245F">
              <w:rPr>
                <w:rFonts w:ascii="Times New Roman" w:eastAsia="Calibri" w:hAnsi="Times New Roman" w:cs="Times New Roman"/>
              </w:rPr>
              <w:t xml:space="preserve">In (zvyšuje náklady) / </w:t>
            </w:r>
            <w:r w:rsidRPr="004D245F">
              <w:rPr>
                <w:rFonts w:ascii="Times New Roman" w:eastAsia="Calibri" w:hAnsi="Times New Roman" w:cs="Times New Roman"/>
              </w:rPr>
              <w:br/>
            </w:r>
            <w:proofErr w:type="spellStart"/>
            <w:r w:rsidRPr="004D245F">
              <w:rPr>
                <w:rFonts w:ascii="Times New Roman" w:eastAsia="Calibri" w:hAnsi="Times New Roman" w:cs="Times New Roman"/>
              </w:rPr>
              <w:t>Out</w:t>
            </w:r>
            <w:proofErr w:type="spellEnd"/>
            <w:r w:rsidRPr="004D245F">
              <w:rPr>
                <w:rFonts w:ascii="Times New Roman" w:eastAsia="Calibri" w:hAnsi="Times New Roman" w:cs="Times New Roman"/>
              </w:rPr>
              <w:t xml:space="preserve"> (znižuje náklady) / Nemení sa</w:t>
            </w:r>
          </w:p>
        </w:tc>
        <w:tc>
          <w:tcPr>
            <w:tcW w:w="1900" w:type="dxa"/>
            <w:vMerge w:val="restart"/>
            <w:shd w:val="clear" w:color="auto" w:fill="D0CECE" w:themeFill="background2" w:themeFillShade="E6"/>
            <w:hideMark/>
          </w:tcPr>
          <w:p w14:paraId="210F630D" w14:textId="77777777" w:rsidR="004D245F" w:rsidRPr="004D245F" w:rsidRDefault="004D245F" w:rsidP="004D245F">
            <w:pPr>
              <w:jc w:val="both"/>
              <w:rPr>
                <w:rFonts w:ascii="Times New Roman" w:eastAsia="Calibri" w:hAnsi="Times New Roman" w:cs="Times New Roman"/>
                <w:b/>
                <w:bCs/>
              </w:rPr>
            </w:pPr>
            <w:r w:rsidRPr="004D245F">
              <w:rPr>
                <w:rFonts w:ascii="Times New Roman" w:eastAsia="Calibri" w:hAnsi="Times New Roman" w:cs="Times New Roman"/>
                <w:b/>
                <w:bCs/>
              </w:rPr>
              <w:t xml:space="preserve">1in2out </w:t>
            </w:r>
            <w:r w:rsidRPr="004D245F">
              <w:rPr>
                <w:rFonts w:ascii="Times New Roman" w:eastAsia="Calibri" w:hAnsi="Times New Roman" w:cs="Times New Roman"/>
                <w:b/>
                <w:bCs/>
              </w:rPr>
              <w:br/>
              <w:t>celkom</w:t>
            </w:r>
          </w:p>
        </w:tc>
        <w:tc>
          <w:tcPr>
            <w:tcW w:w="1400" w:type="dxa"/>
            <w:vMerge w:val="restart"/>
            <w:shd w:val="clear" w:color="auto" w:fill="D0CECE" w:themeFill="background2" w:themeFillShade="E6"/>
            <w:hideMark/>
          </w:tcPr>
          <w:p w14:paraId="6657B480" w14:textId="77777777" w:rsidR="004D245F" w:rsidRPr="004D245F" w:rsidRDefault="004D245F" w:rsidP="004D245F">
            <w:pPr>
              <w:jc w:val="both"/>
              <w:rPr>
                <w:rFonts w:ascii="Times New Roman" w:eastAsia="Calibri" w:hAnsi="Times New Roman" w:cs="Times New Roman"/>
                <w:b/>
                <w:bCs/>
              </w:rPr>
            </w:pPr>
            <w:proofErr w:type="spellStart"/>
            <w:r w:rsidRPr="004D245F">
              <w:rPr>
                <w:rFonts w:ascii="Times New Roman" w:eastAsia="Calibri" w:hAnsi="Times New Roman" w:cs="Times New Roman"/>
                <w:b/>
                <w:bCs/>
              </w:rPr>
              <w:t>Goldplating</w:t>
            </w:r>
            <w:proofErr w:type="spellEnd"/>
            <w:r w:rsidRPr="004D245F">
              <w:rPr>
                <w:rFonts w:ascii="Times New Roman" w:eastAsia="Calibri" w:hAnsi="Times New Roman" w:cs="Times New Roman"/>
                <w:b/>
                <w:bCs/>
              </w:rPr>
              <w:t xml:space="preserve"> celkom</w:t>
            </w:r>
          </w:p>
        </w:tc>
      </w:tr>
      <w:tr w:rsidR="004D245F" w:rsidRPr="004D245F" w14:paraId="246A7B6E" w14:textId="77777777" w:rsidTr="004D245F">
        <w:trPr>
          <w:trHeight w:val="450"/>
        </w:trPr>
        <w:tc>
          <w:tcPr>
            <w:tcW w:w="900" w:type="dxa"/>
            <w:vMerge/>
            <w:shd w:val="clear" w:color="auto" w:fill="D0CECE" w:themeFill="background2" w:themeFillShade="E6"/>
            <w:hideMark/>
          </w:tcPr>
          <w:p w14:paraId="1F4544EA" w14:textId="77777777" w:rsidR="004D245F" w:rsidRPr="004D245F" w:rsidRDefault="004D245F" w:rsidP="004D245F">
            <w:pPr>
              <w:jc w:val="both"/>
              <w:rPr>
                <w:rFonts w:ascii="Times New Roman" w:eastAsia="Calibri" w:hAnsi="Times New Roman" w:cs="Times New Roman"/>
                <w:b/>
                <w:bCs/>
              </w:rPr>
            </w:pPr>
          </w:p>
        </w:tc>
        <w:tc>
          <w:tcPr>
            <w:tcW w:w="4540" w:type="dxa"/>
            <w:vMerge/>
            <w:shd w:val="clear" w:color="auto" w:fill="D0CECE" w:themeFill="background2" w:themeFillShade="E6"/>
            <w:hideMark/>
          </w:tcPr>
          <w:p w14:paraId="3F7194A8"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0360CE19"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33CF3920" w14:textId="77777777" w:rsidR="004D245F" w:rsidRPr="004D245F" w:rsidRDefault="004D245F" w:rsidP="004D245F">
            <w:pPr>
              <w:jc w:val="both"/>
              <w:rPr>
                <w:rFonts w:ascii="Times New Roman" w:eastAsia="Calibri" w:hAnsi="Times New Roman" w:cs="Times New Roman"/>
                <w:b/>
                <w:bCs/>
              </w:rPr>
            </w:pPr>
          </w:p>
        </w:tc>
        <w:tc>
          <w:tcPr>
            <w:tcW w:w="6040" w:type="dxa"/>
            <w:vMerge/>
            <w:shd w:val="clear" w:color="auto" w:fill="D0CECE" w:themeFill="background2" w:themeFillShade="E6"/>
            <w:hideMark/>
          </w:tcPr>
          <w:p w14:paraId="2FCF4243" w14:textId="77777777" w:rsidR="004D245F" w:rsidRPr="004D245F" w:rsidRDefault="004D245F" w:rsidP="004D245F">
            <w:pPr>
              <w:jc w:val="both"/>
              <w:rPr>
                <w:rFonts w:ascii="Times New Roman" w:eastAsia="Calibri" w:hAnsi="Times New Roman" w:cs="Times New Roman"/>
                <w:b/>
                <w:bCs/>
              </w:rPr>
            </w:pPr>
          </w:p>
        </w:tc>
        <w:tc>
          <w:tcPr>
            <w:tcW w:w="1000" w:type="dxa"/>
            <w:vMerge/>
            <w:shd w:val="clear" w:color="auto" w:fill="D0CECE" w:themeFill="background2" w:themeFillShade="E6"/>
            <w:hideMark/>
          </w:tcPr>
          <w:p w14:paraId="3D2DE2AD"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245DD4A0" w14:textId="77777777" w:rsidR="004D245F" w:rsidRPr="004D245F" w:rsidRDefault="004D245F" w:rsidP="004D245F">
            <w:pPr>
              <w:jc w:val="both"/>
              <w:rPr>
                <w:rFonts w:ascii="Times New Roman" w:eastAsia="Calibri" w:hAnsi="Times New Roman" w:cs="Times New Roman"/>
                <w:b/>
                <w:bCs/>
              </w:rPr>
            </w:pPr>
          </w:p>
        </w:tc>
        <w:tc>
          <w:tcPr>
            <w:tcW w:w="1080" w:type="dxa"/>
            <w:vMerge/>
            <w:shd w:val="clear" w:color="auto" w:fill="D0CECE" w:themeFill="background2" w:themeFillShade="E6"/>
            <w:hideMark/>
          </w:tcPr>
          <w:p w14:paraId="3EB2C66E" w14:textId="77777777" w:rsidR="004D245F" w:rsidRPr="004D245F" w:rsidRDefault="004D245F" w:rsidP="004D245F">
            <w:pPr>
              <w:jc w:val="both"/>
              <w:rPr>
                <w:rFonts w:ascii="Times New Roman" w:eastAsia="Calibri" w:hAnsi="Times New Roman" w:cs="Times New Roman"/>
                <w:b/>
                <w:bCs/>
              </w:rPr>
            </w:pPr>
          </w:p>
        </w:tc>
        <w:tc>
          <w:tcPr>
            <w:tcW w:w="1180" w:type="dxa"/>
            <w:vMerge/>
            <w:shd w:val="clear" w:color="auto" w:fill="D0CECE" w:themeFill="background2" w:themeFillShade="E6"/>
            <w:hideMark/>
          </w:tcPr>
          <w:p w14:paraId="6B734EAA" w14:textId="77777777" w:rsidR="004D245F" w:rsidRPr="004D245F" w:rsidRDefault="004D245F" w:rsidP="004D245F">
            <w:pPr>
              <w:jc w:val="both"/>
              <w:rPr>
                <w:rFonts w:ascii="Times New Roman" w:eastAsia="Calibri" w:hAnsi="Times New Roman" w:cs="Times New Roman"/>
                <w:b/>
                <w:bCs/>
              </w:rPr>
            </w:pPr>
          </w:p>
        </w:tc>
        <w:tc>
          <w:tcPr>
            <w:tcW w:w="1320" w:type="dxa"/>
            <w:vMerge/>
            <w:shd w:val="clear" w:color="auto" w:fill="D0CECE" w:themeFill="background2" w:themeFillShade="E6"/>
            <w:hideMark/>
          </w:tcPr>
          <w:p w14:paraId="419DAE64"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59381C0D"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589903E0"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01368A76" w14:textId="77777777" w:rsidR="004D245F" w:rsidRPr="004D245F" w:rsidRDefault="004D245F" w:rsidP="004D245F">
            <w:pPr>
              <w:jc w:val="both"/>
              <w:rPr>
                <w:rFonts w:ascii="Times New Roman" w:eastAsia="Calibri" w:hAnsi="Times New Roman" w:cs="Times New Roman"/>
                <w:b/>
                <w:bCs/>
              </w:rPr>
            </w:pPr>
          </w:p>
        </w:tc>
      </w:tr>
      <w:tr w:rsidR="004D245F" w:rsidRPr="004D245F" w14:paraId="31C2C630" w14:textId="77777777" w:rsidTr="004D245F">
        <w:trPr>
          <w:trHeight w:val="450"/>
        </w:trPr>
        <w:tc>
          <w:tcPr>
            <w:tcW w:w="900" w:type="dxa"/>
            <w:vMerge/>
            <w:shd w:val="clear" w:color="auto" w:fill="D0CECE" w:themeFill="background2" w:themeFillShade="E6"/>
            <w:hideMark/>
          </w:tcPr>
          <w:p w14:paraId="240DE509" w14:textId="77777777" w:rsidR="004D245F" w:rsidRPr="004D245F" w:rsidRDefault="004D245F" w:rsidP="004D245F">
            <w:pPr>
              <w:jc w:val="both"/>
              <w:rPr>
                <w:rFonts w:ascii="Times New Roman" w:eastAsia="Calibri" w:hAnsi="Times New Roman" w:cs="Times New Roman"/>
                <w:b/>
                <w:bCs/>
              </w:rPr>
            </w:pPr>
          </w:p>
        </w:tc>
        <w:tc>
          <w:tcPr>
            <w:tcW w:w="4540" w:type="dxa"/>
            <w:vMerge/>
            <w:shd w:val="clear" w:color="auto" w:fill="D0CECE" w:themeFill="background2" w:themeFillShade="E6"/>
            <w:hideMark/>
          </w:tcPr>
          <w:p w14:paraId="4418407B"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716E8556"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37FE23E3" w14:textId="77777777" w:rsidR="004D245F" w:rsidRPr="004D245F" w:rsidRDefault="004D245F" w:rsidP="004D245F">
            <w:pPr>
              <w:jc w:val="both"/>
              <w:rPr>
                <w:rFonts w:ascii="Times New Roman" w:eastAsia="Calibri" w:hAnsi="Times New Roman" w:cs="Times New Roman"/>
                <w:b/>
                <w:bCs/>
              </w:rPr>
            </w:pPr>
          </w:p>
        </w:tc>
        <w:tc>
          <w:tcPr>
            <w:tcW w:w="6040" w:type="dxa"/>
            <w:vMerge/>
            <w:shd w:val="clear" w:color="auto" w:fill="D0CECE" w:themeFill="background2" w:themeFillShade="E6"/>
            <w:hideMark/>
          </w:tcPr>
          <w:p w14:paraId="2BB387D1" w14:textId="77777777" w:rsidR="004D245F" w:rsidRPr="004D245F" w:rsidRDefault="004D245F" w:rsidP="004D245F">
            <w:pPr>
              <w:jc w:val="both"/>
              <w:rPr>
                <w:rFonts w:ascii="Times New Roman" w:eastAsia="Calibri" w:hAnsi="Times New Roman" w:cs="Times New Roman"/>
                <w:b/>
                <w:bCs/>
              </w:rPr>
            </w:pPr>
          </w:p>
        </w:tc>
        <w:tc>
          <w:tcPr>
            <w:tcW w:w="1000" w:type="dxa"/>
            <w:vMerge/>
            <w:shd w:val="clear" w:color="auto" w:fill="D0CECE" w:themeFill="background2" w:themeFillShade="E6"/>
            <w:hideMark/>
          </w:tcPr>
          <w:p w14:paraId="216E3A4A"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1CBEE8CD" w14:textId="77777777" w:rsidR="004D245F" w:rsidRPr="004D245F" w:rsidRDefault="004D245F" w:rsidP="004D245F">
            <w:pPr>
              <w:jc w:val="both"/>
              <w:rPr>
                <w:rFonts w:ascii="Times New Roman" w:eastAsia="Calibri" w:hAnsi="Times New Roman" w:cs="Times New Roman"/>
                <w:b/>
                <w:bCs/>
              </w:rPr>
            </w:pPr>
          </w:p>
        </w:tc>
        <w:tc>
          <w:tcPr>
            <w:tcW w:w="1080" w:type="dxa"/>
            <w:vMerge/>
            <w:shd w:val="clear" w:color="auto" w:fill="D0CECE" w:themeFill="background2" w:themeFillShade="E6"/>
            <w:hideMark/>
          </w:tcPr>
          <w:p w14:paraId="62F5B1A0" w14:textId="77777777" w:rsidR="004D245F" w:rsidRPr="004D245F" w:rsidRDefault="004D245F" w:rsidP="004D245F">
            <w:pPr>
              <w:jc w:val="both"/>
              <w:rPr>
                <w:rFonts w:ascii="Times New Roman" w:eastAsia="Calibri" w:hAnsi="Times New Roman" w:cs="Times New Roman"/>
                <w:b/>
                <w:bCs/>
              </w:rPr>
            </w:pPr>
          </w:p>
        </w:tc>
        <w:tc>
          <w:tcPr>
            <w:tcW w:w="1180" w:type="dxa"/>
            <w:vMerge/>
            <w:shd w:val="clear" w:color="auto" w:fill="D0CECE" w:themeFill="background2" w:themeFillShade="E6"/>
            <w:hideMark/>
          </w:tcPr>
          <w:p w14:paraId="06AC26F6" w14:textId="77777777" w:rsidR="004D245F" w:rsidRPr="004D245F" w:rsidRDefault="004D245F" w:rsidP="004D245F">
            <w:pPr>
              <w:jc w:val="both"/>
              <w:rPr>
                <w:rFonts w:ascii="Times New Roman" w:eastAsia="Calibri" w:hAnsi="Times New Roman" w:cs="Times New Roman"/>
                <w:b/>
                <w:bCs/>
              </w:rPr>
            </w:pPr>
          </w:p>
        </w:tc>
        <w:tc>
          <w:tcPr>
            <w:tcW w:w="1320" w:type="dxa"/>
            <w:vMerge/>
            <w:shd w:val="clear" w:color="auto" w:fill="D0CECE" w:themeFill="background2" w:themeFillShade="E6"/>
            <w:hideMark/>
          </w:tcPr>
          <w:p w14:paraId="155F6B0F"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089AE110"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38B8E8A5"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28C1E6DF" w14:textId="77777777" w:rsidR="004D245F" w:rsidRPr="004D245F" w:rsidRDefault="004D245F" w:rsidP="004D245F">
            <w:pPr>
              <w:jc w:val="both"/>
              <w:rPr>
                <w:rFonts w:ascii="Times New Roman" w:eastAsia="Calibri" w:hAnsi="Times New Roman" w:cs="Times New Roman"/>
                <w:b/>
                <w:bCs/>
              </w:rPr>
            </w:pPr>
          </w:p>
        </w:tc>
      </w:tr>
      <w:tr w:rsidR="004D245F" w:rsidRPr="004D245F" w14:paraId="564BE00C" w14:textId="77777777" w:rsidTr="004D245F">
        <w:trPr>
          <w:trHeight w:val="450"/>
        </w:trPr>
        <w:tc>
          <w:tcPr>
            <w:tcW w:w="900" w:type="dxa"/>
            <w:vMerge/>
            <w:shd w:val="clear" w:color="auto" w:fill="D0CECE" w:themeFill="background2" w:themeFillShade="E6"/>
            <w:hideMark/>
          </w:tcPr>
          <w:p w14:paraId="1839FCBA" w14:textId="77777777" w:rsidR="004D245F" w:rsidRPr="004D245F" w:rsidRDefault="004D245F" w:rsidP="004D245F">
            <w:pPr>
              <w:jc w:val="both"/>
              <w:rPr>
                <w:rFonts w:ascii="Times New Roman" w:eastAsia="Calibri" w:hAnsi="Times New Roman" w:cs="Times New Roman"/>
                <w:b/>
                <w:bCs/>
              </w:rPr>
            </w:pPr>
          </w:p>
        </w:tc>
        <w:tc>
          <w:tcPr>
            <w:tcW w:w="4540" w:type="dxa"/>
            <w:vMerge/>
            <w:shd w:val="clear" w:color="auto" w:fill="D0CECE" w:themeFill="background2" w:themeFillShade="E6"/>
            <w:hideMark/>
          </w:tcPr>
          <w:p w14:paraId="03A12485"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5802B797"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7B49FB50" w14:textId="77777777" w:rsidR="004D245F" w:rsidRPr="004D245F" w:rsidRDefault="004D245F" w:rsidP="004D245F">
            <w:pPr>
              <w:jc w:val="both"/>
              <w:rPr>
                <w:rFonts w:ascii="Times New Roman" w:eastAsia="Calibri" w:hAnsi="Times New Roman" w:cs="Times New Roman"/>
                <w:b/>
                <w:bCs/>
              </w:rPr>
            </w:pPr>
          </w:p>
        </w:tc>
        <w:tc>
          <w:tcPr>
            <w:tcW w:w="6040" w:type="dxa"/>
            <w:vMerge/>
            <w:shd w:val="clear" w:color="auto" w:fill="D0CECE" w:themeFill="background2" w:themeFillShade="E6"/>
            <w:hideMark/>
          </w:tcPr>
          <w:p w14:paraId="603B15A3" w14:textId="77777777" w:rsidR="004D245F" w:rsidRPr="004D245F" w:rsidRDefault="004D245F" w:rsidP="004D245F">
            <w:pPr>
              <w:jc w:val="both"/>
              <w:rPr>
                <w:rFonts w:ascii="Times New Roman" w:eastAsia="Calibri" w:hAnsi="Times New Roman" w:cs="Times New Roman"/>
                <w:b/>
                <w:bCs/>
              </w:rPr>
            </w:pPr>
          </w:p>
        </w:tc>
        <w:tc>
          <w:tcPr>
            <w:tcW w:w="1000" w:type="dxa"/>
            <w:vMerge/>
            <w:shd w:val="clear" w:color="auto" w:fill="D0CECE" w:themeFill="background2" w:themeFillShade="E6"/>
            <w:hideMark/>
          </w:tcPr>
          <w:p w14:paraId="55B9E581"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57A67727" w14:textId="77777777" w:rsidR="004D245F" w:rsidRPr="004D245F" w:rsidRDefault="004D245F" w:rsidP="004D245F">
            <w:pPr>
              <w:jc w:val="both"/>
              <w:rPr>
                <w:rFonts w:ascii="Times New Roman" w:eastAsia="Calibri" w:hAnsi="Times New Roman" w:cs="Times New Roman"/>
                <w:b/>
                <w:bCs/>
              </w:rPr>
            </w:pPr>
          </w:p>
        </w:tc>
        <w:tc>
          <w:tcPr>
            <w:tcW w:w="1080" w:type="dxa"/>
            <w:vMerge/>
            <w:shd w:val="clear" w:color="auto" w:fill="D0CECE" w:themeFill="background2" w:themeFillShade="E6"/>
            <w:hideMark/>
          </w:tcPr>
          <w:p w14:paraId="28360596" w14:textId="77777777" w:rsidR="004D245F" w:rsidRPr="004D245F" w:rsidRDefault="004D245F" w:rsidP="004D245F">
            <w:pPr>
              <w:jc w:val="both"/>
              <w:rPr>
                <w:rFonts w:ascii="Times New Roman" w:eastAsia="Calibri" w:hAnsi="Times New Roman" w:cs="Times New Roman"/>
                <w:b/>
                <w:bCs/>
              </w:rPr>
            </w:pPr>
          </w:p>
        </w:tc>
        <w:tc>
          <w:tcPr>
            <w:tcW w:w="1180" w:type="dxa"/>
            <w:vMerge/>
            <w:shd w:val="clear" w:color="auto" w:fill="D0CECE" w:themeFill="background2" w:themeFillShade="E6"/>
            <w:hideMark/>
          </w:tcPr>
          <w:p w14:paraId="3B810CFB" w14:textId="77777777" w:rsidR="004D245F" w:rsidRPr="004D245F" w:rsidRDefault="004D245F" w:rsidP="004D245F">
            <w:pPr>
              <w:jc w:val="both"/>
              <w:rPr>
                <w:rFonts w:ascii="Times New Roman" w:eastAsia="Calibri" w:hAnsi="Times New Roman" w:cs="Times New Roman"/>
                <w:b/>
                <w:bCs/>
              </w:rPr>
            </w:pPr>
          </w:p>
        </w:tc>
        <w:tc>
          <w:tcPr>
            <w:tcW w:w="1320" w:type="dxa"/>
            <w:vMerge/>
            <w:shd w:val="clear" w:color="auto" w:fill="D0CECE" w:themeFill="background2" w:themeFillShade="E6"/>
            <w:hideMark/>
          </w:tcPr>
          <w:p w14:paraId="60DBC994"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6AD12F25"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760A8C5C"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0DB7913F" w14:textId="77777777" w:rsidR="004D245F" w:rsidRPr="004D245F" w:rsidRDefault="004D245F" w:rsidP="004D245F">
            <w:pPr>
              <w:jc w:val="both"/>
              <w:rPr>
                <w:rFonts w:ascii="Times New Roman" w:eastAsia="Calibri" w:hAnsi="Times New Roman" w:cs="Times New Roman"/>
                <w:b/>
                <w:bCs/>
              </w:rPr>
            </w:pPr>
          </w:p>
        </w:tc>
      </w:tr>
      <w:tr w:rsidR="004D245F" w:rsidRPr="004D245F" w14:paraId="6C476AD1" w14:textId="77777777" w:rsidTr="004D245F">
        <w:trPr>
          <w:trHeight w:val="450"/>
        </w:trPr>
        <w:tc>
          <w:tcPr>
            <w:tcW w:w="900" w:type="dxa"/>
            <w:vMerge/>
            <w:shd w:val="clear" w:color="auto" w:fill="D0CECE" w:themeFill="background2" w:themeFillShade="E6"/>
            <w:hideMark/>
          </w:tcPr>
          <w:p w14:paraId="37DF151C" w14:textId="77777777" w:rsidR="004D245F" w:rsidRPr="004D245F" w:rsidRDefault="004D245F" w:rsidP="004D245F">
            <w:pPr>
              <w:jc w:val="both"/>
              <w:rPr>
                <w:rFonts w:ascii="Times New Roman" w:eastAsia="Calibri" w:hAnsi="Times New Roman" w:cs="Times New Roman"/>
                <w:b/>
                <w:bCs/>
              </w:rPr>
            </w:pPr>
          </w:p>
        </w:tc>
        <w:tc>
          <w:tcPr>
            <w:tcW w:w="4540" w:type="dxa"/>
            <w:vMerge/>
            <w:shd w:val="clear" w:color="auto" w:fill="D0CECE" w:themeFill="background2" w:themeFillShade="E6"/>
            <w:hideMark/>
          </w:tcPr>
          <w:p w14:paraId="0439AA78"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334D6229"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3ABB8AF3" w14:textId="77777777" w:rsidR="004D245F" w:rsidRPr="004D245F" w:rsidRDefault="004D245F" w:rsidP="004D245F">
            <w:pPr>
              <w:jc w:val="both"/>
              <w:rPr>
                <w:rFonts w:ascii="Times New Roman" w:eastAsia="Calibri" w:hAnsi="Times New Roman" w:cs="Times New Roman"/>
                <w:b/>
                <w:bCs/>
              </w:rPr>
            </w:pPr>
          </w:p>
        </w:tc>
        <w:tc>
          <w:tcPr>
            <w:tcW w:w="6040" w:type="dxa"/>
            <w:vMerge/>
            <w:shd w:val="clear" w:color="auto" w:fill="D0CECE" w:themeFill="background2" w:themeFillShade="E6"/>
            <w:hideMark/>
          </w:tcPr>
          <w:p w14:paraId="47CE4DC4" w14:textId="77777777" w:rsidR="004D245F" w:rsidRPr="004D245F" w:rsidRDefault="004D245F" w:rsidP="004D245F">
            <w:pPr>
              <w:jc w:val="both"/>
              <w:rPr>
                <w:rFonts w:ascii="Times New Roman" w:eastAsia="Calibri" w:hAnsi="Times New Roman" w:cs="Times New Roman"/>
                <w:b/>
                <w:bCs/>
              </w:rPr>
            </w:pPr>
          </w:p>
        </w:tc>
        <w:tc>
          <w:tcPr>
            <w:tcW w:w="1000" w:type="dxa"/>
            <w:vMerge/>
            <w:shd w:val="clear" w:color="auto" w:fill="D0CECE" w:themeFill="background2" w:themeFillShade="E6"/>
            <w:hideMark/>
          </w:tcPr>
          <w:p w14:paraId="508A289A"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5F4471F6" w14:textId="77777777" w:rsidR="004D245F" w:rsidRPr="004D245F" w:rsidRDefault="004D245F" w:rsidP="004D245F">
            <w:pPr>
              <w:jc w:val="both"/>
              <w:rPr>
                <w:rFonts w:ascii="Times New Roman" w:eastAsia="Calibri" w:hAnsi="Times New Roman" w:cs="Times New Roman"/>
                <w:b/>
                <w:bCs/>
              </w:rPr>
            </w:pPr>
          </w:p>
        </w:tc>
        <w:tc>
          <w:tcPr>
            <w:tcW w:w="1080" w:type="dxa"/>
            <w:vMerge/>
            <w:shd w:val="clear" w:color="auto" w:fill="D0CECE" w:themeFill="background2" w:themeFillShade="E6"/>
            <w:hideMark/>
          </w:tcPr>
          <w:p w14:paraId="5FD4D849" w14:textId="77777777" w:rsidR="004D245F" w:rsidRPr="004D245F" w:rsidRDefault="004D245F" w:rsidP="004D245F">
            <w:pPr>
              <w:jc w:val="both"/>
              <w:rPr>
                <w:rFonts w:ascii="Times New Roman" w:eastAsia="Calibri" w:hAnsi="Times New Roman" w:cs="Times New Roman"/>
                <w:b/>
                <w:bCs/>
              </w:rPr>
            </w:pPr>
          </w:p>
        </w:tc>
        <w:tc>
          <w:tcPr>
            <w:tcW w:w="1180" w:type="dxa"/>
            <w:vMerge/>
            <w:shd w:val="clear" w:color="auto" w:fill="D0CECE" w:themeFill="background2" w:themeFillShade="E6"/>
            <w:hideMark/>
          </w:tcPr>
          <w:p w14:paraId="037A5445" w14:textId="77777777" w:rsidR="004D245F" w:rsidRPr="004D245F" w:rsidRDefault="004D245F" w:rsidP="004D245F">
            <w:pPr>
              <w:jc w:val="both"/>
              <w:rPr>
                <w:rFonts w:ascii="Times New Roman" w:eastAsia="Calibri" w:hAnsi="Times New Roman" w:cs="Times New Roman"/>
                <w:b/>
                <w:bCs/>
              </w:rPr>
            </w:pPr>
          </w:p>
        </w:tc>
        <w:tc>
          <w:tcPr>
            <w:tcW w:w="1320" w:type="dxa"/>
            <w:vMerge/>
            <w:shd w:val="clear" w:color="auto" w:fill="D0CECE" w:themeFill="background2" w:themeFillShade="E6"/>
            <w:hideMark/>
          </w:tcPr>
          <w:p w14:paraId="06FF9630"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16316EFB"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017B47DD"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718090FF" w14:textId="77777777" w:rsidR="004D245F" w:rsidRPr="004D245F" w:rsidRDefault="004D245F" w:rsidP="004D245F">
            <w:pPr>
              <w:jc w:val="both"/>
              <w:rPr>
                <w:rFonts w:ascii="Times New Roman" w:eastAsia="Calibri" w:hAnsi="Times New Roman" w:cs="Times New Roman"/>
                <w:b/>
                <w:bCs/>
              </w:rPr>
            </w:pPr>
          </w:p>
        </w:tc>
      </w:tr>
      <w:tr w:rsidR="004D245F" w:rsidRPr="004D245F" w14:paraId="7B433EC6" w14:textId="77777777" w:rsidTr="004D245F">
        <w:trPr>
          <w:trHeight w:val="450"/>
        </w:trPr>
        <w:tc>
          <w:tcPr>
            <w:tcW w:w="900" w:type="dxa"/>
            <w:vMerge/>
            <w:shd w:val="clear" w:color="auto" w:fill="D0CECE" w:themeFill="background2" w:themeFillShade="E6"/>
            <w:hideMark/>
          </w:tcPr>
          <w:p w14:paraId="0AD9B3C3" w14:textId="77777777" w:rsidR="004D245F" w:rsidRPr="004D245F" w:rsidRDefault="004D245F" w:rsidP="004D245F">
            <w:pPr>
              <w:jc w:val="both"/>
              <w:rPr>
                <w:rFonts w:ascii="Times New Roman" w:eastAsia="Calibri" w:hAnsi="Times New Roman" w:cs="Times New Roman"/>
                <w:b/>
                <w:bCs/>
              </w:rPr>
            </w:pPr>
          </w:p>
        </w:tc>
        <w:tc>
          <w:tcPr>
            <w:tcW w:w="4540" w:type="dxa"/>
            <w:vMerge/>
            <w:shd w:val="clear" w:color="auto" w:fill="D0CECE" w:themeFill="background2" w:themeFillShade="E6"/>
            <w:hideMark/>
          </w:tcPr>
          <w:p w14:paraId="5CD1FF9A"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7F47A6E2" w14:textId="77777777" w:rsidR="004D245F" w:rsidRPr="004D245F" w:rsidRDefault="004D245F" w:rsidP="004D245F">
            <w:pPr>
              <w:jc w:val="both"/>
              <w:rPr>
                <w:rFonts w:ascii="Times New Roman" w:eastAsia="Calibri" w:hAnsi="Times New Roman" w:cs="Times New Roman"/>
                <w:b/>
                <w:bCs/>
              </w:rPr>
            </w:pPr>
          </w:p>
        </w:tc>
        <w:tc>
          <w:tcPr>
            <w:tcW w:w="1880" w:type="dxa"/>
            <w:vMerge/>
            <w:shd w:val="clear" w:color="auto" w:fill="D0CECE" w:themeFill="background2" w:themeFillShade="E6"/>
            <w:hideMark/>
          </w:tcPr>
          <w:p w14:paraId="7ADA3A89" w14:textId="77777777" w:rsidR="004D245F" w:rsidRPr="004D245F" w:rsidRDefault="004D245F" w:rsidP="004D245F">
            <w:pPr>
              <w:jc w:val="both"/>
              <w:rPr>
                <w:rFonts w:ascii="Times New Roman" w:eastAsia="Calibri" w:hAnsi="Times New Roman" w:cs="Times New Roman"/>
                <w:b/>
                <w:bCs/>
              </w:rPr>
            </w:pPr>
          </w:p>
        </w:tc>
        <w:tc>
          <w:tcPr>
            <w:tcW w:w="6040" w:type="dxa"/>
            <w:vMerge/>
            <w:shd w:val="clear" w:color="auto" w:fill="D0CECE" w:themeFill="background2" w:themeFillShade="E6"/>
            <w:hideMark/>
          </w:tcPr>
          <w:p w14:paraId="2104A583" w14:textId="77777777" w:rsidR="004D245F" w:rsidRPr="004D245F" w:rsidRDefault="004D245F" w:rsidP="004D245F">
            <w:pPr>
              <w:jc w:val="both"/>
              <w:rPr>
                <w:rFonts w:ascii="Times New Roman" w:eastAsia="Calibri" w:hAnsi="Times New Roman" w:cs="Times New Roman"/>
                <w:b/>
                <w:bCs/>
              </w:rPr>
            </w:pPr>
          </w:p>
        </w:tc>
        <w:tc>
          <w:tcPr>
            <w:tcW w:w="1000" w:type="dxa"/>
            <w:vMerge/>
            <w:shd w:val="clear" w:color="auto" w:fill="D0CECE" w:themeFill="background2" w:themeFillShade="E6"/>
            <w:hideMark/>
          </w:tcPr>
          <w:p w14:paraId="4A4E634A"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3C43D969" w14:textId="77777777" w:rsidR="004D245F" w:rsidRPr="004D245F" w:rsidRDefault="004D245F" w:rsidP="004D245F">
            <w:pPr>
              <w:jc w:val="both"/>
              <w:rPr>
                <w:rFonts w:ascii="Times New Roman" w:eastAsia="Calibri" w:hAnsi="Times New Roman" w:cs="Times New Roman"/>
                <w:b/>
                <w:bCs/>
              </w:rPr>
            </w:pPr>
          </w:p>
        </w:tc>
        <w:tc>
          <w:tcPr>
            <w:tcW w:w="1080" w:type="dxa"/>
            <w:vMerge/>
            <w:shd w:val="clear" w:color="auto" w:fill="D0CECE" w:themeFill="background2" w:themeFillShade="E6"/>
            <w:hideMark/>
          </w:tcPr>
          <w:p w14:paraId="11F86E95" w14:textId="77777777" w:rsidR="004D245F" w:rsidRPr="004D245F" w:rsidRDefault="004D245F" w:rsidP="004D245F">
            <w:pPr>
              <w:jc w:val="both"/>
              <w:rPr>
                <w:rFonts w:ascii="Times New Roman" w:eastAsia="Calibri" w:hAnsi="Times New Roman" w:cs="Times New Roman"/>
                <w:b/>
                <w:bCs/>
              </w:rPr>
            </w:pPr>
          </w:p>
        </w:tc>
        <w:tc>
          <w:tcPr>
            <w:tcW w:w="1180" w:type="dxa"/>
            <w:vMerge/>
            <w:shd w:val="clear" w:color="auto" w:fill="D0CECE" w:themeFill="background2" w:themeFillShade="E6"/>
            <w:hideMark/>
          </w:tcPr>
          <w:p w14:paraId="02B71104" w14:textId="77777777" w:rsidR="004D245F" w:rsidRPr="004D245F" w:rsidRDefault="004D245F" w:rsidP="004D245F">
            <w:pPr>
              <w:jc w:val="both"/>
              <w:rPr>
                <w:rFonts w:ascii="Times New Roman" w:eastAsia="Calibri" w:hAnsi="Times New Roman" w:cs="Times New Roman"/>
                <w:b/>
                <w:bCs/>
              </w:rPr>
            </w:pPr>
          </w:p>
        </w:tc>
        <w:tc>
          <w:tcPr>
            <w:tcW w:w="1320" w:type="dxa"/>
            <w:vMerge/>
            <w:shd w:val="clear" w:color="auto" w:fill="D0CECE" w:themeFill="background2" w:themeFillShade="E6"/>
            <w:hideMark/>
          </w:tcPr>
          <w:p w14:paraId="4414737C"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5F9F3C41" w14:textId="77777777" w:rsidR="004D245F" w:rsidRPr="004D245F" w:rsidRDefault="004D245F" w:rsidP="004D245F">
            <w:pPr>
              <w:jc w:val="both"/>
              <w:rPr>
                <w:rFonts w:ascii="Times New Roman" w:eastAsia="Calibri" w:hAnsi="Times New Roman" w:cs="Times New Roman"/>
                <w:b/>
                <w:bCs/>
              </w:rPr>
            </w:pPr>
          </w:p>
        </w:tc>
        <w:tc>
          <w:tcPr>
            <w:tcW w:w="1900" w:type="dxa"/>
            <w:vMerge/>
            <w:shd w:val="clear" w:color="auto" w:fill="D0CECE" w:themeFill="background2" w:themeFillShade="E6"/>
            <w:hideMark/>
          </w:tcPr>
          <w:p w14:paraId="7AD78325" w14:textId="77777777" w:rsidR="004D245F" w:rsidRPr="004D245F" w:rsidRDefault="004D245F" w:rsidP="004D245F">
            <w:pPr>
              <w:jc w:val="both"/>
              <w:rPr>
                <w:rFonts w:ascii="Times New Roman" w:eastAsia="Calibri" w:hAnsi="Times New Roman" w:cs="Times New Roman"/>
                <w:b/>
                <w:bCs/>
              </w:rPr>
            </w:pPr>
          </w:p>
        </w:tc>
        <w:tc>
          <w:tcPr>
            <w:tcW w:w="1400" w:type="dxa"/>
            <w:vMerge/>
            <w:shd w:val="clear" w:color="auto" w:fill="D0CECE" w:themeFill="background2" w:themeFillShade="E6"/>
            <w:hideMark/>
          </w:tcPr>
          <w:p w14:paraId="38CF141C" w14:textId="77777777" w:rsidR="004D245F" w:rsidRPr="004D245F" w:rsidRDefault="004D245F" w:rsidP="004D245F">
            <w:pPr>
              <w:jc w:val="both"/>
              <w:rPr>
                <w:rFonts w:ascii="Times New Roman" w:eastAsia="Calibri" w:hAnsi="Times New Roman" w:cs="Times New Roman"/>
                <w:b/>
                <w:bCs/>
              </w:rPr>
            </w:pPr>
          </w:p>
        </w:tc>
      </w:tr>
      <w:tr w:rsidR="004D245F" w:rsidRPr="004D245F" w14:paraId="77848FFE" w14:textId="77777777" w:rsidTr="004D245F">
        <w:trPr>
          <w:trHeight w:val="330"/>
        </w:trPr>
        <w:tc>
          <w:tcPr>
            <w:tcW w:w="900" w:type="dxa"/>
            <w:hideMark/>
          </w:tcPr>
          <w:p w14:paraId="5DCC3281"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w:t>
            </w:r>
          </w:p>
        </w:tc>
        <w:tc>
          <w:tcPr>
            <w:tcW w:w="4540" w:type="dxa"/>
            <w:hideMark/>
          </w:tcPr>
          <w:p w14:paraId="7DBA7360"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Prispôsobenie informačných systémov</w:t>
            </w:r>
          </w:p>
        </w:tc>
        <w:tc>
          <w:tcPr>
            <w:tcW w:w="1880" w:type="dxa"/>
            <w:hideMark/>
          </w:tcPr>
          <w:p w14:paraId="74E91505"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návrh zákona</w:t>
            </w:r>
          </w:p>
        </w:tc>
        <w:tc>
          <w:tcPr>
            <w:tcW w:w="1880" w:type="dxa"/>
            <w:hideMark/>
          </w:tcPr>
          <w:p w14:paraId="2CD8576E"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w:t>
            </w:r>
          </w:p>
        </w:tc>
        <w:tc>
          <w:tcPr>
            <w:tcW w:w="6040" w:type="dxa"/>
            <w:hideMark/>
          </w:tcPr>
          <w:p w14:paraId="029EDF1F"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1.SK</w:t>
            </w:r>
          </w:p>
        </w:tc>
        <w:tc>
          <w:tcPr>
            <w:tcW w:w="1000" w:type="dxa"/>
            <w:hideMark/>
          </w:tcPr>
          <w:p w14:paraId="23E258AB"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01.01.24</w:t>
            </w:r>
          </w:p>
        </w:tc>
        <w:tc>
          <w:tcPr>
            <w:tcW w:w="1400" w:type="dxa"/>
            <w:hideMark/>
          </w:tcPr>
          <w:p w14:paraId="3D7058A3"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banky a pobočky zahraničných bánk</w:t>
            </w:r>
          </w:p>
        </w:tc>
        <w:tc>
          <w:tcPr>
            <w:tcW w:w="1080" w:type="dxa"/>
            <w:hideMark/>
          </w:tcPr>
          <w:p w14:paraId="1A053EC2"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ml:space="preserve">                 28 </w:t>
            </w:r>
          </w:p>
        </w:tc>
        <w:tc>
          <w:tcPr>
            <w:tcW w:w="1180" w:type="dxa"/>
            <w:hideMark/>
          </w:tcPr>
          <w:p w14:paraId="56454E46"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3 750</w:t>
            </w:r>
          </w:p>
        </w:tc>
        <w:tc>
          <w:tcPr>
            <w:tcW w:w="1320" w:type="dxa"/>
            <w:hideMark/>
          </w:tcPr>
          <w:p w14:paraId="3BD8BD4E"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105 000</w:t>
            </w:r>
          </w:p>
        </w:tc>
        <w:tc>
          <w:tcPr>
            <w:tcW w:w="1900" w:type="dxa"/>
            <w:hideMark/>
          </w:tcPr>
          <w:p w14:paraId="04E32611"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In (zvyšuje náklady)</w:t>
            </w:r>
          </w:p>
        </w:tc>
        <w:tc>
          <w:tcPr>
            <w:tcW w:w="1900" w:type="dxa"/>
            <w:hideMark/>
          </w:tcPr>
          <w:p w14:paraId="19380DA7"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105 000</w:t>
            </w:r>
          </w:p>
        </w:tc>
        <w:tc>
          <w:tcPr>
            <w:tcW w:w="1400" w:type="dxa"/>
            <w:hideMark/>
          </w:tcPr>
          <w:p w14:paraId="16709158"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0</w:t>
            </w:r>
          </w:p>
        </w:tc>
      </w:tr>
      <w:tr w:rsidR="004D245F" w:rsidRPr="004D245F" w14:paraId="3C1E5EE5" w14:textId="77777777" w:rsidTr="004D245F">
        <w:trPr>
          <w:trHeight w:val="1020"/>
        </w:trPr>
        <w:tc>
          <w:tcPr>
            <w:tcW w:w="900" w:type="dxa"/>
            <w:hideMark/>
          </w:tcPr>
          <w:p w14:paraId="3394F7DD"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2</w:t>
            </w:r>
          </w:p>
        </w:tc>
        <w:tc>
          <w:tcPr>
            <w:tcW w:w="4540" w:type="dxa"/>
            <w:hideMark/>
          </w:tcPr>
          <w:p w14:paraId="74F5A509"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Administratívne činnosti na vybavenie príspevku</w:t>
            </w:r>
          </w:p>
        </w:tc>
        <w:tc>
          <w:tcPr>
            <w:tcW w:w="1880" w:type="dxa"/>
            <w:hideMark/>
          </w:tcPr>
          <w:p w14:paraId="0EC93C9D"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návrh zákona</w:t>
            </w:r>
          </w:p>
        </w:tc>
        <w:tc>
          <w:tcPr>
            <w:tcW w:w="1880" w:type="dxa"/>
            <w:hideMark/>
          </w:tcPr>
          <w:p w14:paraId="59270DB4"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w:t>
            </w:r>
          </w:p>
        </w:tc>
        <w:tc>
          <w:tcPr>
            <w:tcW w:w="6040" w:type="dxa"/>
            <w:hideMark/>
          </w:tcPr>
          <w:p w14:paraId="4A4594D9"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1.SK</w:t>
            </w:r>
          </w:p>
        </w:tc>
        <w:tc>
          <w:tcPr>
            <w:tcW w:w="1000" w:type="dxa"/>
            <w:hideMark/>
          </w:tcPr>
          <w:p w14:paraId="6A6C163B"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01.01.24</w:t>
            </w:r>
          </w:p>
        </w:tc>
        <w:tc>
          <w:tcPr>
            <w:tcW w:w="1400" w:type="dxa"/>
            <w:hideMark/>
          </w:tcPr>
          <w:p w14:paraId="4F9DC7A0"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banky a pobočky zahraničných bánk</w:t>
            </w:r>
          </w:p>
        </w:tc>
        <w:tc>
          <w:tcPr>
            <w:tcW w:w="1080" w:type="dxa"/>
            <w:hideMark/>
          </w:tcPr>
          <w:p w14:paraId="73001811"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ml:space="preserve">                 28 </w:t>
            </w:r>
          </w:p>
        </w:tc>
        <w:tc>
          <w:tcPr>
            <w:tcW w:w="1180" w:type="dxa"/>
            <w:hideMark/>
          </w:tcPr>
          <w:p w14:paraId="65A8474C"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1 917</w:t>
            </w:r>
          </w:p>
        </w:tc>
        <w:tc>
          <w:tcPr>
            <w:tcW w:w="1320" w:type="dxa"/>
            <w:hideMark/>
          </w:tcPr>
          <w:p w14:paraId="03C42A05"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53 683</w:t>
            </w:r>
          </w:p>
        </w:tc>
        <w:tc>
          <w:tcPr>
            <w:tcW w:w="1900" w:type="dxa"/>
            <w:hideMark/>
          </w:tcPr>
          <w:p w14:paraId="178CBB84"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In (zvyšuje náklady)</w:t>
            </w:r>
          </w:p>
        </w:tc>
        <w:tc>
          <w:tcPr>
            <w:tcW w:w="1900" w:type="dxa"/>
            <w:hideMark/>
          </w:tcPr>
          <w:p w14:paraId="0D026530"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53 683</w:t>
            </w:r>
          </w:p>
        </w:tc>
        <w:tc>
          <w:tcPr>
            <w:tcW w:w="1400" w:type="dxa"/>
            <w:hideMark/>
          </w:tcPr>
          <w:p w14:paraId="2FF098B0"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0</w:t>
            </w:r>
          </w:p>
        </w:tc>
      </w:tr>
      <w:tr w:rsidR="004D245F" w:rsidRPr="004D245F" w14:paraId="3F8832F2" w14:textId="77777777" w:rsidTr="004D245F">
        <w:trPr>
          <w:trHeight w:val="1020"/>
        </w:trPr>
        <w:tc>
          <w:tcPr>
            <w:tcW w:w="900" w:type="dxa"/>
            <w:hideMark/>
          </w:tcPr>
          <w:p w14:paraId="742B518D"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3</w:t>
            </w:r>
          </w:p>
        </w:tc>
        <w:tc>
          <w:tcPr>
            <w:tcW w:w="4540" w:type="dxa"/>
            <w:hideMark/>
          </w:tcPr>
          <w:p w14:paraId="3CE490AC"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ml:space="preserve">Informačná povinnosť voči Ústrediu práce, soc. vecí a rodiny </w:t>
            </w:r>
          </w:p>
        </w:tc>
        <w:tc>
          <w:tcPr>
            <w:tcW w:w="1880" w:type="dxa"/>
            <w:hideMark/>
          </w:tcPr>
          <w:p w14:paraId="278EF977"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návrh zákona</w:t>
            </w:r>
          </w:p>
        </w:tc>
        <w:tc>
          <w:tcPr>
            <w:tcW w:w="1880" w:type="dxa"/>
            <w:hideMark/>
          </w:tcPr>
          <w:p w14:paraId="3305220C"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w:t>
            </w:r>
          </w:p>
        </w:tc>
        <w:tc>
          <w:tcPr>
            <w:tcW w:w="6040" w:type="dxa"/>
            <w:hideMark/>
          </w:tcPr>
          <w:p w14:paraId="66F7FBB3"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1.SK</w:t>
            </w:r>
          </w:p>
        </w:tc>
        <w:tc>
          <w:tcPr>
            <w:tcW w:w="1000" w:type="dxa"/>
            <w:hideMark/>
          </w:tcPr>
          <w:p w14:paraId="527FFDF5"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01.01.24</w:t>
            </w:r>
          </w:p>
        </w:tc>
        <w:tc>
          <w:tcPr>
            <w:tcW w:w="1400" w:type="dxa"/>
            <w:hideMark/>
          </w:tcPr>
          <w:p w14:paraId="133E8A7B"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banky a pobočky zahraničných bánk</w:t>
            </w:r>
          </w:p>
        </w:tc>
        <w:tc>
          <w:tcPr>
            <w:tcW w:w="1080" w:type="dxa"/>
            <w:hideMark/>
          </w:tcPr>
          <w:p w14:paraId="6153486E"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 xml:space="preserve">                 28 </w:t>
            </w:r>
          </w:p>
        </w:tc>
        <w:tc>
          <w:tcPr>
            <w:tcW w:w="1180" w:type="dxa"/>
            <w:hideMark/>
          </w:tcPr>
          <w:p w14:paraId="530E8332"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397</w:t>
            </w:r>
          </w:p>
        </w:tc>
        <w:tc>
          <w:tcPr>
            <w:tcW w:w="1320" w:type="dxa"/>
            <w:hideMark/>
          </w:tcPr>
          <w:p w14:paraId="6ECBE9D5"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11 107</w:t>
            </w:r>
          </w:p>
        </w:tc>
        <w:tc>
          <w:tcPr>
            <w:tcW w:w="1900" w:type="dxa"/>
            <w:hideMark/>
          </w:tcPr>
          <w:p w14:paraId="1FD673F6"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In (zvyšuje náklady)</w:t>
            </w:r>
          </w:p>
        </w:tc>
        <w:tc>
          <w:tcPr>
            <w:tcW w:w="1900" w:type="dxa"/>
            <w:hideMark/>
          </w:tcPr>
          <w:p w14:paraId="012B6748"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11 107</w:t>
            </w:r>
          </w:p>
        </w:tc>
        <w:tc>
          <w:tcPr>
            <w:tcW w:w="1400" w:type="dxa"/>
            <w:hideMark/>
          </w:tcPr>
          <w:p w14:paraId="7925F07F" w14:textId="77777777" w:rsidR="004D245F" w:rsidRPr="004D245F" w:rsidRDefault="004D245F" w:rsidP="004D245F">
            <w:pPr>
              <w:jc w:val="both"/>
              <w:rPr>
                <w:rFonts w:ascii="Times New Roman" w:eastAsia="Calibri" w:hAnsi="Times New Roman" w:cs="Times New Roman"/>
              </w:rPr>
            </w:pPr>
            <w:r w:rsidRPr="004D245F">
              <w:rPr>
                <w:rFonts w:ascii="Times New Roman" w:eastAsia="Calibri" w:hAnsi="Times New Roman" w:cs="Times New Roman"/>
              </w:rPr>
              <w:t>0</w:t>
            </w:r>
          </w:p>
        </w:tc>
      </w:tr>
    </w:tbl>
    <w:p w14:paraId="520734CD" w14:textId="0ED207EB"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51668A72" w14:textId="51137035" w:rsidR="003C317B" w:rsidRDefault="003C317B" w:rsidP="003C317B">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6D00EE">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predkladanom</w:t>
      </w:r>
      <w:r w:rsidR="006D00EE">
        <w:rPr>
          <w:rFonts w:ascii="Times New Roman" w:eastAsia="Times New Roman" w:hAnsi="Times New Roman" w:cs="Times New Roman"/>
          <w:sz w:val="24"/>
          <w:szCs w:val="24"/>
          <w:lang w:eastAsia="sk-SK"/>
        </w:rPr>
        <w:t xml:space="preserve"> vládnom</w:t>
      </w:r>
      <w:r>
        <w:rPr>
          <w:rFonts w:ascii="Times New Roman" w:eastAsia="Times New Roman" w:hAnsi="Times New Roman" w:cs="Times New Roman"/>
          <w:sz w:val="24"/>
          <w:szCs w:val="24"/>
          <w:lang w:eastAsia="sk-SK"/>
        </w:rPr>
        <w:t xml:space="preserve"> </w:t>
      </w:r>
      <w:r w:rsidR="00190791">
        <w:rPr>
          <w:rFonts w:ascii="Times New Roman" w:eastAsia="Times New Roman" w:hAnsi="Times New Roman" w:cs="Times New Roman"/>
          <w:sz w:val="24"/>
          <w:szCs w:val="24"/>
          <w:lang w:eastAsia="sk-SK"/>
        </w:rPr>
        <w:t xml:space="preserve">návrhu </w:t>
      </w:r>
      <w:r>
        <w:rPr>
          <w:rFonts w:ascii="Times New Roman" w:eastAsia="Times New Roman" w:hAnsi="Times New Roman" w:cs="Times New Roman"/>
          <w:sz w:val="24"/>
          <w:szCs w:val="24"/>
          <w:lang w:eastAsia="sk-SK"/>
        </w:rPr>
        <w:t>zákon</w:t>
      </w:r>
      <w:r w:rsidR="00190791">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 xml:space="preserve"> boli identifikované 3 vplyvy na podnikateľské prostredie, ktoré zvyšujú náklady pre dotknuté subjekty. Predmetom kalkulačky nákladov sú regulácie súvisiace so zvýšením nepriamych finančných nákladov a administratívnej záťaže pre subjekty, ktorými sú banky a pobočky zahraničných bánk</w:t>
      </w:r>
      <w:r w:rsidR="00781AC1">
        <w:rPr>
          <w:rFonts w:ascii="Times New Roman" w:eastAsia="Times New Roman" w:hAnsi="Times New Roman" w:cs="Times New Roman"/>
          <w:sz w:val="24"/>
          <w:szCs w:val="24"/>
          <w:lang w:eastAsia="sk-SK"/>
        </w:rPr>
        <w:t xml:space="preserve"> (ďalej len „banka“)</w:t>
      </w:r>
      <w:r>
        <w:rPr>
          <w:rFonts w:ascii="Times New Roman" w:eastAsia="Times New Roman" w:hAnsi="Times New Roman" w:cs="Times New Roman"/>
          <w:sz w:val="24"/>
          <w:szCs w:val="24"/>
          <w:lang w:eastAsia="sk-SK"/>
        </w:rPr>
        <w:t>.</w:t>
      </w:r>
    </w:p>
    <w:p w14:paraId="65DA22DC" w14:textId="77777777" w:rsidR="003C317B" w:rsidRDefault="003C317B" w:rsidP="003C317B">
      <w:pPr>
        <w:spacing w:after="0"/>
        <w:jc w:val="both"/>
        <w:rPr>
          <w:rFonts w:ascii="Times New Roman" w:eastAsia="Times New Roman" w:hAnsi="Times New Roman" w:cs="Times New Roman"/>
          <w:sz w:val="24"/>
          <w:szCs w:val="24"/>
          <w:lang w:eastAsia="sk-SK"/>
        </w:rPr>
      </w:pPr>
    </w:p>
    <w:p w14:paraId="7C783DE4" w14:textId="5748C31B" w:rsidR="003C317B" w:rsidRPr="00564705" w:rsidRDefault="003C317B" w:rsidP="003C317B">
      <w:pPr>
        <w:jc w:val="both"/>
        <w:rPr>
          <w:rFonts w:ascii="Times New Roman" w:eastAsia="Calibri" w:hAnsi="Times New Roman" w:cs="Times New Roman"/>
          <w:sz w:val="24"/>
          <w:szCs w:val="24"/>
        </w:rPr>
      </w:pPr>
      <w:r w:rsidRPr="00564705">
        <w:rPr>
          <w:rFonts w:ascii="Times New Roman" w:eastAsia="Calibri" w:hAnsi="Times New Roman" w:cs="Times New Roman"/>
          <w:sz w:val="24"/>
          <w:szCs w:val="24"/>
        </w:rPr>
        <w:t xml:space="preserve">Odhad nákladov komplikuje skutočnosť, že v súčasnosti nie je možné odhadnúť nastavenie interných procesov </w:t>
      </w:r>
      <w:r w:rsidR="00781AC1">
        <w:rPr>
          <w:rFonts w:ascii="Times New Roman" w:eastAsia="Calibri" w:hAnsi="Times New Roman" w:cs="Times New Roman"/>
          <w:sz w:val="24"/>
          <w:szCs w:val="24"/>
        </w:rPr>
        <w:t>jednotlivých</w:t>
      </w:r>
      <w:r w:rsidRPr="00564705">
        <w:rPr>
          <w:rFonts w:ascii="Times New Roman" w:eastAsia="Calibri" w:hAnsi="Times New Roman" w:cs="Times New Roman"/>
          <w:sz w:val="24"/>
          <w:szCs w:val="24"/>
        </w:rPr>
        <w:t xml:space="preserve"> b</w:t>
      </w:r>
      <w:r w:rsidR="00781AC1">
        <w:rPr>
          <w:rFonts w:ascii="Times New Roman" w:eastAsia="Calibri" w:hAnsi="Times New Roman" w:cs="Times New Roman"/>
          <w:sz w:val="24"/>
          <w:szCs w:val="24"/>
        </w:rPr>
        <w:t>ánk</w:t>
      </w:r>
      <w:r w:rsidRPr="00564705">
        <w:rPr>
          <w:rFonts w:ascii="Times New Roman" w:eastAsia="Calibri" w:hAnsi="Times New Roman" w:cs="Times New Roman"/>
          <w:sz w:val="24"/>
          <w:szCs w:val="24"/>
        </w:rPr>
        <w:t xml:space="preserve"> a aké </w:t>
      </w:r>
      <w:r w:rsidR="00781AC1">
        <w:rPr>
          <w:rFonts w:ascii="Times New Roman" w:eastAsia="Calibri" w:hAnsi="Times New Roman" w:cs="Times New Roman"/>
          <w:sz w:val="24"/>
          <w:szCs w:val="24"/>
        </w:rPr>
        <w:t>bude potrebné zaviesť</w:t>
      </w:r>
      <w:r w:rsidRPr="00564705">
        <w:rPr>
          <w:rFonts w:ascii="Times New Roman" w:eastAsia="Calibri" w:hAnsi="Times New Roman" w:cs="Times New Roman"/>
          <w:sz w:val="24"/>
          <w:szCs w:val="24"/>
        </w:rPr>
        <w:t xml:space="preserve">, aká je miera automatizácie jednotlivých procesov a spôsob realizácie požadovaných zásahov do informačných systémov a pod. </w:t>
      </w:r>
    </w:p>
    <w:p w14:paraId="2BEB4A37" w14:textId="49D1F7A8" w:rsidR="003C317B" w:rsidRPr="00564705" w:rsidRDefault="003C317B" w:rsidP="003C317B">
      <w:pPr>
        <w:jc w:val="both"/>
        <w:rPr>
          <w:rFonts w:ascii="Times New Roman" w:eastAsia="Calibri" w:hAnsi="Times New Roman" w:cs="Times New Roman"/>
          <w:sz w:val="24"/>
          <w:szCs w:val="24"/>
        </w:rPr>
      </w:pPr>
      <w:r>
        <w:rPr>
          <w:rFonts w:ascii="Times New Roman" w:eastAsia="Calibri" w:hAnsi="Times New Roman" w:cs="Times New Roman"/>
          <w:sz w:val="24"/>
          <w:szCs w:val="24"/>
        </w:rPr>
        <w:t>Z uvedeného dôvodu hodnotu uvedenú</w:t>
      </w:r>
      <w:r w:rsidRPr="00564705">
        <w:rPr>
          <w:rFonts w:ascii="Times New Roman" w:eastAsia="Calibri" w:hAnsi="Times New Roman" w:cs="Times New Roman"/>
          <w:sz w:val="24"/>
          <w:szCs w:val="24"/>
        </w:rPr>
        <w:t xml:space="preserve"> v analýze na podnikateľské prostredie predstavuj</w:t>
      </w:r>
      <w:r>
        <w:rPr>
          <w:rFonts w:ascii="Times New Roman" w:eastAsia="Calibri" w:hAnsi="Times New Roman" w:cs="Times New Roman"/>
          <w:sz w:val="24"/>
          <w:szCs w:val="24"/>
        </w:rPr>
        <w:t>e</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expertný odhad. </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564705">
        <w:rPr>
          <w:rFonts w:ascii="Times New Roman" w:eastAsia="Calibri" w:hAnsi="Times New Roman" w:cs="Times New Roman"/>
          <w:sz w:val="24"/>
          <w:szCs w:val="24"/>
        </w:rPr>
        <w:t>dhaduje</w:t>
      </w:r>
      <w:r>
        <w:rPr>
          <w:rFonts w:ascii="Times New Roman" w:eastAsia="Calibri" w:hAnsi="Times New Roman" w:cs="Times New Roman"/>
          <w:sz w:val="24"/>
          <w:szCs w:val="24"/>
        </w:rPr>
        <w:t xml:space="preserve"> sa</w:t>
      </w:r>
      <w:r w:rsidRPr="00564705">
        <w:rPr>
          <w:rFonts w:ascii="Times New Roman" w:eastAsia="Calibri" w:hAnsi="Times New Roman" w:cs="Times New Roman"/>
          <w:sz w:val="24"/>
          <w:szCs w:val="24"/>
        </w:rPr>
        <w:t>, že náklady jednej banky na zmeny spojené s</w:t>
      </w:r>
      <w:r>
        <w:rPr>
          <w:rFonts w:ascii="Times New Roman" w:eastAsia="Calibri" w:hAnsi="Times New Roman" w:cs="Times New Roman"/>
          <w:sz w:val="24"/>
          <w:szCs w:val="24"/>
        </w:rPr>
        <w:t>o</w:t>
      </w:r>
      <w:r w:rsidRPr="00564705">
        <w:rPr>
          <w:rFonts w:ascii="Times New Roman" w:eastAsia="Calibri" w:hAnsi="Times New Roman" w:cs="Times New Roman"/>
          <w:sz w:val="24"/>
          <w:szCs w:val="24"/>
        </w:rPr>
        <w:t xml:space="preserve">  zásahmi do informačných systémov predstavujú </w:t>
      </w:r>
      <w:r>
        <w:rPr>
          <w:rFonts w:ascii="Times New Roman" w:eastAsia="Calibri" w:hAnsi="Times New Roman" w:cs="Times New Roman"/>
          <w:sz w:val="24"/>
          <w:szCs w:val="24"/>
        </w:rPr>
        <w:t>približne 15 000 eur jednorazovo a</w:t>
      </w:r>
      <w:r w:rsidR="00954C56">
        <w:rPr>
          <w:rFonts w:ascii="Times New Roman" w:eastAsia="Calibri" w:hAnsi="Times New Roman" w:cs="Times New Roman"/>
          <w:sz w:val="24"/>
          <w:szCs w:val="24"/>
        </w:rPr>
        <w:t xml:space="preserve"> spolu s </w:t>
      </w:r>
      <w:r w:rsidRPr="00564705">
        <w:rPr>
          <w:rFonts w:ascii="Times New Roman" w:eastAsia="Calibri" w:hAnsi="Times New Roman" w:cs="Times New Roman"/>
          <w:sz w:val="24"/>
          <w:szCs w:val="24"/>
        </w:rPr>
        <w:t>ad</w:t>
      </w:r>
      <w:r>
        <w:rPr>
          <w:rFonts w:ascii="Times New Roman" w:eastAsia="Calibri" w:hAnsi="Times New Roman" w:cs="Times New Roman"/>
          <w:sz w:val="24"/>
          <w:szCs w:val="24"/>
        </w:rPr>
        <w:t>ministr</w:t>
      </w:r>
      <w:r w:rsidR="00954C56">
        <w:rPr>
          <w:rFonts w:ascii="Times New Roman" w:eastAsia="Calibri" w:hAnsi="Times New Roman" w:cs="Times New Roman"/>
          <w:sz w:val="24"/>
          <w:szCs w:val="24"/>
        </w:rPr>
        <w:t>atívnymi nákladmi pre</w:t>
      </w:r>
      <w:r>
        <w:rPr>
          <w:rFonts w:ascii="Times New Roman" w:eastAsia="Calibri" w:hAnsi="Times New Roman" w:cs="Times New Roman"/>
          <w:sz w:val="24"/>
          <w:szCs w:val="24"/>
        </w:rPr>
        <w:t xml:space="preserve"> nov</w:t>
      </w:r>
      <w:r w:rsidR="00954C56">
        <w:rPr>
          <w:rFonts w:ascii="Times New Roman" w:eastAsia="Calibri" w:hAnsi="Times New Roman" w:cs="Times New Roman"/>
          <w:sz w:val="24"/>
          <w:szCs w:val="24"/>
        </w:rPr>
        <w:t>ú</w:t>
      </w:r>
      <w:r>
        <w:rPr>
          <w:rFonts w:ascii="Times New Roman" w:eastAsia="Calibri" w:hAnsi="Times New Roman" w:cs="Times New Roman"/>
          <w:sz w:val="24"/>
          <w:szCs w:val="24"/>
        </w:rPr>
        <w:t xml:space="preserve"> povinnos</w:t>
      </w:r>
      <w:r w:rsidR="00954C56">
        <w:rPr>
          <w:rFonts w:ascii="Times New Roman" w:eastAsia="Calibri" w:hAnsi="Times New Roman" w:cs="Times New Roman"/>
          <w:sz w:val="24"/>
          <w:szCs w:val="24"/>
        </w:rPr>
        <w:t>ť</w:t>
      </w:r>
      <w:r>
        <w:rPr>
          <w:rFonts w:ascii="Times New Roman" w:eastAsia="Calibri" w:hAnsi="Times New Roman" w:cs="Times New Roman"/>
          <w:sz w:val="24"/>
          <w:szCs w:val="24"/>
        </w:rPr>
        <w:t xml:space="preserve"> sú vyčíslené v tab. č. 1. </w:t>
      </w:r>
      <w:r w:rsidRPr="00564705">
        <w:rPr>
          <w:rFonts w:ascii="Times New Roman" w:eastAsia="Calibri" w:hAnsi="Times New Roman" w:cs="Times New Roman"/>
          <w:sz w:val="24"/>
          <w:szCs w:val="24"/>
        </w:rPr>
        <w:t xml:space="preserve">Náklady sektora potom budú predstavovať súčet nákladov jednotlivých dotknutých bánk. </w:t>
      </w:r>
    </w:p>
    <w:p w14:paraId="7C8AF984" w14:textId="37490118" w:rsidR="003C317B" w:rsidRPr="00564705" w:rsidRDefault="003C317B" w:rsidP="003C317B">
      <w:pPr>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564705">
        <w:rPr>
          <w:rFonts w:ascii="Times New Roman" w:eastAsia="Calibri" w:hAnsi="Times New Roman" w:cs="Times New Roman"/>
          <w:sz w:val="24"/>
          <w:szCs w:val="24"/>
        </w:rPr>
        <w:t xml:space="preserve">egislatívna zmena </w:t>
      </w:r>
      <w:r>
        <w:rPr>
          <w:rFonts w:ascii="Times New Roman" w:eastAsia="Calibri" w:hAnsi="Times New Roman" w:cs="Times New Roman"/>
          <w:sz w:val="24"/>
          <w:szCs w:val="24"/>
        </w:rPr>
        <w:t>spočíva v stanovení podmienok nároku na získanie príspevku na zvýšenú splátku úveru na bývanie a informačnú povinnosť</w:t>
      </w:r>
      <w:r w:rsidR="00954C56" w:rsidRPr="00954C56">
        <w:rPr>
          <w:rFonts w:ascii="Times New Roman" w:eastAsia="Calibri" w:hAnsi="Times New Roman" w:cs="Times New Roman"/>
          <w:sz w:val="24"/>
          <w:szCs w:val="24"/>
        </w:rPr>
        <w:t xml:space="preserve"> </w:t>
      </w:r>
      <w:r w:rsidR="00954C56">
        <w:rPr>
          <w:rFonts w:ascii="Times New Roman" w:eastAsia="Calibri" w:hAnsi="Times New Roman" w:cs="Times New Roman"/>
          <w:sz w:val="24"/>
          <w:szCs w:val="24"/>
        </w:rPr>
        <w:t xml:space="preserve">bánk </w:t>
      </w:r>
      <w:r w:rsidR="00781AC1">
        <w:rPr>
          <w:rFonts w:ascii="Times New Roman" w:eastAsia="Calibri" w:hAnsi="Times New Roman" w:cs="Times New Roman"/>
          <w:sz w:val="24"/>
          <w:szCs w:val="24"/>
        </w:rPr>
        <w:t xml:space="preserve">zasielať údaje </w:t>
      </w:r>
      <w:r w:rsidR="00954C56">
        <w:rPr>
          <w:rFonts w:ascii="Times New Roman" w:eastAsia="Calibri" w:hAnsi="Times New Roman" w:cs="Times New Roman"/>
          <w:sz w:val="24"/>
          <w:szCs w:val="24"/>
        </w:rPr>
        <w:t>portfóli</w:t>
      </w:r>
      <w:r w:rsidR="00781AC1">
        <w:rPr>
          <w:rFonts w:ascii="Times New Roman" w:eastAsia="Calibri" w:hAnsi="Times New Roman" w:cs="Times New Roman"/>
          <w:sz w:val="24"/>
          <w:szCs w:val="24"/>
        </w:rPr>
        <w:t>a, čiže</w:t>
      </w:r>
      <w:r w:rsidR="00954C56">
        <w:rPr>
          <w:rFonts w:ascii="Times New Roman" w:eastAsia="Calibri" w:hAnsi="Times New Roman" w:cs="Times New Roman"/>
          <w:sz w:val="24"/>
          <w:szCs w:val="24"/>
        </w:rPr>
        <w:t xml:space="preserve"> všetkých klientov</w:t>
      </w:r>
      <w:r w:rsidR="00781AC1">
        <w:rPr>
          <w:rFonts w:ascii="Times New Roman" w:eastAsia="Calibri" w:hAnsi="Times New Roman" w:cs="Times New Roman"/>
          <w:sz w:val="24"/>
          <w:szCs w:val="24"/>
        </w:rPr>
        <w:t xml:space="preserve"> - spotrebiteľov</w:t>
      </w:r>
      <w:r w:rsidR="00954C56">
        <w:rPr>
          <w:rFonts w:ascii="Times New Roman" w:eastAsia="Calibri" w:hAnsi="Times New Roman" w:cs="Times New Roman"/>
          <w:sz w:val="24"/>
          <w:szCs w:val="24"/>
        </w:rPr>
        <w:t xml:space="preserve"> úverov na bývanie</w:t>
      </w:r>
      <w:r w:rsidR="00781AC1">
        <w:rPr>
          <w:rFonts w:ascii="Times New Roman" w:eastAsia="Calibri" w:hAnsi="Times New Roman" w:cs="Times New Roman"/>
          <w:sz w:val="24"/>
          <w:szCs w:val="24"/>
        </w:rPr>
        <w:t xml:space="preserve"> – hypotekárnych úverov</w:t>
      </w:r>
      <w:r w:rsidR="00954C56">
        <w:rPr>
          <w:rFonts w:ascii="Times New Roman" w:eastAsia="Calibri" w:hAnsi="Times New Roman" w:cs="Times New Roman"/>
          <w:sz w:val="24"/>
          <w:szCs w:val="24"/>
        </w:rPr>
        <w:t xml:space="preserve"> </w:t>
      </w:r>
      <w:r>
        <w:rPr>
          <w:rFonts w:ascii="Times New Roman" w:eastAsia="Calibri" w:hAnsi="Times New Roman" w:cs="Times New Roman"/>
          <w:sz w:val="24"/>
          <w:szCs w:val="24"/>
        </w:rPr>
        <w:t>Ústrediu práce, sociálnych vecí a rodiny</w:t>
      </w:r>
      <w:r w:rsidR="00954C56">
        <w:rPr>
          <w:rFonts w:ascii="Times New Roman" w:eastAsia="Calibri" w:hAnsi="Times New Roman" w:cs="Times New Roman"/>
          <w:sz w:val="24"/>
          <w:szCs w:val="24"/>
        </w:rPr>
        <w:t xml:space="preserve">. </w:t>
      </w:r>
      <w:r w:rsidRPr="00564705">
        <w:rPr>
          <w:rFonts w:ascii="Times New Roman" w:eastAsia="Calibri" w:hAnsi="Times New Roman" w:cs="Times New Roman"/>
          <w:sz w:val="24"/>
          <w:szCs w:val="24"/>
        </w:rPr>
        <w:t xml:space="preserve">Z toho vyplýva, že banky </w:t>
      </w:r>
      <w:r>
        <w:rPr>
          <w:rFonts w:ascii="Times New Roman" w:eastAsia="Calibri" w:hAnsi="Times New Roman" w:cs="Times New Roman"/>
          <w:sz w:val="24"/>
          <w:szCs w:val="24"/>
        </w:rPr>
        <w:t>budú musieť mať informačný systém nastavený aj na výpočet možných nárokov na príspevok na zvýšenú splátku úveru na bývanie a</w:t>
      </w:r>
      <w:r w:rsidR="0036656C">
        <w:rPr>
          <w:rFonts w:ascii="Times New Roman" w:eastAsia="Calibri" w:hAnsi="Times New Roman" w:cs="Times New Roman"/>
          <w:sz w:val="24"/>
          <w:szCs w:val="24"/>
        </w:rPr>
        <w:t> </w:t>
      </w:r>
      <w:r>
        <w:rPr>
          <w:rFonts w:ascii="Times New Roman" w:eastAsia="Calibri" w:hAnsi="Times New Roman" w:cs="Times New Roman"/>
          <w:sz w:val="24"/>
          <w:szCs w:val="24"/>
        </w:rPr>
        <w:t>s</w:t>
      </w:r>
      <w:r w:rsidR="003665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tým súvisiacu tvorbu reportov. </w:t>
      </w:r>
      <w:r w:rsidR="0036656C">
        <w:rPr>
          <w:rFonts w:ascii="Times New Roman" w:eastAsia="Calibri" w:hAnsi="Times New Roman" w:cs="Times New Roman"/>
          <w:sz w:val="24"/>
          <w:szCs w:val="24"/>
        </w:rPr>
        <w:t>U</w:t>
      </w:r>
      <w:r>
        <w:rPr>
          <w:rFonts w:ascii="Times New Roman" w:eastAsia="Calibri" w:hAnsi="Times New Roman" w:cs="Times New Roman"/>
          <w:sz w:val="24"/>
          <w:szCs w:val="24"/>
        </w:rPr>
        <w:t>vedené nastavenie zvyšuje možné vynaložené</w:t>
      </w:r>
      <w:r w:rsidRPr="00564705">
        <w:rPr>
          <w:rFonts w:ascii="Times New Roman" w:eastAsia="Calibri" w:hAnsi="Times New Roman" w:cs="Times New Roman"/>
          <w:sz w:val="24"/>
          <w:szCs w:val="24"/>
        </w:rPr>
        <w:t xml:space="preserve"> náklady </w:t>
      </w:r>
      <w:r>
        <w:rPr>
          <w:rFonts w:ascii="Times New Roman" w:eastAsia="Calibri" w:hAnsi="Times New Roman" w:cs="Times New Roman"/>
          <w:sz w:val="24"/>
          <w:szCs w:val="24"/>
        </w:rPr>
        <w:t xml:space="preserve"> na</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zmenu stanovenú zákonom</w:t>
      </w:r>
      <w:r w:rsidRPr="00564705">
        <w:rPr>
          <w:rFonts w:ascii="Times New Roman" w:eastAsia="Calibri" w:hAnsi="Times New Roman" w:cs="Times New Roman"/>
          <w:sz w:val="24"/>
          <w:szCs w:val="24"/>
        </w:rPr>
        <w:t>.</w:t>
      </w:r>
    </w:p>
    <w:p w14:paraId="7A933F7A" w14:textId="66D3AD67" w:rsidR="003C317B" w:rsidRPr="00564705" w:rsidRDefault="003C317B" w:rsidP="003C317B">
      <w:pPr>
        <w:jc w:val="both"/>
        <w:rPr>
          <w:rFonts w:ascii="Times New Roman" w:eastAsia="Calibri" w:hAnsi="Times New Roman" w:cs="Times New Roman"/>
          <w:sz w:val="24"/>
          <w:szCs w:val="24"/>
        </w:rPr>
      </w:pPr>
      <w:r w:rsidRPr="008A6ADE">
        <w:rPr>
          <w:rFonts w:ascii="Times New Roman" w:eastAsia="Calibri" w:hAnsi="Times New Roman" w:cs="Times New Roman"/>
          <w:sz w:val="24"/>
          <w:szCs w:val="24"/>
        </w:rPr>
        <w:t xml:space="preserve">Na základe výpočtu Kalkulačky k Analýze vplyvov na podnikateľské prostredie viď tab. č. 1 sa predpokladá zvýšenie </w:t>
      </w:r>
      <w:r w:rsidR="00781AC1">
        <w:rPr>
          <w:rFonts w:ascii="Times New Roman" w:eastAsia="Calibri" w:hAnsi="Times New Roman" w:cs="Times New Roman"/>
          <w:sz w:val="24"/>
          <w:szCs w:val="24"/>
        </w:rPr>
        <w:t>a</w:t>
      </w:r>
      <w:r w:rsidRPr="008A6ADE">
        <w:rPr>
          <w:rFonts w:ascii="Times New Roman" w:eastAsia="Calibri" w:hAnsi="Times New Roman" w:cs="Times New Roman"/>
          <w:sz w:val="24"/>
          <w:szCs w:val="24"/>
        </w:rPr>
        <w:t xml:space="preserve">dministratívnych nákladov na podnikateľské prostredie (IN) vo výške </w:t>
      </w:r>
      <w:r w:rsidR="008A6ADE" w:rsidRPr="008A6ADE">
        <w:rPr>
          <w:rFonts w:ascii="Times New Roman" w:eastAsia="Calibri" w:hAnsi="Times New Roman" w:cs="Times New Roman"/>
          <w:bCs/>
          <w:sz w:val="24"/>
          <w:szCs w:val="24"/>
        </w:rPr>
        <w:t xml:space="preserve">64 790 </w:t>
      </w:r>
      <w:r w:rsidRPr="008A6ADE">
        <w:rPr>
          <w:rFonts w:ascii="Times New Roman" w:eastAsia="Calibri" w:hAnsi="Times New Roman" w:cs="Times New Roman"/>
          <w:sz w:val="24"/>
          <w:szCs w:val="24"/>
        </w:rPr>
        <w:t xml:space="preserve">Eur a nepriamych finančných nákladov (IN) vo výške 105 000 Eur, spolu </w:t>
      </w:r>
      <w:r w:rsidR="00C92FBA" w:rsidRPr="008A6ADE">
        <w:rPr>
          <w:rFonts w:ascii="Times New Roman" w:eastAsia="Calibri" w:hAnsi="Times New Roman" w:cs="Times New Roman"/>
          <w:sz w:val="24"/>
          <w:szCs w:val="24"/>
        </w:rPr>
        <w:t xml:space="preserve">predstavujú náklady hodnotu </w:t>
      </w:r>
      <w:r w:rsidR="008A6ADE" w:rsidRPr="008A6ADE">
        <w:rPr>
          <w:rFonts w:ascii="Times New Roman" w:eastAsia="Calibri" w:hAnsi="Times New Roman" w:cs="Times New Roman"/>
          <w:bCs/>
          <w:sz w:val="24"/>
          <w:szCs w:val="24"/>
        </w:rPr>
        <w:t xml:space="preserve">169 790 </w:t>
      </w:r>
      <w:r w:rsidRPr="008A6ADE">
        <w:rPr>
          <w:rFonts w:ascii="Times New Roman" w:eastAsia="Calibri" w:hAnsi="Times New Roman" w:cs="Times New Roman"/>
          <w:sz w:val="24"/>
          <w:szCs w:val="24"/>
        </w:rPr>
        <w:t>Eur.</w:t>
      </w:r>
      <w:r w:rsidRPr="00564705">
        <w:rPr>
          <w:rFonts w:ascii="Times New Roman" w:eastAsia="Calibri" w:hAnsi="Times New Roman" w:cs="Times New Roman"/>
          <w:sz w:val="24"/>
          <w:szCs w:val="24"/>
        </w:rPr>
        <w:t xml:space="preserve"> </w:t>
      </w:r>
    </w:p>
    <w:p w14:paraId="3FFF5AF5" w14:textId="77777777" w:rsidR="00BE57D0" w:rsidRDefault="00BE57D0" w:rsidP="003C317B">
      <w:pPr>
        <w:jc w:val="both"/>
        <w:rPr>
          <w:rFonts w:ascii="Times New Roman" w:eastAsia="Calibri" w:hAnsi="Times New Roman" w:cs="Times New Roman"/>
          <w:i/>
          <w:sz w:val="24"/>
          <w:szCs w:val="24"/>
          <w:u w:val="single"/>
        </w:rPr>
      </w:pPr>
    </w:p>
    <w:p w14:paraId="7DF71557" w14:textId="0E1468A6" w:rsidR="003C317B" w:rsidRPr="0077478D" w:rsidRDefault="003C317B" w:rsidP="003C317B">
      <w:pPr>
        <w:jc w:val="both"/>
        <w:rPr>
          <w:rFonts w:ascii="Times New Roman" w:eastAsia="Calibri" w:hAnsi="Times New Roman" w:cs="Times New Roman"/>
          <w:i/>
          <w:sz w:val="24"/>
          <w:szCs w:val="24"/>
          <w:u w:val="single"/>
        </w:rPr>
      </w:pPr>
      <w:r w:rsidRPr="0077478D">
        <w:rPr>
          <w:rFonts w:ascii="Times New Roman" w:eastAsia="Calibri" w:hAnsi="Times New Roman" w:cs="Times New Roman"/>
          <w:i/>
          <w:sz w:val="24"/>
          <w:szCs w:val="24"/>
          <w:u w:val="single"/>
        </w:rPr>
        <w:t>Opatrenia (opisy regulácií) č. 1 a</w:t>
      </w:r>
      <w:r>
        <w:rPr>
          <w:rFonts w:ascii="Times New Roman" w:eastAsia="Calibri" w:hAnsi="Times New Roman" w:cs="Times New Roman"/>
          <w:i/>
          <w:sz w:val="24"/>
          <w:szCs w:val="24"/>
          <w:u w:val="single"/>
        </w:rPr>
        <w:t>ž</w:t>
      </w:r>
      <w:r w:rsidRPr="0077478D">
        <w:rPr>
          <w:rFonts w:ascii="Times New Roman" w:eastAsia="Calibri" w:hAnsi="Times New Roman" w:cs="Times New Roman"/>
          <w:i/>
          <w:sz w:val="24"/>
          <w:szCs w:val="24"/>
          <w:u w:val="single"/>
        </w:rPr>
        <w:t xml:space="preserve"> </w:t>
      </w:r>
      <w:r>
        <w:rPr>
          <w:rFonts w:ascii="Times New Roman" w:eastAsia="Calibri" w:hAnsi="Times New Roman" w:cs="Times New Roman"/>
          <w:i/>
          <w:sz w:val="24"/>
          <w:szCs w:val="24"/>
          <w:u w:val="single"/>
        </w:rPr>
        <w:t>3</w:t>
      </w:r>
    </w:p>
    <w:p w14:paraId="3B45B27B" w14:textId="7E8B16CF" w:rsidR="0036656C" w:rsidRPr="00BE57D0" w:rsidRDefault="0036656C" w:rsidP="0036656C">
      <w:pPr>
        <w:jc w:val="both"/>
        <w:rPr>
          <w:rFonts w:ascii="Times New Roman" w:eastAsia="Calibri" w:hAnsi="Times New Roman" w:cs="Times New Roman"/>
          <w:b/>
          <w:i/>
          <w:sz w:val="24"/>
          <w:szCs w:val="24"/>
        </w:rPr>
      </w:pPr>
      <w:r w:rsidRPr="00BE57D0">
        <w:rPr>
          <w:rFonts w:ascii="Times New Roman" w:eastAsia="Calibri" w:hAnsi="Times New Roman" w:cs="Times New Roman"/>
          <w:b/>
          <w:i/>
          <w:sz w:val="24"/>
          <w:szCs w:val="24"/>
        </w:rPr>
        <w:t>1. Prispôsobenie informačných systémov novým vzorom</w:t>
      </w:r>
    </w:p>
    <w:p w14:paraId="7BDCE57B" w14:textId="3E5E865A" w:rsidR="0036656C" w:rsidRDefault="0036656C" w:rsidP="0036656C">
      <w:pPr>
        <w:jc w:val="both"/>
        <w:rPr>
          <w:rFonts w:ascii="Times New Roman" w:eastAsia="Calibri" w:hAnsi="Times New Roman" w:cs="Times New Roman"/>
          <w:sz w:val="24"/>
          <w:szCs w:val="24"/>
        </w:rPr>
      </w:pPr>
      <w:r w:rsidRPr="00564705">
        <w:rPr>
          <w:rFonts w:ascii="Times New Roman" w:eastAsia="Calibri" w:hAnsi="Times New Roman" w:cs="Times New Roman"/>
          <w:sz w:val="24"/>
          <w:szCs w:val="24"/>
        </w:rPr>
        <w:t xml:space="preserve">Predmetná regulácia zvyšuje nepriame finančné náklady </w:t>
      </w:r>
      <w:r>
        <w:rPr>
          <w:rFonts w:ascii="Times New Roman" w:eastAsia="Calibri" w:hAnsi="Times New Roman" w:cs="Times New Roman"/>
          <w:sz w:val="24"/>
          <w:szCs w:val="24"/>
        </w:rPr>
        <w:t xml:space="preserve">bánk </w:t>
      </w:r>
      <w:r w:rsidRPr="00564705">
        <w:rPr>
          <w:rFonts w:ascii="Times New Roman" w:eastAsia="Calibri" w:hAnsi="Times New Roman" w:cs="Times New Roman"/>
          <w:sz w:val="24"/>
          <w:szCs w:val="24"/>
        </w:rPr>
        <w:t>poskytujúcich úvery na bývanie</w:t>
      </w:r>
      <w:r w:rsidR="00781AC1">
        <w:rPr>
          <w:rFonts w:ascii="Times New Roman" w:eastAsia="Calibri" w:hAnsi="Times New Roman" w:cs="Times New Roman"/>
          <w:sz w:val="24"/>
          <w:szCs w:val="24"/>
        </w:rPr>
        <w:t xml:space="preserve"> – hypotekárne úvery</w:t>
      </w:r>
      <w:r w:rsidRPr="00564705">
        <w:rPr>
          <w:rFonts w:ascii="Times New Roman" w:eastAsia="Calibri" w:hAnsi="Times New Roman" w:cs="Times New Roman"/>
          <w:sz w:val="24"/>
          <w:szCs w:val="24"/>
        </w:rPr>
        <w:t xml:space="preserve">, pokiaľ ide o informačné systémy. </w:t>
      </w:r>
      <w:r>
        <w:rPr>
          <w:rFonts w:ascii="Times New Roman" w:eastAsia="Calibri" w:hAnsi="Times New Roman" w:cs="Times New Roman"/>
          <w:sz w:val="24"/>
          <w:szCs w:val="24"/>
        </w:rPr>
        <w:t xml:space="preserve">Banka </w:t>
      </w:r>
      <w:r w:rsidRPr="00564705">
        <w:rPr>
          <w:rFonts w:ascii="Times New Roman" w:eastAsia="Calibri" w:hAnsi="Times New Roman" w:cs="Times New Roman"/>
          <w:sz w:val="24"/>
          <w:szCs w:val="24"/>
        </w:rPr>
        <w:t>skôr ako začne vykonávať a plni</w:t>
      </w:r>
      <w:r>
        <w:rPr>
          <w:rFonts w:ascii="Times New Roman" w:eastAsia="Calibri" w:hAnsi="Times New Roman" w:cs="Times New Roman"/>
          <w:sz w:val="24"/>
          <w:szCs w:val="24"/>
        </w:rPr>
        <w:t>ť predmetnú reguláciu je povinná</w:t>
      </w:r>
      <w:r w:rsidRPr="00564705">
        <w:rPr>
          <w:rFonts w:ascii="Times New Roman" w:eastAsia="Calibri" w:hAnsi="Times New Roman" w:cs="Times New Roman"/>
          <w:sz w:val="24"/>
          <w:szCs w:val="24"/>
        </w:rPr>
        <w:t xml:space="preserve"> nastaviť informačné systémy podľa nových požiadaviek legislatívy. Bez ich zmien a zásah</w:t>
      </w:r>
      <w:r>
        <w:rPr>
          <w:rFonts w:ascii="Times New Roman" w:eastAsia="Calibri" w:hAnsi="Times New Roman" w:cs="Times New Roman"/>
          <w:sz w:val="24"/>
          <w:szCs w:val="24"/>
        </w:rPr>
        <w:t>ov do informačných systémov by dotknuté subjekty</w:t>
      </w:r>
      <w:r w:rsidRPr="00564705">
        <w:rPr>
          <w:rFonts w:ascii="Times New Roman" w:eastAsia="Calibri" w:hAnsi="Times New Roman" w:cs="Times New Roman"/>
          <w:sz w:val="24"/>
          <w:szCs w:val="24"/>
        </w:rPr>
        <w:t xml:space="preserve"> nemohli </w:t>
      </w:r>
      <w:r w:rsidRPr="00564705">
        <w:rPr>
          <w:rFonts w:ascii="Times New Roman" w:eastAsia="Calibri" w:hAnsi="Times New Roman" w:cs="Times New Roman"/>
          <w:sz w:val="24"/>
          <w:szCs w:val="24"/>
        </w:rPr>
        <w:lastRenderedPageBreak/>
        <w:t xml:space="preserve">uvedenú reguláciu plniť. </w:t>
      </w:r>
      <w:r>
        <w:rPr>
          <w:rFonts w:ascii="Times New Roman" w:eastAsia="Calibri" w:hAnsi="Times New Roman" w:cs="Times New Roman"/>
          <w:sz w:val="24"/>
          <w:szCs w:val="24"/>
        </w:rPr>
        <w:t xml:space="preserve">Výšku nákladov odhadujeme na 15 000 Eur na jeden subjekt, avšak bude závisieť od nastavenia systémov konkrétneho dotknutého subjektu. Pokiaľ ide o frekvenciu </w:t>
      </w:r>
      <w:r w:rsidRPr="00564705">
        <w:rPr>
          <w:rFonts w:ascii="Times New Roman" w:eastAsia="Calibri" w:hAnsi="Times New Roman" w:cs="Times New Roman"/>
          <w:sz w:val="24"/>
          <w:szCs w:val="24"/>
        </w:rPr>
        <w:t>plnenia</w:t>
      </w:r>
      <w:r>
        <w:rPr>
          <w:rFonts w:ascii="Times New Roman" w:eastAsia="Calibri" w:hAnsi="Times New Roman" w:cs="Times New Roman"/>
          <w:sz w:val="24"/>
          <w:szCs w:val="24"/>
        </w:rPr>
        <w:t>, nastavenie</w:t>
      </w:r>
      <w:r w:rsidRPr="00564705">
        <w:rPr>
          <w:rFonts w:ascii="Times New Roman" w:eastAsia="Calibri" w:hAnsi="Times New Roman" w:cs="Times New Roman"/>
          <w:sz w:val="24"/>
          <w:szCs w:val="24"/>
        </w:rPr>
        <w:t xml:space="preserve"> informačných systémov pre </w:t>
      </w:r>
      <w:r>
        <w:rPr>
          <w:rFonts w:ascii="Times New Roman" w:eastAsia="Calibri" w:hAnsi="Times New Roman" w:cs="Times New Roman"/>
          <w:sz w:val="24"/>
          <w:szCs w:val="24"/>
        </w:rPr>
        <w:t>dotknuté subjekty je jednora</w:t>
      </w:r>
      <w:r w:rsidRPr="00564705">
        <w:rPr>
          <w:rFonts w:ascii="Times New Roman" w:eastAsia="Calibri" w:hAnsi="Times New Roman" w:cs="Times New Roman"/>
          <w:sz w:val="24"/>
          <w:szCs w:val="24"/>
        </w:rPr>
        <w:t>zová činnosť</w:t>
      </w:r>
      <w:r>
        <w:rPr>
          <w:rFonts w:ascii="Times New Roman" w:eastAsia="Calibri" w:hAnsi="Times New Roman" w:cs="Times New Roman"/>
          <w:sz w:val="24"/>
          <w:szCs w:val="24"/>
        </w:rPr>
        <w:t xml:space="preserve"> uskutočnená</w:t>
      </w:r>
      <w:r w:rsidRPr="00564705">
        <w:rPr>
          <w:rFonts w:ascii="Times New Roman" w:eastAsia="Calibri" w:hAnsi="Times New Roman" w:cs="Times New Roman"/>
          <w:sz w:val="24"/>
          <w:szCs w:val="24"/>
        </w:rPr>
        <w:t xml:space="preserve"> predtým</w:t>
      </w:r>
      <w:r>
        <w:rPr>
          <w:rFonts w:ascii="Times New Roman" w:eastAsia="Calibri" w:hAnsi="Times New Roman" w:cs="Times New Roman"/>
          <w:sz w:val="24"/>
          <w:szCs w:val="24"/>
        </w:rPr>
        <w:t>,</w:t>
      </w:r>
      <w:r w:rsidRPr="00564705">
        <w:rPr>
          <w:rFonts w:ascii="Times New Roman" w:eastAsia="Calibri" w:hAnsi="Times New Roman" w:cs="Times New Roman"/>
          <w:sz w:val="24"/>
          <w:szCs w:val="24"/>
        </w:rPr>
        <w:t xml:space="preserve"> ako začnú vykonávať a plniť predmetnú reguláciu.</w:t>
      </w:r>
    </w:p>
    <w:p w14:paraId="0B95D992" w14:textId="507CD7F3" w:rsidR="0036656C" w:rsidRDefault="0036656C" w:rsidP="003C317B">
      <w:pPr>
        <w:jc w:val="both"/>
        <w:rPr>
          <w:rFonts w:ascii="Times New Roman" w:eastAsia="Calibri" w:hAnsi="Times New Roman" w:cs="Times New Roman"/>
          <w:b/>
          <w:i/>
          <w:sz w:val="24"/>
          <w:szCs w:val="24"/>
          <w:u w:val="single"/>
        </w:rPr>
      </w:pPr>
    </w:p>
    <w:p w14:paraId="0AFAABB6" w14:textId="5E69C4E3" w:rsidR="003C317B" w:rsidRPr="00BE57D0" w:rsidRDefault="0036656C" w:rsidP="003C317B">
      <w:pPr>
        <w:jc w:val="both"/>
        <w:rPr>
          <w:rFonts w:ascii="Times New Roman" w:eastAsia="Calibri" w:hAnsi="Times New Roman" w:cs="Times New Roman"/>
          <w:b/>
          <w:i/>
          <w:sz w:val="24"/>
          <w:szCs w:val="24"/>
        </w:rPr>
      </w:pPr>
      <w:r w:rsidRPr="00BE57D0">
        <w:rPr>
          <w:rFonts w:ascii="Times New Roman" w:eastAsia="Calibri" w:hAnsi="Times New Roman" w:cs="Times New Roman"/>
          <w:b/>
          <w:i/>
          <w:sz w:val="24"/>
          <w:szCs w:val="24"/>
        </w:rPr>
        <w:t>2</w:t>
      </w:r>
      <w:r w:rsidR="003C317B" w:rsidRPr="00BE57D0">
        <w:rPr>
          <w:rFonts w:ascii="Times New Roman" w:eastAsia="Calibri" w:hAnsi="Times New Roman" w:cs="Times New Roman"/>
          <w:b/>
          <w:i/>
          <w:sz w:val="24"/>
          <w:szCs w:val="24"/>
        </w:rPr>
        <w:t>. Administratívne činnosti na vybavenie príspevku</w:t>
      </w:r>
    </w:p>
    <w:p w14:paraId="4D9A1765" w14:textId="1B3DBA9A" w:rsidR="003C317B" w:rsidRDefault="003C317B" w:rsidP="003C317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Predmetná regulácia, ktorá stanovuje podmienky nároku na získanie príspevku na zvýšenú splátku úveru na bývanie zvyšuje administratívnu záťaž dotknutých subjektov, ktorými sú banky. Zvýšenie administratívnej záťaže bude </w:t>
      </w:r>
      <w:r w:rsidR="001D127C">
        <w:rPr>
          <w:rFonts w:ascii="Times New Roman" w:eastAsia="Calibri" w:hAnsi="Times New Roman" w:cs="Times New Roman"/>
          <w:sz w:val="24"/>
          <w:szCs w:val="24"/>
        </w:rPr>
        <w:t xml:space="preserve">v prvom rade </w:t>
      </w:r>
      <w:r>
        <w:rPr>
          <w:rFonts w:ascii="Times New Roman" w:eastAsia="Calibri" w:hAnsi="Times New Roman" w:cs="Times New Roman"/>
          <w:sz w:val="24"/>
          <w:szCs w:val="24"/>
        </w:rPr>
        <w:t xml:space="preserve">v dôsledku potreby </w:t>
      </w:r>
      <w:r w:rsidR="0036656C">
        <w:rPr>
          <w:rFonts w:ascii="Times New Roman" w:eastAsia="Calibri" w:hAnsi="Times New Roman" w:cs="Times New Roman"/>
          <w:sz w:val="24"/>
          <w:szCs w:val="24"/>
        </w:rPr>
        <w:t xml:space="preserve">oboznámenia sa s reguláciou – s jednotlivými kritériami, podľa ktorých sa bude reportovať, taktiež </w:t>
      </w:r>
      <w:r>
        <w:rPr>
          <w:rFonts w:ascii="Times New Roman" w:eastAsia="Calibri" w:hAnsi="Times New Roman" w:cs="Times New Roman"/>
          <w:sz w:val="24"/>
          <w:szCs w:val="24"/>
        </w:rPr>
        <w:t xml:space="preserve">vykonávania evidencie a vedenia jednotlivých </w:t>
      </w:r>
      <w:r w:rsidR="001D127C">
        <w:rPr>
          <w:rFonts w:ascii="Times New Roman" w:eastAsia="Calibri" w:hAnsi="Times New Roman" w:cs="Times New Roman"/>
          <w:sz w:val="24"/>
          <w:szCs w:val="24"/>
        </w:rPr>
        <w:t>reportov</w:t>
      </w:r>
      <w:r>
        <w:rPr>
          <w:rFonts w:ascii="Times New Roman" w:eastAsia="Calibri" w:hAnsi="Times New Roman" w:cs="Times New Roman"/>
          <w:sz w:val="24"/>
          <w:szCs w:val="24"/>
        </w:rPr>
        <w:t xml:space="preserve"> dlžníkov, ktor</w:t>
      </w:r>
      <w:r w:rsidR="001D127C">
        <w:rPr>
          <w:rFonts w:ascii="Times New Roman" w:eastAsia="Calibri" w:hAnsi="Times New Roman" w:cs="Times New Roman"/>
          <w:sz w:val="24"/>
          <w:szCs w:val="24"/>
        </w:rPr>
        <w:t>ých údaje budú reportované za účelom možného záujmu</w:t>
      </w:r>
      <w:r>
        <w:rPr>
          <w:rFonts w:ascii="Times New Roman" w:eastAsia="Calibri" w:hAnsi="Times New Roman" w:cs="Times New Roman"/>
          <w:sz w:val="24"/>
          <w:szCs w:val="24"/>
        </w:rPr>
        <w:t xml:space="preserve"> o získanie príspevku na zvýšenú splátku úveru n</w:t>
      </w:r>
      <w:r w:rsidR="00954C56">
        <w:rPr>
          <w:rFonts w:ascii="Times New Roman" w:eastAsia="Calibri" w:hAnsi="Times New Roman" w:cs="Times New Roman"/>
          <w:sz w:val="24"/>
          <w:szCs w:val="24"/>
        </w:rPr>
        <w:t>a bývanie, ako aj ich archiváciu</w:t>
      </w:r>
      <w:r>
        <w:rPr>
          <w:rFonts w:ascii="Times New Roman" w:eastAsia="Calibri" w:hAnsi="Times New Roman" w:cs="Times New Roman"/>
          <w:sz w:val="24"/>
          <w:szCs w:val="24"/>
        </w:rPr>
        <w:t xml:space="preserve">. Administratívna záťaž bude zvýšená </w:t>
      </w:r>
      <w:r w:rsidR="001D127C">
        <w:rPr>
          <w:rFonts w:ascii="Times New Roman" w:eastAsia="Calibri" w:hAnsi="Times New Roman" w:cs="Times New Roman"/>
          <w:sz w:val="24"/>
          <w:szCs w:val="24"/>
        </w:rPr>
        <w:t>aj z dôvodu potreby vypracovania</w:t>
      </w:r>
      <w:r>
        <w:rPr>
          <w:rFonts w:ascii="Times New Roman" w:eastAsia="Calibri" w:hAnsi="Times New Roman" w:cs="Times New Roman"/>
          <w:sz w:val="24"/>
          <w:szCs w:val="24"/>
        </w:rPr>
        <w:t xml:space="preserve"> informácie, vrátane požadovaných výpočtov súvisiacich s úverom na bývanie dlžníka. </w:t>
      </w:r>
      <w:r w:rsidRPr="00564705">
        <w:rPr>
          <w:rFonts w:ascii="Times New Roman" w:eastAsia="Calibri" w:hAnsi="Times New Roman" w:cs="Times New Roman"/>
          <w:sz w:val="24"/>
          <w:szCs w:val="24"/>
        </w:rPr>
        <w:t>F</w:t>
      </w:r>
      <w:r>
        <w:rPr>
          <w:rFonts w:ascii="Times New Roman" w:eastAsia="Calibri" w:hAnsi="Times New Roman" w:cs="Times New Roman"/>
          <w:sz w:val="24"/>
          <w:szCs w:val="24"/>
        </w:rPr>
        <w:t>rekvencia plnenia povinností bude na mesačnej báze</w:t>
      </w:r>
      <w:r w:rsidR="007446E2">
        <w:rPr>
          <w:rFonts w:ascii="Times New Roman" w:eastAsia="Calibri" w:hAnsi="Times New Roman" w:cs="Times New Roman"/>
          <w:sz w:val="24"/>
          <w:szCs w:val="24"/>
        </w:rPr>
        <w:t xml:space="preserve"> a bude závisieť od počtu sp</w:t>
      </w:r>
      <w:r w:rsidR="001D127C">
        <w:rPr>
          <w:rFonts w:ascii="Times New Roman" w:eastAsia="Calibri" w:hAnsi="Times New Roman" w:cs="Times New Roman"/>
          <w:sz w:val="24"/>
          <w:szCs w:val="24"/>
        </w:rPr>
        <w:t>otrebiteľov s úverom na bývanie</w:t>
      </w:r>
      <w:r w:rsidR="00781AC1">
        <w:rPr>
          <w:rFonts w:ascii="Times New Roman" w:eastAsia="Calibri" w:hAnsi="Times New Roman" w:cs="Times New Roman"/>
          <w:sz w:val="24"/>
          <w:szCs w:val="24"/>
        </w:rPr>
        <w:t xml:space="preserve"> – hypotekárnym úverom v danom čase</w:t>
      </w:r>
      <w:r w:rsidR="001D127C">
        <w:rPr>
          <w:rFonts w:ascii="Times New Roman" w:eastAsia="Calibri" w:hAnsi="Times New Roman" w:cs="Times New Roman"/>
          <w:sz w:val="24"/>
          <w:szCs w:val="24"/>
        </w:rPr>
        <w:t>.</w:t>
      </w:r>
    </w:p>
    <w:p w14:paraId="382FD8B5" w14:textId="77777777" w:rsidR="001D127C" w:rsidRPr="00564705" w:rsidRDefault="001D127C" w:rsidP="003C317B">
      <w:pPr>
        <w:jc w:val="both"/>
        <w:rPr>
          <w:rFonts w:ascii="Times New Roman" w:eastAsia="Calibri" w:hAnsi="Times New Roman" w:cs="Times New Roman"/>
          <w:sz w:val="24"/>
          <w:szCs w:val="24"/>
        </w:rPr>
      </w:pPr>
    </w:p>
    <w:p w14:paraId="2FFA14E4" w14:textId="04ED595F" w:rsidR="003C317B" w:rsidRPr="00BE57D0" w:rsidRDefault="003C317B" w:rsidP="003C317B">
      <w:pPr>
        <w:jc w:val="both"/>
        <w:rPr>
          <w:rFonts w:ascii="Times New Roman" w:eastAsia="Calibri" w:hAnsi="Times New Roman" w:cs="Times New Roman"/>
          <w:b/>
          <w:i/>
          <w:sz w:val="24"/>
          <w:szCs w:val="24"/>
        </w:rPr>
      </w:pPr>
      <w:r w:rsidRPr="00BE57D0">
        <w:rPr>
          <w:rFonts w:ascii="Times New Roman" w:eastAsia="Calibri" w:hAnsi="Times New Roman" w:cs="Times New Roman"/>
          <w:b/>
          <w:i/>
          <w:sz w:val="24"/>
          <w:szCs w:val="24"/>
        </w:rPr>
        <w:t xml:space="preserve">3. Informačná povinnosť voči </w:t>
      </w:r>
      <w:r w:rsidR="007446E2" w:rsidRPr="00BE57D0">
        <w:rPr>
          <w:rFonts w:ascii="Times New Roman" w:eastAsia="Calibri" w:hAnsi="Times New Roman" w:cs="Times New Roman"/>
          <w:b/>
          <w:i/>
          <w:sz w:val="24"/>
          <w:szCs w:val="24"/>
        </w:rPr>
        <w:t>Ústrediu práce, sociálnych vecí a rodiny</w:t>
      </w:r>
      <w:r w:rsidRPr="00BE57D0">
        <w:rPr>
          <w:rFonts w:ascii="Times New Roman" w:eastAsia="Calibri" w:hAnsi="Times New Roman" w:cs="Times New Roman"/>
          <w:b/>
          <w:i/>
          <w:sz w:val="24"/>
          <w:szCs w:val="24"/>
        </w:rPr>
        <w:t xml:space="preserve"> </w:t>
      </w:r>
    </w:p>
    <w:p w14:paraId="3FB1450B" w14:textId="478EB5F0" w:rsidR="001E24E8" w:rsidRDefault="003C317B" w:rsidP="00054C41">
      <w:pPr>
        <w:jc w:val="both"/>
        <w:rPr>
          <w:rFonts w:ascii="Times New Roman" w:eastAsia="Calibri" w:hAnsi="Times New Roman" w:cs="Times New Roman"/>
          <w:sz w:val="24"/>
          <w:szCs w:val="24"/>
        </w:rPr>
      </w:pPr>
      <w:r>
        <w:rPr>
          <w:rFonts w:ascii="Times New Roman" w:eastAsia="Calibri" w:hAnsi="Times New Roman" w:cs="Times New Roman"/>
          <w:sz w:val="24"/>
          <w:szCs w:val="24"/>
        </w:rPr>
        <w:t>Predmetnou reguláciou prichádza aj k zvýšeniu administratívn</w:t>
      </w:r>
      <w:r w:rsidR="007446E2">
        <w:rPr>
          <w:rFonts w:ascii="Times New Roman" w:eastAsia="Calibri" w:hAnsi="Times New Roman" w:cs="Times New Roman"/>
          <w:sz w:val="24"/>
          <w:szCs w:val="24"/>
        </w:rPr>
        <w:t xml:space="preserve">ej záťaže dotknutých subjektov </w:t>
      </w:r>
      <w:r>
        <w:rPr>
          <w:rFonts w:ascii="Times New Roman" w:eastAsia="Calibri" w:hAnsi="Times New Roman" w:cs="Times New Roman"/>
          <w:sz w:val="24"/>
          <w:szCs w:val="24"/>
        </w:rPr>
        <w:t xml:space="preserve">v dôsledku potreby vykonávania administratívnych činností súvisiacich s informačnou povinnosťou bánk voči </w:t>
      </w:r>
      <w:r w:rsidR="007446E2">
        <w:rPr>
          <w:rFonts w:ascii="Times New Roman" w:eastAsia="Calibri" w:hAnsi="Times New Roman" w:cs="Times New Roman"/>
          <w:sz w:val="24"/>
          <w:szCs w:val="24"/>
        </w:rPr>
        <w:t>Ústrediu práce, sociálnych vecí a rodiny</w:t>
      </w:r>
      <w:r>
        <w:rPr>
          <w:rFonts w:ascii="Times New Roman" w:eastAsia="Calibri" w:hAnsi="Times New Roman" w:cs="Times New Roman"/>
          <w:sz w:val="24"/>
          <w:szCs w:val="24"/>
        </w:rPr>
        <w:t>. Informačná povinnosť bude zameraná na zaslanie informácie o úvere n</w:t>
      </w:r>
      <w:r w:rsidR="00B713A8">
        <w:rPr>
          <w:rFonts w:ascii="Times New Roman" w:eastAsia="Calibri" w:hAnsi="Times New Roman" w:cs="Times New Roman"/>
          <w:sz w:val="24"/>
          <w:szCs w:val="24"/>
        </w:rPr>
        <w:t>a bývanie každého dlžníka, ktorý</w:t>
      </w:r>
      <w:r>
        <w:rPr>
          <w:rFonts w:ascii="Times New Roman" w:eastAsia="Calibri" w:hAnsi="Times New Roman" w:cs="Times New Roman"/>
          <w:sz w:val="24"/>
          <w:szCs w:val="24"/>
        </w:rPr>
        <w:t xml:space="preserve"> </w:t>
      </w:r>
      <w:r w:rsidR="00B713A8">
        <w:rPr>
          <w:rFonts w:ascii="Times New Roman" w:eastAsia="Calibri" w:hAnsi="Times New Roman" w:cs="Times New Roman"/>
          <w:sz w:val="24"/>
          <w:szCs w:val="24"/>
        </w:rPr>
        <w:t xml:space="preserve">môže spĺňať kritéria na </w:t>
      </w:r>
      <w:r>
        <w:rPr>
          <w:rFonts w:ascii="Times New Roman" w:eastAsia="Calibri" w:hAnsi="Times New Roman" w:cs="Times New Roman"/>
          <w:sz w:val="24"/>
          <w:szCs w:val="24"/>
        </w:rPr>
        <w:t>príspevok na zvýšenú splátku úveru na bývanie</w:t>
      </w:r>
      <w:r w:rsidR="007446E2">
        <w:rPr>
          <w:rFonts w:ascii="Times New Roman" w:eastAsia="Calibri" w:hAnsi="Times New Roman" w:cs="Times New Roman"/>
          <w:sz w:val="24"/>
          <w:szCs w:val="24"/>
        </w:rPr>
        <w:t xml:space="preserve"> a taktiež</w:t>
      </w:r>
      <w:r>
        <w:rPr>
          <w:rFonts w:ascii="Times New Roman" w:eastAsia="Calibri" w:hAnsi="Times New Roman" w:cs="Times New Roman"/>
          <w:sz w:val="24"/>
          <w:szCs w:val="24"/>
        </w:rPr>
        <w:t xml:space="preserve"> </w:t>
      </w:r>
      <w:r w:rsidR="00B713A8">
        <w:rPr>
          <w:rFonts w:ascii="Times New Roman" w:eastAsia="Calibri" w:hAnsi="Times New Roman" w:cs="Times New Roman"/>
          <w:sz w:val="24"/>
          <w:szCs w:val="24"/>
        </w:rPr>
        <w:t>predloženie</w:t>
      </w:r>
      <w:r>
        <w:rPr>
          <w:rFonts w:ascii="Times New Roman" w:eastAsia="Calibri" w:hAnsi="Times New Roman" w:cs="Times New Roman"/>
          <w:sz w:val="24"/>
          <w:szCs w:val="24"/>
        </w:rPr>
        <w:t xml:space="preserve"> reportov </w:t>
      </w:r>
      <w:r w:rsidR="00781AC1">
        <w:rPr>
          <w:rFonts w:ascii="Times New Roman" w:eastAsia="Calibri" w:hAnsi="Times New Roman" w:cs="Times New Roman"/>
          <w:sz w:val="24"/>
          <w:szCs w:val="24"/>
        </w:rPr>
        <w:t xml:space="preserve">z </w:t>
      </w:r>
      <w:r>
        <w:rPr>
          <w:rFonts w:ascii="Times New Roman" w:eastAsia="Calibri" w:hAnsi="Times New Roman" w:cs="Times New Roman"/>
          <w:sz w:val="24"/>
          <w:szCs w:val="24"/>
        </w:rPr>
        <w:t xml:space="preserve">portfólia všetkých klientov </w:t>
      </w:r>
      <w:r w:rsidR="00B713A8">
        <w:rPr>
          <w:rFonts w:ascii="Times New Roman" w:eastAsia="Calibri" w:hAnsi="Times New Roman" w:cs="Times New Roman"/>
          <w:sz w:val="24"/>
          <w:szCs w:val="24"/>
        </w:rPr>
        <w:t>bánk</w:t>
      </w:r>
      <w:r w:rsidR="00781AC1">
        <w:rPr>
          <w:rFonts w:ascii="Times New Roman" w:eastAsia="Calibri" w:hAnsi="Times New Roman" w:cs="Times New Roman"/>
          <w:sz w:val="24"/>
          <w:szCs w:val="24"/>
        </w:rPr>
        <w:t xml:space="preserve"> -  spotrebiteľov</w:t>
      </w:r>
      <w:r w:rsidR="00B713A8">
        <w:rPr>
          <w:rFonts w:ascii="Times New Roman" w:eastAsia="Calibri" w:hAnsi="Times New Roman" w:cs="Times New Roman"/>
          <w:sz w:val="24"/>
          <w:szCs w:val="24"/>
        </w:rPr>
        <w:t>, ktorí majú úver</w:t>
      </w:r>
      <w:r>
        <w:rPr>
          <w:rFonts w:ascii="Times New Roman" w:eastAsia="Calibri" w:hAnsi="Times New Roman" w:cs="Times New Roman"/>
          <w:sz w:val="24"/>
          <w:szCs w:val="24"/>
        </w:rPr>
        <w:t xml:space="preserve"> </w:t>
      </w:r>
      <w:r w:rsidR="007446E2">
        <w:rPr>
          <w:rFonts w:ascii="Times New Roman" w:eastAsia="Calibri" w:hAnsi="Times New Roman" w:cs="Times New Roman"/>
          <w:sz w:val="24"/>
          <w:szCs w:val="24"/>
        </w:rPr>
        <w:t xml:space="preserve">na bývanie </w:t>
      </w:r>
      <w:r w:rsidR="00781AC1">
        <w:rPr>
          <w:rFonts w:ascii="Times New Roman" w:eastAsia="Calibri" w:hAnsi="Times New Roman" w:cs="Times New Roman"/>
          <w:sz w:val="24"/>
          <w:szCs w:val="24"/>
        </w:rPr>
        <w:t xml:space="preserve">– hypotekárny úver </w:t>
      </w:r>
      <w:r>
        <w:rPr>
          <w:rFonts w:ascii="Times New Roman" w:eastAsia="Calibri" w:hAnsi="Times New Roman" w:cs="Times New Roman"/>
          <w:sz w:val="24"/>
          <w:szCs w:val="24"/>
        </w:rPr>
        <w:t>spolu s výpočt</w:t>
      </w:r>
      <w:r w:rsidR="00B713A8">
        <w:rPr>
          <w:rFonts w:ascii="Times New Roman" w:eastAsia="Calibri" w:hAnsi="Times New Roman" w:cs="Times New Roman"/>
          <w:sz w:val="24"/>
          <w:szCs w:val="24"/>
        </w:rPr>
        <w:t>om možného nároku na príspevok.</w:t>
      </w:r>
      <w:r>
        <w:rPr>
          <w:rFonts w:ascii="Times New Roman" w:eastAsia="Calibri" w:hAnsi="Times New Roman" w:cs="Times New Roman"/>
          <w:sz w:val="24"/>
          <w:szCs w:val="24"/>
        </w:rPr>
        <w:t xml:space="preserve"> </w:t>
      </w:r>
      <w:r w:rsidRPr="00564705">
        <w:rPr>
          <w:rFonts w:ascii="Times New Roman" w:eastAsia="Calibri" w:hAnsi="Times New Roman" w:cs="Times New Roman"/>
          <w:sz w:val="24"/>
          <w:szCs w:val="24"/>
        </w:rPr>
        <w:t>F</w:t>
      </w:r>
      <w:r>
        <w:rPr>
          <w:rFonts w:ascii="Times New Roman" w:eastAsia="Calibri" w:hAnsi="Times New Roman" w:cs="Times New Roman"/>
          <w:sz w:val="24"/>
          <w:szCs w:val="24"/>
        </w:rPr>
        <w:t>rekvencia plnenia povinností bude na mesačnej báze</w:t>
      </w:r>
      <w:r w:rsidR="007446E2">
        <w:rPr>
          <w:rFonts w:ascii="Times New Roman" w:eastAsia="Calibri" w:hAnsi="Times New Roman" w:cs="Times New Roman"/>
          <w:sz w:val="24"/>
          <w:szCs w:val="24"/>
        </w:rPr>
        <w:t xml:space="preserve">, nakoľko </w:t>
      </w:r>
      <w:r w:rsidR="00B713A8">
        <w:rPr>
          <w:rFonts w:ascii="Times New Roman" w:eastAsia="Calibri" w:hAnsi="Times New Roman" w:cs="Times New Roman"/>
          <w:sz w:val="24"/>
          <w:szCs w:val="24"/>
        </w:rPr>
        <w:t>banka alebo pobočka zahraničnej ba</w:t>
      </w:r>
      <w:r w:rsidR="007446E2">
        <w:rPr>
          <w:rFonts w:ascii="Times New Roman" w:eastAsia="Calibri" w:hAnsi="Times New Roman" w:cs="Times New Roman"/>
          <w:sz w:val="24"/>
          <w:szCs w:val="24"/>
        </w:rPr>
        <w:t>nk</w:t>
      </w:r>
      <w:r w:rsidR="00B713A8">
        <w:rPr>
          <w:rFonts w:ascii="Times New Roman" w:eastAsia="Calibri" w:hAnsi="Times New Roman" w:cs="Times New Roman"/>
          <w:sz w:val="24"/>
          <w:szCs w:val="24"/>
        </w:rPr>
        <w:t>y</w:t>
      </w:r>
      <w:r w:rsidR="007446E2">
        <w:rPr>
          <w:rFonts w:ascii="Times New Roman" w:eastAsia="Calibri" w:hAnsi="Times New Roman" w:cs="Times New Roman"/>
          <w:sz w:val="24"/>
          <w:szCs w:val="24"/>
        </w:rPr>
        <w:t xml:space="preserve"> bude povinná do </w:t>
      </w:r>
      <w:r w:rsidR="00143736">
        <w:rPr>
          <w:rFonts w:ascii="Times New Roman" w:eastAsia="Calibri" w:hAnsi="Times New Roman" w:cs="Times New Roman"/>
          <w:sz w:val="24"/>
          <w:szCs w:val="24"/>
        </w:rPr>
        <w:t>3 pracovných</w:t>
      </w:r>
      <w:r w:rsidR="007446E2">
        <w:rPr>
          <w:rFonts w:ascii="Times New Roman" w:eastAsia="Calibri" w:hAnsi="Times New Roman" w:cs="Times New Roman"/>
          <w:sz w:val="24"/>
          <w:szCs w:val="24"/>
        </w:rPr>
        <w:t xml:space="preserve"> dní po skončení </w:t>
      </w:r>
      <w:r w:rsidR="00CF35B0">
        <w:rPr>
          <w:rFonts w:ascii="Times New Roman" w:eastAsia="Calibri" w:hAnsi="Times New Roman" w:cs="Times New Roman"/>
          <w:sz w:val="24"/>
          <w:szCs w:val="24"/>
        </w:rPr>
        <w:t xml:space="preserve">príslušného </w:t>
      </w:r>
      <w:r w:rsidR="007446E2">
        <w:rPr>
          <w:rFonts w:ascii="Times New Roman" w:eastAsia="Calibri" w:hAnsi="Times New Roman" w:cs="Times New Roman"/>
          <w:sz w:val="24"/>
          <w:szCs w:val="24"/>
        </w:rPr>
        <w:t>kalendárneho mesiaca</w:t>
      </w:r>
      <w:r w:rsidR="00CF35B0">
        <w:rPr>
          <w:rFonts w:ascii="Times New Roman" w:eastAsia="Calibri" w:hAnsi="Times New Roman" w:cs="Times New Roman"/>
          <w:sz w:val="24"/>
          <w:szCs w:val="24"/>
        </w:rPr>
        <w:t xml:space="preserve"> zaslať</w:t>
      </w:r>
      <w:r w:rsidR="007446E2">
        <w:rPr>
          <w:rFonts w:ascii="Times New Roman" w:eastAsia="Calibri" w:hAnsi="Times New Roman" w:cs="Times New Roman"/>
          <w:sz w:val="24"/>
          <w:szCs w:val="24"/>
        </w:rPr>
        <w:t xml:space="preserve"> </w:t>
      </w:r>
      <w:r w:rsidR="00CF35B0">
        <w:rPr>
          <w:rFonts w:ascii="Times New Roman" w:eastAsia="Calibri" w:hAnsi="Times New Roman" w:cs="Times New Roman"/>
          <w:sz w:val="24"/>
          <w:szCs w:val="24"/>
        </w:rPr>
        <w:t xml:space="preserve">zákonom vymedzený rozsah </w:t>
      </w:r>
      <w:r w:rsidR="007446E2">
        <w:rPr>
          <w:rFonts w:ascii="Times New Roman" w:eastAsia="Calibri" w:hAnsi="Times New Roman" w:cs="Times New Roman"/>
          <w:sz w:val="24"/>
          <w:szCs w:val="24"/>
        </w:rPr>
        <w:t>informáci</w:t>
      </w:r>
      <w:r w:rsidR="00CF35B0">
        <w:rPr>
          <w:rFonts w:ascii="Times New Roman" w:eastAsia="Calibri" w:hAnsi="Times New Roman" w:cs="Times New Roman"/>
          <w:sz w:val="24"/>
          <w:szCs w:val="24"/>
        </w:rPr>
        <w:t>í</w:t>
      </w:r>
      <w:r w:rsidR="007446E2">
        <w:rPr>
          <w:rFonts w:ascii="Times New Roman" w:eastAsia="Calibri" w:hAnsi="Times New Roman" w:cs="Times New Roman"/>
          <w:sz w:val="24"/>
          <w:szCs w:val="24"/>
        </w:rPr>
        <w:t xml:space="preserve"> o úveroch na bývanie Ústrediu práce, sociálnych vecí a rodiny.</w:t>
      </w:r>
      <w:r>
        <w:rPr>
          <w:rFonts w:ascii="Times New Roman" w:eastAsia="Calibri" w:hAnsi="Times New Roman" w:cs="Times New Roman"/>
          <w:sz w:val="24"/>
          <w:szCs w:val="24"/>
        </w:rPr>
        <w:t xml:space="preserve"> </w:t>
      </w:r>
      <w:r w:rsidRPr="00564705">
        <w:rPr>
          <w:rFonts w:ascii="Times New Roman" w:eastAsia="Calibri" w:hAnsi="Times New Roman" w:cs="Times New Roman"/>
          <w:sz w:val="24"/>
          <w:szCs w:val="24"/>
        </w:rPr>
        <w:t xml:space="preserve">Avšak </w:t>
      </w:r>
      <w:r>
        <w:rPr>
          <w:rFonts w:ascii="Times New Roman" w:eastAsia="Calibri" w:hAnsi="Times New Roman" w:cs="Times New Roman"/>
          <w:sz w:val="24"/>
          <w:szCs w:val="24"/>
        </w:rPr>
        <w:t>výška</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administratívnej záťaže pri informačnej povinnosti voči </w:t>
      </w:r>
      <w:r w:rsidR="007446E2">
        <w:rPr>
          <w:rFonts w:ascii="Times New Roman" w:eastAsia="Calibri" w:hAnsi="Times New Roman" w:cs="Times New Roman"/>
          <w:sz w:val="24"/>
          <w:szCs w:val="24"/>
        </w:rPr>
        <w:t>Ústrediu práce, sociálnych vecí a rodiny</w:t>
      </w:r>
      <w:r>
        <w:rPr>
          <w:rFonts w:ascii="Times New Roman" w:eastAsia="Calibri" w:hAnsi="Times New Roman" w:cs="Times New Roman"/>
          <w:sz w:val="24"/>
          <w:szCs w:val="24"/>
        </w:rPr>
        <w:t xml:space="preserve"> bude závisieť od</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počtu</w:t>
      </w:r>
      <w:r w:rsidRPr="00564705">
        <w:rPr>
          <w:rFonts w:ascii="Times New Roman" w:eastAsia="Calibri" w:hAnsi="Times New Roman" w:cs="Times New Roman"/>
          <w:sz w:val="24"/>
          <w:szCs w:val="24"/>
        </w:rPr>
        <w:t xml:space="preserve"> spotrebiteľov</w:t>
      </w:r>
      <w:r w:rsidR="00B713A8">
        <w:rPr>
          <w:rFonts w:ascii="Times New Roman" w:eastAsia="Calibri" w:hAnsi="Times New Roman" w:cs="Times New Roman"/>
          <w:sz w:val="24"/>
          <w:szCs w:val="24"/>
        </w:rPr>
        <w:t>, ktorí majú úver</w:t>
      </w:r>
      <w:r w:rsidR="004859E9">
        <w:rPr>
          <w:rFonts w:ascii="Times New Roman" w:eastAsia="Calibri" w:hAnsi="Times New Roman" w:cs="Times New Roman"/>
          <w:sz w:val="24"/>
          <w:szCs w:val="24"/>
        </w:rPr>
        <w:t xml:space="preserve"> na bývanie</w:t>
      </w:r>
      <w:r>
        <w:rPr>
          <w:rFonts w:ascii="Times New Roman" w:eastAsia="Calibri" w:hAnsi="Times New Roman" w:cs="Times New Roman"/>
          <w:sz w:val="24"/>
          <w:szCs w:val="24"/>
        </w:rPr>
        <w:t>.</w:t>
      </w:r>
      <w:r w:rsidR="007446E2">
        <w:rPr>
          <w:rFonts w:ascii="Times New Roman" w:eastAsia="Calibri" w:hAnsi="Times New Roman" w:cs="Times New Roman"/>
          <w:sz w:val="24"/>
          <w:szCs w:val="24"/>
        </w:rPr>
        <w:t xml:space="preserve"> </w:t>
      </w:r>
    </w:p>
    <w:p w14:paraId="33263E55" w14:textId="77777777" w:rsidR="001D127C" w:rsidRDefault="001D127C"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lastRenderedPageBreak/>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BD96D6C" w14:textId="1AA90FA9"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77777777" w:rsidR="00054C41" w:rsidRPr="00D8247C" w:rsidRDefault="00054C41" w:rsidP="00054C41">
      <w:pPr>
        <w:spacing w:after="0"/>
        <w:jc w:val="both"/>
        <w:rPr>
          <w:rFonts w:ascii="Times New Roman" w:eastAsia="Calibri" w:hAnsi="Times New Roman" w:cs="Times New Roman"/>
          <w:i/>
          <w:sz w:val="24"/>
          <w:szCs w:val="24"/>
        </w:rPr>
      </w:pPr>
    </w:p>
    <w:p w14:paraId="37475E52" w14:textId="1C6D99F8" w:rsidR="00573E87" w:rsidRPr="00564705" w:rsidRDefault="006D00EE" w:rsidP="00573E87">
      <w:pPr>
        <w:jc w:val="both"/>
        <w:rPr>
          <w:rFonts w:ascii="Times New Roman" w:eastAsia="Calibri" w:hAnsi="Times New Roman" w:cs="Times New Roman"/>
          <w:sz w:val="24"/>
          <w:szCs w:val="24"/>
        </w:rPr>
      </w:pPr>
      <w:r w:rsidRPr="00624141">
        <w:rPr>
          <w:rFonts w:ascii="Times New Roman" w:eastAsia="Calibri" w:hAnsi="Times New Roman" w:cs="Times New Roman"/>
          <w:sz w:val="24"/>
          <w:szCs w:val="24"/>
        </w:rPr>
        <w:t>Vládny n</w:t>
      </w:r>
      <w:r w:rsidR="008A6ADE" w:rsidRPr="00624141">
        <w:rPr>
          <w:rFonts w:ascii="Times New Roman" w:eastAsia="Calibri" w:hAnsi="Times New Roman" w:cs="Times New Roman"/>
          <w:sz w:val="24"/>
          <w:szCs w:val="24"/>
        </w:rPr>
        <w:t>ávrh z</w:t>
      </w:r>
      <w:r w:rsidR="00573E87" w:rsidRPr="00624141">
        <w:rPr>
          <w:rFonts w:ascii="Times New Roman" w:eastAsia="Calibri" w:hAnsi="Times New Roman" w:cs="Times New Roman"/>
          <w:sz w:val="24"/>
          <w:szCs w:val="24"/>
        </w:rPr>
        <w:t>ákon</w:t>
      </w:r>
      <w:r w:rsidR="008A6ADE" w:rsidRPr="00624141">
        <w:rPr>
          <w:rFonts w:ascii="Times New Roman" w:eastAsia="Calibri" w:hAnsi="Times New Roman" w:cs="Times New Roman"/>
          <w:sz w:val="24"/>
          <w:szCs w:val="24"/>
        </w:rPr>
        <w:t>a</w:t>
      </w:r>
      <w:r w:rsidR="00573E87" w:rsidRPr="006D00EE">
        <w:rPr>
          <w:rFonts w:ascii="Times New Roman" w:eastAsia="Calibri" w:hAnsi="Times New Roman" w:cs="Times New Roman"/>
          <w:sz w:val="24"/>
          <w:szCs w:val="24"/>
        </w:rPr>
        <w:t xml:space="preserve">, je vypracovaný </w:t>
      </w:r>
      <w:r w:rsidR="00781AC1" w:rsidRPr="006D00EE">
        <w:rPr>
          <w:rFonts w:ascii="Times New Roman" w:eastAsia="Calibri" w:hAnsi="Times New Roman" w:cs="Times New Roman"/>
          <w:sz w:val="24"/>
          <w:szCs w:val="24"/>
        </w:rPr>
        <w:t>ako iniciatívny materiál</w:t>
      </w:r>
      <w:r w:rsidR="00573E87" w:rsidRPr="006D00EE">
        <w:rPr>
          <w:rFonts w:ascii="Times New Roman" w:eastAsia="Calibri" w:hAnsi="Times New Roman" w:cs="Times New Roman"/>
          <w:sz w:val="24"/>
          <w:szCs w:val="24"/>
        </w:rPr>
        <w:t>. P</w:t>
      </w:r>
      <w:r w:rsidR="00781AC1" w:rsidRPr="006D00EE">
        <w:rPr>
          <w:rFonts w:ascii="Times New Roman" w:eastAsia="Calibri" w:hAnsi="Times New Roman" w:cs="Times New Roman"/>
          <w:sz w:val="24"/>
          <w:szCs w:val="24"/>
        </w:rPr>
        <w:t>redpokladáme, že</w:t>
      </w:r>
      <w:r w:rsidR="00781AC1">
        <w:rPr>
          <w:rFonts w:ascii="Times New Roman" w:eastAsia="Calibri" w:hAnsi="Times New Roman" w:cs="Times New Roman"/>
          <w:sz w:val="24"/>
          <w:szCs w:val="24"/>
        </w:rPr>
        <w:t xml:space="preserve"> p</w:t>
      </w:r>
      <w:r w:rsidR="00573E87" w:rsidRPr="00564705">
        <w:rPr>
          <w:rFonts w:ascii="Times New Roman" w:eastAsia="Calibri" w:hAnsi="Times New Roman" w:cs="Times New Roman"/>
          <w:sz w:val="24"/>
          <w:szCs w:val="24"/>
        </w:rPr>
        <w:t xml:space="preserve">redmetný </w:t>
      </w:r>
      <w:r w:rsidR="00C235DF">
        <w:rPr>
          <w:rFonts w:ascii="Times New Roman" w:eastAsia="Calibri" w:hAnsi="Times New Roman" w:cs="Times New Roman"/>
          <w:sz w:val="24"/>
          <w:szCs w:val="24"/>
        </w:rPr>
        <w:t xml:space="preserve">návrh </w:t>
      </w:r>
      <w:r w:rsidR="00573E87">
        <w:rPr>
          <w:rFonts w:ascii="Times New Roman" w:eastAsia="Calibri" w:hAnsi="Times New Roman" w:cs="Times New Roman"/>
          <w:sz w:val="24"/>
          <w:szCs w:val="24"/>
        </w:rPr>
        <w:t>zákon</w:t>
      </w:r>
      <w:r w:rsidR="00C235DF">
        <w:rPr>
          <w:rFonts w:ascii="Times New Roman" w:eastAsia="Calibri" w:hAnsi="Times New Roman" w:cs="Times New Roman"/>
          <w:sz w:val="24"/>
          <w:szCs w:val="24"/>
        </w:rPr>
        <w:t>a</w:t>
      </w:r>
      <w:r w:rsidR="00573E87" w:rsidRPr="00564705">
        <w:rPr>
          <w:rFonts w:ascii="Times New Roman" w:eastAsia="Calibri" w:hAnsi="Times New Roman" w:cs="Times New Roman"/>
          <w:sz w:val="24"/>
          <w:szCs w:val="24"/>
        </w:rPr>
        <w:t xml:space="preserve"> </w:t>
      </w:r>
      <w:r w:rsidR="00573E87">
        <w:rPr>
          <w:rFonts w:ascii="Times New Roman" w:eastAsia="Calibri" w:hAnsi="Times New Roman" w:cs="Times New Roman"/>
          <w:sz w:val="24"/>
          <w:szCs w:val="24"/>
        </w:rPr>
        <w:t>nebude</w:t>
      </w:r>
      <w:r w:rsidR="00573E87" w:rsidRPr="00564705">
        <w:rPr>
          <w:rFonts w:ascii="Times New Roman" w:eastAsia="Calibri" w:hAnsi="Times New Roman" w:cs="Times New Roman"/>
          <w:sz w:val="24"/>
          <w:szCs w:val="24"/>
        </w:rPr>
        <w:t xml:space="preserve"> predmetom riadneho legislatívneho procesu</w:t>
      </w:r>
      <w:r w:rsidR="00573E87">
        <w:rPr>
          <w:rFonts w:ascii="Times New Roman" w:eastAsia="Calibri" w:hAnsi="Times New Roman" w:cs="Times New Roman"/>
          <w:sz w:val="24"/>
          <w:szCs w:val="24"/>
        </w:rPr>
        <w:t>, a </w:t>
      </w:r>
      <w:r w:rsidR="00781AC1">
        <w:rPr>
          <w:rFonts w:ascii="Times New Roman" w:eastAsia="Calibri" w:hAnsi="Times New Roman" w:cs="Times New Roman"/>
          <w:sz w:val="24"/>
          <w:szCs w:val="24"/>
        </w:rPr>
        <w:t>teda</w:t>
      </w:r>
      <w:r w:rsidR="00573E87">
        <w:rPr>
          <w:rFonts w:ascii="Times New Roman" w:eastAsia="Calibri" w:hAnsi="Times New Roman" w:cs="Times New Roman"/>
          <w:sz w:val="24"/>
          <w:szCs w:val="24"/>
        </w:rPr>
        <w:t xml:space="preserve"> nebudú v tejto časti </w:t>
      </w:r>
      <w:r w:rsidR="00C235DF">
        <w:rPr>
          <w:rFonts w:ascii="Times New Roman" w:eastAsia="Calibri" w:hAnsi="Times New Roman" w:cs="Times New Roman"/>
          <w:sz w:val="24"/>
          <w:szCs w:val="24"/>
        </w:rPr>
        <w:t>uskutočnené</w:t>
      </w:r>
      <w:r w:rsidR="00573E87" w:rsidRPr="00564705">
        <w:rPr>
          <w:rFonts w:ascii="Times New Roman" w:eastAsia="Calibri" w:hAnsi="Times New Roman" w:cs="Times New Roman"/>
          <w:sz w:val="24"/>
          <w:szCs w:val="24"/>
        </w:rPr>
        <w:t xml:space="preserve"> konzultácie s podnikateľskými subjektmi v požadovanom rozsahu. </w:t>
      </w: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6D8C09D8" w:rsidR="00054C41" w:rsidRDefault="00054C41" w:rsidP="00054C41">
      <w:pPr>
        <w:spacing w:after="0"/>
        <w:jc w:val="both"/>
        <w:rPr>
          <w:rFonts w:ascii="Times New Roman" w:eastAsia="Calibri" w:hAnsi="Times New Roman" w:cs="Times New Roman"/>
          <w:i/>
          <w:sz w:val="24"/>
          <w:szCs w:val="24"/>
        </w:rPr>
      </w:pPr>
    </w:p>
    <w:p w14:paraId="30629669" w14:textId="77777777" w:rsidR="00573E87" w:rsidRPr="00D8247C" w:rsidRDefault="00573E87"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2D6EDF02" w:rsidR="00054C41" w:rsidRPr="00D8247C" w:rsidRDefault="00A72643"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573E87">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53BA0FB2" w:rsidR="00054C41" w:rsidRPr="00D8247C" w:rsidRDefault="00A72643"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573E87">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4547B8F" w14:textId="77777777" w:rsidR="00054C41"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7ED7351E" w14:textId="2110F927" w:rsidR="00307392" w:rsidRPr="00376026" w:rsidRDefault="00307392" w:rsidP="003073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Predmetná regulácia </w:t>
      </w:r>
      <w:r w:rsidR="00CC00AF" w:rsidRPr="00376026">
        <w:rPr>
          <w:rFonts w:ascii="Times New Roman" w:eastAsia="Calibri" w:hAnsi="Times New Roman" w:cs="Times New Roman"/>
          <w:sz w:val="24"/>
          <w:szCs w:val="24"/>
        </w:rPr>
        <w:t xml:space="preserve">môže mať negatívny vplyv na finančné náklady </w:t>
      </w:r>
      <w:r>
        <w:rPr>
          <w:rFonts w:ascii="Times New Roman" w:eastAsia="Calibri" w:hAnsi="Times New Roman" w:cs="Times New Roman"/>
          <w:sz w:val="24"/>
          <w:szCs w:val="24"/>
        </w:rPr>
        <w:t>dotknutých subjektov, ktorého dôvodom môže byť nedodržanie</w:t>
      </w:r>
      <w:r w:rsidRPr="00376026">
        <w:rPr>
          <w:rFonts w:ascii="Times New Roman" w:eastAsia="Calibri" w:hAnsi="Times New Roman" w:cs="Times New Roman"/>
          <w:sz w:val="24"/>
          <w:szCs w:val="24"/>
        </w:rPr>
        <w:t xml:space="preserve"> povinností</w:t>
      </w:r>
      <w:r>
        <w:rPr>
          <w:rFonts w:ascii="Times New Roman" w:eastAsia="Calibri" w:hAnsi="Times New Roman" w:cs="Times New Roman"/>
          <w:sz w:val="24"/>
          <w:szCs w:val="24"/>
        </w:rPr>
        <w:t xml:space="preserve"> </w:t>
      </w:r>
      <w:r w:rsidR="00781AC1">
        <w:rPr>
          <w:rFonts w:ascii="Times New Roman" w:eastAsia="Calibri" w:hAnsi="Times New Roman" w:cs="Times New Roman"/>
          <w:sz w:val="24"/>
          <w:szCs w:val="24"/>
        </w:rPr>
        <w:t>bánk</w:t>
      </w:r>
      <w:r>
        <w:rPr>
          <w:rFonts w:ascii="Times New Roman" w:eastAsia="Calibri" w:hAnsi="Times New Roman" w:cs="Times New Roman"/>
          <w:sz w:val="24"/>
          <w:szCs w:val="24"/>
        </w:rPr>
        <w:t xml:space="preserve"> stanovených</w:t>
      </w:r>
      <w:r w:rsidR="00CC00AF" w:rsidRPr="00376026">
        <w:rPr>
          <w:rFonts w:ascii="Times New Roman" w:eastAsia="Calibri" w:hAnsi="Times New Roman" w:cs="Times New Roman"/>
          <w:sz w:val="24"/>
          <w:szCs w:val="24"/>
        </w:rPr>
        <w:t xml:space="preserve"> </w:t>
      </w:r>
      <w:r>
        <w:rPr>
          <w:rFonts w:ascii="Times New Roman" w:eastAsia="Calibri" w:hAnsi="Times New Roman" w:cs="Times New Roman"/>
          <w:sz w:val="24"/>
          <w:szCs w:val="24"/>
        </w:rPr>
        <w:t>navrhnutou reguláciou. Pri nedodržaní povinností môže Národná banka Slovenska</w:t>
      </w:r>
      <w:r w:rsidRPr="00307392">
        <w:rPr>
          <w:rFonts w:ascii="Times New Roman" w:eastAsia="Calibri" w:hAnsi="Times New Roman" w:cs="Times New Roman"/>
          <w:sz w:val="24"/>
          <w:szCs w:val="24"/>
        </w:rPr>
        <w:t xml:space="preserve"> </w:t>
      </w:r>
      <w:r w:rsidRPr="00376026">
        <w:rPr>
          <w:rFonts w:ascii="Times New Roman" w:eastAsia="Calibri" w:hAnsi="Times New Roman" w:cs="Times New Roman"/>
          <w:sz w:val="24"/>
          <w:szCs w:val="24"/>
        </w:rPr>
        <w:t xml:space="preserve">podľa zákona </w:t>
      </w:r>
      <w:r>
        <w:rPr>
          <w:rFonts w:ascii="Times New Roman" w:eastAsia="Calibri" w:hAnsi="Times New Roman" w:cs="Times New Roman"/>
          <w:sz w:val="24"/>
          <w:szCs w:val="24"/>
        </w:rPr>
        <w:t xml:space="preserve">č. 483/2001 Z. z. </w:t>
      </w:r>
      <w:r w:rsidRPr="00376026">
        <w:rPr>
          <w:rFonts w:ascii="Times New Roman" w:eastAsia="Calibri" w:hAnsi="Times New Roman" w:cs="Times New Roman"/>
          <w:sz w:val="24"/>
          <w:szCs w:val="24"/>
        </w:rPr>
        <w:t>o </w:t>
      </w:r>
      <w:r>
        <w:rPr>
          <w:rFonts w:ascii="Times New Roman" w:eastAsia="Calibri" w:hAnsi="Times New Roman" w:cs="Times New Roman"/>
          <w:sz w:val="24"/>
          <w:szCs w:val="24"/>
        </w:rPr>
        <w:t>bankách</w:t>
      </w:r>
      <w:r w:rsidRPr="00376026">
        <w:rPr>
          <w:rFonts w:ascii="Times New Roman" w:eastAsia="Calibri" w:hAnsi="Times New Roman" w:cs="Times New Roman"/>
          <w:sz w:val="24"/>
          <w:szCs w:val="24"/>
        </w:rPr>
        <w:t xml:space="preserve"> </w:t>
      </w:r>
      <w:r>
        <w:rPr>
          <w:rFonts w:ascii="Times New Roman" w:eastAsia="Calibri" w:hAnsi="Times New Roman" w:cs="Times New Roman"/>
          <w:sz w:val="24"/>
          <w:szCs w:val="24"/>
        </w:rPr>
        <w:t>a o zmene a doplnení niektorých zákonov  uložiť opatrenie</w:t>
      </w:r>
      <w:r w:rsidRPr="00376026">
        <w:rPr>
          <w:rFonts w:ascii="Times New Roman" w:eastAsia="Calibri" w:hAnsi="Times New Roman" w:cs="Times New Roman"/>
          <w:sz w:val="24"/>
          <w:szCs w:val="24"/>
        </w:rPr>
        <w:t xml:space="preserve"> na nápravu </w:t>
      </w:r>
      <w:r>
        <w:rPr>
          <w:rFonts w:ascii="Times New Roman" w:eastAsia="Calibri" w:hAnsi="Times New Roman" w:cs="Times New Roman"/>
          <w:sz w:val="24"/>
          <w:szCs w:val="24"/>
        </w:rPr>
        <w:t>a pokuty</w:t>
      </w:r>
      <w:r w:rsidRPr="00376026">
        <w:rPr>
          <w:rFonts w:ascii="Times New Roman" w:eastAsia="Calibri" w:hAnsi="Times New Roman" w:cs="Times New Roman"/>
          <w:sz w:val="24"/>
          <w:szCs w:val="24"/>
        </w:rPr>
        <w:t xml:space="preserve">, ktorej </w:t>
      </w:r>
      <w:r>
        <w:rPr>
          <w:rFonts w:ascii="Times New Roman" w:eastAsia="Calibri" w:hAnsi="Times New Roman" w:cs="Times New Roman"/>
          <w:sz w:val="24"/>
          <w:szCs w:val="24"/>
        </w:rPr>
        <w:t>výška sa pohybuje od 3 300</w:t>
      </w:r>
      <w:r w:rsidRPr="00376026">
        <w:rPr>
          <w:rFonts w:ascii="Times New Roman" w:eastAsia="Calibri" w:hAnsi="Times New Roman" w:cs="Times New Roman"/>
          <w:sz w:val="24"/>
          <w:szCs w:val="24"/>
        </w:rPr>
        <w:t xml:space="preserve"> do výšky </w:t>
      </w:r>
      <w:r>
        <w:rPr>
          <w:rFonts w:ascii="Times New Roman" w:eastAsia="Calibri" w:hAnsi="Times New Roman" w:cs="Times New Roman"/>
          <w:sz w:val="24"/>
          <w:szCs w:val="24"/>
        </w:rPr>
        <w:t>332</w:t>
      </w:r>
      <w:r w:rsidRPr="00376026">
        <w:rPr>
          <w:rFonts w:ascii="Times New Roman" w:eastAsia="Calibri" w:hAnsi="Times New Roman" w:cs="Times New Roman"/>
          <w:sz w:val="24"/>
          <w:szCs w:val="24"/>
        </w:rPr>
        <w:t> 000 Eur</w:t>
      </w:r>
      <w:r w:rsidR="00457E29">
        <w:rPr>
          <w:rFonts w:ascii="Times New Roman" w:eastAsia="Calibri" w:hAnsi="Times New Roman" w:cs="Times New Roman"/>
          <w:sz w:val="24"/>
          <w:szCs w:val="24"/>
        </w:rPr>
        <w:t xml:space="preserve"> a pri opakovanom alebo závažnom nedostatku do výšky 10</w:t>
      </w:r>
      <w:r w:rsidR="00781AC1">
        <w:rPr>
          <w:rFonts w:ascii="Times New Roman" w:eastAsia="Calibri" w:hAnsi="Times New Roman" w:cs="Times New Roman"/>
          <w:sz w:val="24"/>
          <w:szCs w:val="24"/>
        </w:rPr>
        <w:t xml:space="preserve"> </w:t>
      </w:r>
      <w:r w:rsidR="00457E29">
        <w:rPr>
          <w:rFonts w:ascii="Times New Roman" w:eastAsia="Calibri" w:hAnsi="Times New Roman" w:cs="Times New Roman"/>
          <w:sz w:val="24"/>
          <w:szCs w:val="24"/>
        </w:rPr>
        <w:t>% celkového čistého obratu za predchádzajúci kalendárny rok</w:t>
      </w:r>
      <w:r w:rsidRPr="00376026">
        <w:rPr>
          <w:rFonts w:ascii="Times New Roman" w:eastAsia="Calibri" w:hAnsi="Times New Roman" w:cs="Times New Roman"/>
          <w:sz w:val="24"/>
          <w:szCs w:val="24"/>
        </w:rPr>
        <w:t xml:space="preserve">. Národná banka Slovenska pri určovaní výšky peňažnej sankcie prihliada na viacero faktorov, ako sú napríklad, závažnosť, trvanie porušenia, predchádzajúce porušenia a pod. </w:t>
      </w:r>
      <w:r w:rsidR="00781AC1">
        <w:rPr>
          <w:rFonts w:ascii="Times New Roman" w:eastAsia="Calibri" w:hAnsi="Times New Roman" w:cs="Times New Roman"/>
          <w:sz w:val="24"/>
          <w:szCs w:val="24"/>
        </w:rPr>
        <w:t>Nejde pritom</w:t>
      </w:r>
      <w:r w:rsidR="00C235DF">
        <w:rPr>
          <w:rFonts w:ascii="Times New Roman" w:eastAsia="Calibri" w:hAnsi="Times New Roman" w:cs="Times New Roman"/>
          <w:sz w:val="24"/>
          <w:szCs w:val="24"/>
        </w:rPr>
        <w:t xml:space="preserve"> o novú sankciu alebo jej zmenu, ale len o zavedenie novej povinnosti, pri ktorej v dôsledku jej nedodržania je možné uplatniť túto, už existujúcu sankciu. Z tohto dôvodu nie je uvedená ani v samotnej kalkulačne nákladov.</w:t>
      </w:r>
    </w:p>
    <w:p w14:paraId="424DBDFC"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47A4B2DA" w14:textId="77777777"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BE4EB" w14:textId="77777777" w:rsidR="00A72643" w:rsidRDefault="00A72643" w:rsidP="00054C41">
      <w:pPr>
        <w:spacing w:after="0" w:line="240" w:lineRule="auto"/>
      </w:pPr>
      <w:r>
        <w:separator/>
      </w:r>
    </w:p>
  </w:endnote>
  <w:endnote w:type="continuationSeparator" w:id="0">
    <w:p w14:paraId="71034E13" w14:textId="77777777" w:rsidR="00A72643" w:rsidRDefault="00A72643"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0531969A" w:rsidR="00954C56" w:rsidRPr="006045CB" w:rsidRDefault="00954C56"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24141">
          <w:rPr>
            <w:rFonts w:ascii="Times New Roman" w:hAnsi="Times New Roman" w:cs="Times New Roman"/>
            <w:noProof/>
            <w:sz w:val="24"/>
            <w:szCs w:val="24"/>
          </w:rPr>
          <w:t>5</w:t>
        </w:r>
        <w:r w:rsidRPr="006045CB">
          <w:rPr>
            <w:rFonts w:ascii="Times New Roman" w:hAnsi="Times New Roman" w:cs="Times New Roman"/>
            <w:sz w:val="24"/>
            <w:szCs w:val="24"/>
          </w:rPr>
          <w:fldChar w:fldCharType="end"/>
        </w:r>
      </w:p>
    </w:sdtContent>
  </w:sdt>
  <w:p w14:paraId="4556761F" w14:textId="77777777" w:rsidR="00954C56" w:rsidRPr="00FF7125" w:rsidRDefault="00954C56" w:rsidP="00054C41">
    <w:pPr>
      <w:pStyle w:val="Pta"/>
      <w:rPr>
        <w:sz w:val="24"/>
        <w:szCs w:val="24"/>
      </w:rPr>
    </w:pPr>
  </w:p>
  <w:p w14:paraId="20FE6A4A" w14:textId="77777777" w:rsidR="00954C56" w:rsidRDefault="00954C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58CE9" w14:textId="77777777" w:rsidR="00A72643" w:rsidRDefault="00A72643" w:rsidP="00054C41">
      <w:pPr>
        <w:spacing w:after="0" w:line="240" w:lineRule="auto"/>
      </w:pPr>
      <w:r>
        <w:separator/>
      </w:r>
    </w:p>
  </w:footnote>
  <w:footnote w:type="continuationSeparator" w:id="0">
    <w:p w14:paraId="6D0DEB30" w14:textId="77777777" w:rsidR="00A72643" w:rsidRDefault="00A72643" w:rsidP="00054C41">
      <w:pPr>
        <w:spacing w:after="0" w:line="240" w:lineRule="auto"/>
      </w:pPr>
      <w:r>
        <w:continuationSeparator/>
      </w:r>
    </w:p>
  </w:footnote>
  <w:footnote w:id="1">
    <w:p w14:paraId="6CC680CB" w14:textId="6BF8CDC6" w:rsidR="00954C56" w:rsidRPr="000A6B7F" w:rsidRDefault="00954C56"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954C56" w:rsidRPr="00804BC8" w:rsidRDefault="00954C56"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954C56" w:rsidRDefault="00954C56" w:rsidP="00512BA7">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E85"/>
    <w:rsid w:val="000820E0"/>
    <w:rsid w:val="00082A5E"/>
    <w:rsid w:val="00091A43"/>
    <w:rsid w:val="0009490E"/>
    <w:rsid w:val="000A6B7F"/>
    <w:rsid w:val="000C5419"/>
    <w:rsid w:val="000C5E9A"/>
    <w:rsid w:val="000D0741"/>
    <w:rsid w:val="000D15F0"/>
    <w:rsid w:val="000D6C9A"/>
    <w:rsid w:val="0011003B"/>
    <w:rsid w:val="001133DA"/>
    <w:rsid w:val="00123C15"/>
    <w:rsid w:val="00126A2B"/>
    <w:rsid w:val="00142154"/>
    <w:rsid w:val="00143736"/>
    <w:rsid w:val="001476A4"/>
    <w:rsid w:val="00162C6C"/>
    <w:rsid w:val="0016512E"/>
    <w:rsid w:val="00181616"/>
    <w:rsid w:val="00185F71"/>
    <w:rsid w:val="0018715C"/>
    <w:rsid w:val="00190791"/>
    <w:rsid w:val="001A1561"/>
    <w:rsid w:val="001B38FE"/>
    <w:rsid w:val="001B4C03"/>
    <w:rsid w:val="001C7B91"/>
    <w:rsid w:val="001D1083"/>
    <w:rsid w:val="001D127C"/>
    <w:rsid w:val="001D3FA0"/>
    <w:rsid w:val="001E24E8"/>
    <w:rsid w:val="001E53CB"/>
    <w:rsid w:val="001F58F3"/>
    <w:rsid w:val="00207F43"/>
    <w:rsid w:val="002232D3"/>
    <w:rsid w:val="00225A83"/>
    <w:rsid w:val="00231B8F"/>
    <w:rsid w:val="00232CB6"/>
    <w:rsid w:val="00254C85"/>
    <w:rsid w:val="00270EA5"/>
    <w:rsid w:val="002712B9"/>
    <w:rsid w:val="00284B8C"/>
    <w:rsid w:val="0029483F"/>
    <w:rsid w:val="002C2FC0"/>
    <w:rsid w:val="00302A17"/>
    <w:rsid w:val="00306D88"/>
    <w:rsid w:val="00307392"/>
    <w:rsid w:val="00314D25"/>
    <w:rsid w:val="00315BE2"/>
    <w:rsid w:val="003322EE"/>
    <w:rsid w:val="00337630"/>
    <w:rsid w:val="00340CFD"/>
    <w:rsid w:val="003413D5"/>
    <w:rsid w:val="00342621"/>
    <w:rsid w:val="00357F22"/>
    <w:rsid w:val="00365F17"/>
    <w:rsid w:val="0036656C"/>
    <w:rsid w:val="0036748D"/>
    <w:rsid w:val="00376039"/>
    <w:rsid w:val="0038255E"/>
    <w:rsid w:val="00391648"/>
    <w:rsid w:val="0039304E"/>
    <w:rsid w:val="0039334E"/>
    <w:rsid w:val="00394AD2"/>
    <w:rsid w:val="003A02AF"/>
    <w:rsid w:val="003A3124"/>
    <w:rsid w:val="003A686F"/>
    <w:rsid w:val="003C317B"/>
    <w:rsid w:val="003E58B8"/>
    <w:rsid w:val="003F06D7"/>
    <w:rsid w:val="003F21D1"/>
    <w:rsid w:val="00400224"/>
    <w:rsid w:val="00400BA5"/>
    <w:rsid w:val="00410E62"/>
    <w:rsid w:val="00414FA7"/>
    <w:rsid w:val="00420090"/>
    <w:rsid w:val="004239D1"/>
    <w:rsid w:val="004307A5"/>
    <w:rsid w:val="00445638"/>
    <w:rsid w:val="00446432"/>
    <w:rsid w:val="00446512"/>
    <w:rsid w:val="00457E29"/>
    <w:rsid w:val="00466D7A"/>
    <w:rsid w:val="0048237B"/>
    <w:rsid w:val="00484D16"/>
    <w:rsid w:val="004859E9"/>
    <w:rsid w:val="00491853"/>
    <w:rsid w:val="004A14CD"/>
    <w:rsid w:val="004A2C6B"/>
    <w:rsid w:val="004B0C2B"/>
    <w:rsid w:val="004D20CB"/>
    <w:rsid w:val="004D245F"/>
    <w:rsid w:val="004D65B2"/>
    <w:rsid w:val="004D681D"/>
    <w:rsid w:val="004E2324"/>
    <w:rsid w:val="004F63E6"/>
    <w:rsid w:val="005103DA"/>
    <w:rsid w:val="00511F8F"/>
    <w:rsid w:val="00512BA7"/>
    <w:rsid w:val="00515726"/>
    <w:rsid w:val="00562527"/>
    <w:rsid w:val="00562A1E"/>
    <w:rsid w:val="00563427"/>
    <w:rsid w:val="00573E87"/>
    <w:rsid w:val="00581EB9"/>
    <w:rsid w:val="005B4E6E"/>
    <w:rsid w:val="005B56E4"/>
    <w:rsid w:val="005C795C"/>
    <w:rsid w:val="005D0E50"/>
    <w:rsid w:val="005D39D8"/>
    <w:rsid w:val="0061097B"/>
    <w:rsid w:val="00611BA6"/>
    <w:rsid w:val="0061612F"/>
    <w:rsid w:val="006177C8"/>
    <w:rsid w:val="00624141"/>
    <w:rsid w:val="0062600A"/>
    <w:rsid w:val="0063777D"/>
    <w:rsid w:val="00643358"/>
    <w:rsid w:val="00646084"/>
    <w:rsid w:val="006564C3"/>
    <w:rsid w:val="006578CB"/>
    <w:rsid w:val="006A4E85"/>
    <w:rsid w:val="006A60C0"/>
    <w:rsid w:val="006A712F"/>
    <w:rsid w:val="006B5D74"/>
    <w:rsid w:val="006C25BE"/>
    <w:rsid w:val="006D00EE"/>
    <w:rsid w:val="006D7AD8"/>
    <w:rsid w:val="006F1D57"/>
    <w:rsid w:val="0070364C"/>
    <w:rsid w:val="00710EDF"/>
    <w:rsid w:val="0072221D"/>
    <w:rsid w:val="0072357C"/>
    <w:rsid w:val="007259CB"/>
    <w:rsid w:val="00726031"/>
    <w:rsid w:val="007446E2"/>
    <w:rsid w:val="00745DB1"/>
    <w:rsid w:val="00751DA9"/>
    <w:rsid w:val="00755E69"/>
    <w:rsid w:val="007648EE"/>
    <w:rsid w:val="0077106D"/>
    <w:rsid w:val="00780ACC"/>
    <w:rsid w:val="00781AC1"/>
    <w:rsid w:val="00787A11"/>
    <w:rsid w:val="00797B40"/>
    <w:rsid w:val="007A0C9D"/>
    <w:rsid w:val="007B40FB"/>
    <w:rsid w:val="007B62AF"/>
    <w:rsid w:val="007C48C4"/>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6ADE"/>
    <w:rsid w:val="008A7B87"/>
    <w:rsid w:val="008B4AA1"/>
    <w:rsid w:val="008C1C71"/>
    <w:rsid w:val="008E1AD0"/>
    <w:rsid w:val="008E315F"/>
    <w:rsid w:val="008E6B82"/>
    <w:rsid w:val="008F6ADE"/>
    <w:rsid w:val="0091269B"/>
    <w:rsid w:val="00923C0C"/>
    <w:rsid w:val="0095170D"/>
    <w:rsid w:val="00952CF6"/>
    <w:rsid w:val="00954C56"/>
    <w:rsid w:val="00957A48"/>
    <w:rsid w:val="00960413"/>
    <w:rsid w:val="00981995"/>
    <w:rsid w:val="00981C7F"/>
    <w:rsid w:val="00985515"/>
    <w:rsid w:val="00990813"/>
    <w:rsid w:val="0099544D"/>
    <w:rsid w:val="00997513"/>
    <w:rsid w:val="009A0E2C"/>
    <w:rsid w:val="009A4D56"/>
    <w:rsid w:val="009B1F04"/>
    <w:rsid w:val="009D5621"/>
    <w:rsid w:val="009E09F7"/>
    <w:rsid w:val="009E2D5C"/>
    <w:rsid w:val="009E3E44"/>
    <w:rsid w:val="009F4175"/>
    <w:rsid w:val="009F66A4"/>
    <w:rsid w:val="009F6C80"/>
    <w:rsid w:val="00A000DA"/>
    <w:rsid w:val="00A1736E"/>
    <w:rsid w:val="00A216DF"/>
    <w:rsid w:val="00A33F2C"/>
    <w:rsid w:val="00A50EE3"/>
    <w:rsid w:val="00A72643"/>
    <w:rsid w:val="00A83E11"/>
    <w:rsid w:val="00A94A0F"/>
    <w:rsid w:val="00AA3C6D"/>
    <w:rsid w:val="00AB57C4"/>
    <w:rsid w:val="00B0153A"/>
    <w:rsid w:val="00B04F61"/>
    <w:rsid w:val="00B11CF5"/>
    <w:rsid w:val="00B209FA"/>
    <w:rsid w:val="00B21D1F"/>
    <w:rsid w:val="00B33AEA"/>
    <w:rsid w:val="00B410BA"/>
    <w:rsid w:val="00B43D68"/>
    <w:rsid w:val="00B44A3A"/>
    <w:rsid w:val="00B5600C"/>
    <w:rsid w:val="00B66E33"/>
    <w:rsid w:val="00B713A8"/>
    <w:rsid w:val="00B72FB1"/>
    <w:rsid w:val="00B953DA"/>
    <w:rsid w:val="00BA19B0"/>
    <w:rsid w:val="00BB3870"/>
    <w:rsid w:val="00BB45A7"/>
    <w:rsid w:val="00BC1159"/>
    <w:rsid w:val="00BD0EF7"/>
    <w:rsid w:val="00BD6778"/>
    <w:rsid w:val="00BE57D0"/>
    <w:rsid w:val="00BF5C1F"/>
    <w:rsid w:val="00C01599"/>
    <w:rsid w:val="00C048D1"/>
    <w:rsid w:val="00C05563"/>
    <w:rsid w:val="00C11132"/>
    <w:rsid w:val="00C115B9"/>
    <w:rsid w:val="00C12FDD"/>
    <w:rsid w:val="00C145AA"/>
    <w:rsid w:val="00C14655"/>
    <w:rsid w:val="00C21399"/>
    <w:rsid w:val="00C235DF"/>
    <w:rsid w:val="00C446E2"/>
    <w:rsid w:val="00C535F5"/>
    <w:rsid w:val="00C560C4"/>
    <w:rsid w:val="00C6748F"/>
    <w:rsid w:val="00C74337"/>
    <w:rsid w:val="00C75DC8"/>
    <w:rsid w:val="00C929AE"/>
    <w:rsid w:val="00C92FBA"/>
    <w:rsid w:val="00CA4344"/>
    <w:rsid w:val="00CA6348"/>
    <w:rsid w:val="00CB1232"/>
    <w:rsid w:val="00CB17A0"/>
    <w:rsid w:val="00CC00AF"/>
    <w:rsid w:val="00CC3B7D"/>
    <w:rsid w:val="00CD5AE4"/>
    <w:rsid w:val="00CD5E86"/>
    <w:rsid w:val="00CE3B21"/>
    <w:rsid w:val="00CF35B0"/>
    <w:rsid w:val="00CF4D09"/>
    <w:rsid w:val="00D005F2"/>
    <w:rsid w:val="00D03A8E"/>
    <w:rsid w:val="00D114ED"/>
    <w:rsid w:val="00D3032C"/>
    <w:rsid w:val="00D31A3B"/>
    <w:rsid w:val="00D5309D"/>
    <w:rsid w:val="00D631FA"/>
    <w:rsid w:val="00D71064"/>
    <w:rsid w:val="00D811BB"/>
    <w:rsid w:val="00D82356"/>
    <w:rsid w:val="00D84EEE"/>
    <w:rsid w:val="00D90A61"/>
    <w:rsid w:val="00D946EF"/>
    <w:rsid w:val="00D95553"/>
    <w:rsid w:val="00DC355F"/>
    <w:rsid w:val="00DD1E4C"/>
    <w:rsid w:val="00DE331A"/>
    <w:rsid w:val="00DE6ACB"/>
    <w:rsid w:val="00DF02CE"/>
    <w:rsid w:val="00DF1462"/>
    <w:rsid w:val="00E030DA"/>
    <w:rsid w:val="00E214C0"/>
    <w:rsid w:val="00E30D85"/>
    <w:rsid w:val="00E444EB"/>
    <w:rsid w:val="00E77A69"/>
    <w:rsid w:val="00E81A42"/>
    <w:rsid w:val="00E961E8"/>
    <w:rsid w:val="00E96244"/>
    <w:rsid w:val="00E96DE0"/>
    <w:rsid w:val="00EB2BEC"/>
    <w:rsid w:val="00EB74BF"/>
    <w:rsid w:val="00EC0704"/>
    <w:rsid w:val="00EC508B"/>
    <w:rsid w:val="00ED6B5D"/>
    <w:rsid w:val="00EE4C99"/>
    <w:rsid w:val="00F153D7"/>
    <w:rsid w:val="00F1599C"/>
    <w:rsid w:val="00F2433F"/>
    <w:rsid w:val="00F244DC"/>
    <w:rsid w:val="00F24CAD"/>
    <w:rsid w:val="00F378F4"/>
    <w:rsid w:val="00F47912"/>
    <w:rsid w:val="00F541B6"/>
    <w:rsid w:val="00F57702"/>
    <w:rsid w:val="00F61361"/>
    <w:rsid w:val="00F613E8"/>
    <w:rsid w:val="00F74D3C"/>
    <w:rsid w:val="00F74FC9"/>
    <w:rsid w:val="00F91F47"/>
    <w:rsid w:val="00F926EA"/>
    <w:rsid w:val="00FA4F36"/>
    <w:rsid w:val="00FA6FFE"/>
    <w:rsid w:val="00FC121B"/>
    <w:rsid w:val="00FD3DFB"/>
    <w:rsid w:val="00FF0272"/>
    <w:rsid w:val="00FF39EC"/>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14759828">
      <w:bodyDiv w:val="1"/>
      <w:marLeft w:val="0"/>
      <w:marRight w:val="0"/>
      <w:marTop w:val="0"/>
      <w:marBottom w:val="0"/>
      <w:divBdr>
        <w:top w:val="none" w:sz="0" w:space="0" w:color="auto"/>
        <w:left w:val="none" w:sz="0" w:space="0" w:color="auto"/>
        <w:bottom w:val="none" w:sz="0" w:space="0" w:color="auto"/>
        <w:right w:val="none" w:sz="0" w:space="0" w:color="auto"/>
      </w:divBdr>
    </w:div>
    <w:div w:id="239146370">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38183348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43678015">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923280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DAF0359-5A33-4351-BF23-95078B39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2021</Words>
  <Characters>11521</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Cebuľáková Monika</cp:lastModifiedBy>
  <cp:revision>4</cp:revision>
  <dcterms:created xsi:type="dcterms:W3CDTF">2023-11-29T11:34:00Z</dcterms:created>
  <dcterms:modified xsi:type="dcterms:W3CDTF">2023-11-29T11:44:00Z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