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48" w:rsidRPr="009E0EC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9E0EC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5307FC" w:rsidRPr="009E0EC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161E5" w:rsidRPr="009E0EC0" w:rsidRDefault="00E161E5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9E0EC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9E0EC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E0EC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CA1407" w:rsidRPr="009E0EC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9E0EC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9E0EC0" w:rsidRPr="009E0EC0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9E0EC0" w:rsidRPr="009E0EC0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9E0EC0" w:rsidRDefault="00AB68C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9E0EC0" w:rsidRDefault="00AB68C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9E0EC0" w:rsidRDefault="00AB68C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9E0EC0" w:rsidRDefault="00AB68C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9E0EC0" w:rsidRPr="009E0EC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9E0EC0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9E0EC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9E0EC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9E0EC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9E0EC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9E0EC0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9E0EC0" w:rsidRDefault="00AB68C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9E0EC0" w:rsidRDefault="00AB68C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9E0EC0" w:rsidRDefault="00AB68C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9E0EC0" w:rsidRDefault="00AB68C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16 219 600</w:t>
            </w:r>
            <w:r w:rsidR="007D5748"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42FD4" w:rsidRPr="009E0EC0" w:rsidRDefault="00242FD4" w:rsidP="00242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 MŠVVaŠ SR/078</w:t>
            </w:r>
          </w:p>
        </w:tc>
        <w:tc>
          <w:tcPr>
            <w:tcW w:w="1267" w:type="dxa"/>
            <w:noWrap/>
            <w:vAlign w:val="center"/>
          </w:tcPr>
          <w:p w:rsidR="00242FD4" w:rsidRPr="009E0EC0" w:rsidRDefault="00242FD4" w:rsidP="00242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267" w:type="dxa"/>
            <w:noWrap/>
            <w:vAlign w:val="center"/>
          </w:tcPr>
          <w:p w:rsidR="00242FD4" w:rsidRPr="009E0EC0" w:rsidRDefault="00242FD4" w:rsidP="00242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267" w:type="dxa"/>
            <w:noWrap/>
            <w:vAlign w:val="center"/>
          </w:tcPr>
          <w:p w:rsidR="00242FD4" w:rsidRPr="009E0EC0" w:rsidRDefault="00242FD4" w:rsidP="00242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267" w:type="dxa"/>
            <w:noWrap/>
            <w:vAlign w:val="center"/>
          </w:tcPr>
          <w:p w:rsidR="00242FD4" w:rsidRPr="009E0EC0" w:rsidRDefault="00242FD4" w:rsidP="00242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16 219 600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AB68C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AB68C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AB68C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267" w:type="dxa"/>
            <w:noWrap/>
            <w:vAlign w:val="center"/>
          </w:tcPr>
          <w:p w:rsidR="007D5748" w:rsidRPr="009E0EC0" w:rsidRDefault="00AB68C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16 219 600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16 219 600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AB68C4" w:rsidRPr="009E0EC0" w:rsidRDefault="00AB68C4" w:rsidP="00AB68C4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AB68C4" w:rsidRPr="009E0EC0" w:rsidRDefault="00AB68C4" w:rsidP="00AB68C4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  <w:r w:rsidR="002D3C23"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*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  <w:r w:rsidR="0071170E"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*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AB68C4" w:rsidRPr="009E0EC0" w:rsidRDefault="00AB68C4" w:rsidP="00AB6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AB68C4" w:rsidRPr="009E0EC0" w:rsidRDefault="00F75E95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AB68C4" w:rsidRPr="009E0EC0" w:rsidRDefault="00F75E95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AB68C4" w:rsidRPr="009E0EC0" w:rsidRDefault="00F75E95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AB68C4" w:rsidRPr="009E0EC0" w:rsidRDefault="00F75E95" w:rsidP="00AB6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5D0A9F" w:rsidRPr="009E0EC0" w:rsidRDefault="005D0A9F" w:rsidP="005D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MŠVVaŠ SR/078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5D0A9F" w:rsidRPr="009E0EC0" w:rsidRDefault="005D0A9F" w:rsidP="005D0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5D0A9F" w:rsidRPr="009E0EC0" w:rsidRDefault="005D0A9F" w:rsidP="005D0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5D0A9F" w:rsidRPr="009E0EC0" w:rsidRDefault="005D0A9F" w:rsidP="005D0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5D0A9F" w:rsidRPr="009E0EC0" w:rsidRDefault="005D0A9F" w:rsidP="005D0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16 219 600</w:t>
            </w:r>
          </w:p>
        </w:tc>
      </w:tr>
    </w:tbl>
    <w:bookmarkEnd w:id="0"/>
    <w:p w:rsidR="00CA1407" w:rsidRPr="009E0EC0" w:rsidRDefault="0071170E" w:rsidP="005307FC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lastRenderedPageBreak/>
        <w:t xml:space="preserve">*Keďže mzdové výdavky sú súčasťou bežného transferu (kat. 640) poskytovaného zriaďovateľom, nie sú vyčíslené v tab. č. 1, len v tab. č. 5 </w:t>
      </w:r>
      <w:r w:rsidR="008A723A" w:rsidRPr="009E0E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 s</w:t>
      </w:r>
      <w:r w:rsidR="00CA1407" w:rsidRPr="009E0E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 </w:t>
      </w:r>
      <w:r w:rsidR="008A723A" w:rsidRPr="009E0E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poznámkou</w:t>
      </w:r>
    </w:p>
    <w:p w:rsidR="00CA1407" w:rsidRPr="009E0EC0" w:rsidRDefault="00CA140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A1407" w:rsidRPr="009E0EC0" w:rsidRDefault="00CA1407" w:rsidP="00CA1407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9E0EC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1049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417"/>
        <w:gridCol w:w="1418"/>
        <w:gridCol w:w="1417"/>
        <w:gridCol w:w="1418"/>
      </w:tblGrid>
      <w:tr w:rsidR="009E0EC0" w:rsidRPr="009E0EC0" w:rsidTr="00C16EE2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A1407" w:rsidRPr="009E0EC0" w:rsidRDefault="00CA1407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9E0EC0" w:rsidRPr="009E0EC0" w:rsidTr="00C16EE2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A1407" w:rsidRPr="009E0EC0" w:rsidRDefault="00CA1407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16 219 600</w:t>
            </w:r>
          </w:p>
        </w:tc>
      </w:tr>
      <w:tr w:rsidR="009E0EC0" w:rsidRPr="009E0EC0" w:rsidTr="00C16EE2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CA1407" w:rsidRPr="009E0EC0" w:rsidRDefault="00CA1407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tom: MŠVVaŠ SR/078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16 219 600</w:t>
            </w:r>
          </w:p>
        </w:tc>
      </w:tr>
      <w:tr w:rsidR="009E0EC0" w:rsidRPr="009E0EC0" w:rsidTr="00C16EE2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A1407" w:rsidRPr="009E0EC0" w:rsidRDefault="00CA1407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C16EE2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A1407" w:rsidRPr="009E0EC0" w:rsidRDefault="00CA1407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16 219 600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16 219 600</w:t>
            </w:r>
          </w:p>
        </w:tc>
      </w:tr>
      <w:tr w:rsidR="009E0EC0" w:rsidRPr="009E0EC0" w:rsidTr="00C16EE2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A1407" w:rsidRPr="009E0EC0" w:rsidRDefault="00CA1407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ostatných subjekty verejnej správy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9E0EC0" w:rsidRPr="009E0EC0" w:rsidTr="00C16EE2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CA1407" w:rsidRPr="009E0EC0" w:rsidRDefault="00CA1407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07" w:rsidRPr="009E0EC0" w:rsidRDefault="00CA1407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</w:tbl>
    <w:p w:rsidR="00CA1407" w:rsidRPr="009E0EC0" w:rsidRDefault="00CA1407" w:rsidP="00CA140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9E0EC0" w:rsidRDefault="00E963A3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  <w:r w:rsidR="007D5748" w:rsidRPr="009E0E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9E0EC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9E0EC0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F75E95" w:rsidRDefault="00F75E95" w:rsidP="00F75E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F75E9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Úpravy vyplývajúce z návrhu zákona budú v rokoch 2024 až 2027 rozpočtovo kryté v kapitole MŠVVaŠ SR. Finančné prostriedky budú zabezpečené v rámci rozpočtu verejnej správy.</w:t>
      </w:r>
      <w:r w:rsidR="00200D5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9E0EC0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9E0EC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9E0EC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AB68C4" w:rsidRPr="009E0EC0" w:rsidRDefault="00AB68C4" w:rsidP="00AB68C4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Návrhom zákona č. 597/2003 Z. z. o financovaní základných škôl, stredných škôl a školských zariadení v znení neskorších</w:t>
      </w:r>
      <w:r w:rsidR="00D55863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</w:t>
      </w:r>
      <w:r w:rsidR="00D55863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D55863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ktorým sa dopĺňajú niektoré zákony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„návrh“)</w:t>
      </w:r>
      <w:r w:rsidR="00D55863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="00D55863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rieši zmena financovania cirkevných zariadení poradenstva a prevencie a súkromných zariadení poradenstva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prevencie (ďalej len „ZPP“)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55863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súčasnosti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obce a samosprávne kraje poskytujú týmto 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>ZPP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z výnosu dane z príjmov fyzických osôb 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ďalej len „DPFO“)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na základe počtu detí v predchádzajúcom školskom roku, ktorým boli poskytnuté služby  v 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>ZPP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B68C4" w:rsidRPr="009E0EC0" w:rsidRDefault="00AB68C4" w:rsidP="00AB68C4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CA9" w:rsidRPr="009E0EC0" w:rsidRDefault="00AB68C4" w:rsidP="00AB68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EC0">
        <w:rPr>
          <w:rFonts w:ascii="Times New Roman" w:eastAsia="Times New Roman" w:hAnsi="Times New Roman" w:cs="Times New Roman"/>
          <w:sz w:val="24"/>
          <w:szCs w:val="24"/>
        </w:rPr>
        <w:tab/>
        <w:t xml:space="preserve">Zmena financovania spočíva v tom, že cirkevné 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>ZPP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a súkromné 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>ZPP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už nebudú financované obcami alebo samosprávnymi krajmi z výnosu 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>DPFO</w:t>
      </w:r>
      <w:r w:rsidR="0032159B" w:rsidRPr="009E0E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>ale zo štátneho rozpočtu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rovnako ako štátne 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>ZPP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C2CA9" w:rsidRPr="009E0EC0" w:rsidRDefault="009C2CA9" w:rsidP="00AB68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8C4" w:rsidRPr="009E0EC0" w:rsidRDefault="00AB68C4" w:rsidP="00AB68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Štátne 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>ZPP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sú financované </w:t>
      </w:r>
      <w:r w:rsidR="009E0EC0">
        <w:rPr>
          <w:rFonts w:ascii="Times New Roman" w:eastAsia="Times New Roman" w:hAnsi="Times New Roman" w:cs="Times New Roman"/>
          <w:sz w:val="24"/>
          <w:szCs w:val="24"/>
        </w:rPr>
        <w:t>v súčasnosti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>nielen na základe počtu detí, pre ktoré bola vykonaná odborná činnosť, ale aj na základe počtu jednotlivých výkonov odbornej činnosti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>, ktoré ZPP vykonali  v uplynulom školskom roku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B68C4" w:rsidRPr="009E0EC0" w:rsidRDefault="00AB68C4" w:rsidP="00AB68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8C4" w:rsidRPr="009E0EC0" w:rsidRDefault="00AB68C4" w:rsidP="00AB68C4">
      <w:p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Navrhovaná zmena financovania zabezpečí rovnaký model financovania poradenských služieb pre všetkých zriaďovateľov 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>ZPP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B68C4" w:rsidRPr="009E0EC0" w:rsidRDefault="00AB68C4" w:rsidP="00AB6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8C4" w:rsidRPr="009E0EC0" w:rsidRDefault="00AB68C4" w:rsidP="00AB6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="00AB68C4" w:rsidRPr="009E0EC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>x</w:t>
      </w:r>
      <w:r w:rsidRPr="009E0EC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Pr="009E0E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B68C4" w:rsidRPr="009E0EC0" w:rsidRDefault="00AB68C4" w:rsidP="00AB68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EC0">
        <w:rPr>
          <w:rFonts w:ascii="Times New Roman" w:eastAsia="Times New Roman" w:hAnsi="Times New Roman" w:cs="Times New Roman"/>
          <w:sz w:val="24"/>
          <w:szCs w:val="24"/>
        </w:rPr>
        <w:t>Návrhom  sa plní jeden z cieľov Plánu obnovy a odolnosti SR schváleného uznesením vlády SR č. 221 z 28. apríla 2021 – ide o  cieľ reformy 3 komponentu 6.</w:t>
      </w:r>
    </w:p>
    <w:p w:rsidR="00AB68C4" w:rsidRPr="009E0EC0" w:rsidRDefault="00AB68C4" w:rsidP="00AB68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8C4" w:rsidRPr="009E0EC0" w:rsidRDefault="00AB68C4" w:rsidP="00AB68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EC0">
        <w:rPr>
          <w:rFonts w:ascii="Times New Roman" w:eastAsia="Times New Roman" w:hAnsi="Times New Roman" w:cs="Times New Roman"/>
          <w:sz w:val="24"/>
          <w:szCs w:val="24"/>
        </w:rPr>
        <w:t>Reforma 3 komponentu 6 je „</w:t>
      </w:r>
      <w:r w:rsidRPr="009E0EC0">
        <w:rPr>
          <w:rFonts w:ascii="Times New Roman" w:eastAsia="Times New Roman" w:hAnsi="Times New Roman" w:cs="Times New Roman"/>
          <w:i/>
          <w:sz w:val="24"/>
          <w:szCs w:val="24"/>
        </w:rPr>
        <w:t>Reforma systému poradenstva a prevencie a zabezpečenie systematického zberu dát v oblasti podpory duševného zdravia detí, žiakov a študentov.“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68C4" w:rsidRPr="009E0EC0" w:rsidRDefault="00AB68C4" w:rsidP="00AB68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8C4" w:rsidRPr="009E0EC0" w:rsidRDefault="00AB68C4" w:rsidP="00AB68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E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Cieľ reformy systému poradenstva a prevencie sa už z časti splnil zákonom č. 415/2021 Z. z., ktorým sa mení a dopĺňa zákon č. 245/2008 Z. z. o výchove a vzdelávaní (školský zákon) a o zmene a doplnení niektorých zákonov v znení neskorších predpisov a ktorým sa menia a dopĺňajú niektoré zákony. Druhým krokom plnenia cieľa reformy systému poradenstva a prevencie je zmena financovania 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>ZPP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8C4" w:rsidRPr="009E0EC0" w:rsidRDefault="00AB68C4" w:rsidP="00AB68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8C4" w:rsidRPr="009E0EC0" w:rsidRDefault="00AB68C4" w:rsidP="00AB68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Podľa návrhu sa 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>ZPP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všetkých zriaďovateľov majú financovať zo štátneho rozpočtu nielen na základe počtu detí, pre ktoré bola vykonaná odborná činnosť, ale aj na základe počtu jednotlivých 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 xml:space="preserve">druhov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výkonov odbornej činnosti uskutočnených zariadením poradenstva a prevencie 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>uplynul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školsk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. Navrhovaná zmena financovania zabezpečí rovnaký model financovania poradenských služieb pre všetky </w:t>
      </w:r>
      <w:r w:rsidR="00E65EF3" w:rsidRPr="009E0EC0">
        <w:rPr>
          <w:rFonts w:ascii="Times New Roman" w:eastAsia="Times New Roman" w:hAnsi="Times New Roman" w:cs="Times New Roman"/>
          <w:sz w:val="24"/>
          <w:szCs w:val="24"/>
        </w:rPr>
        <w:t>ZPP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bez ohľadu na druh zriaďovateľa.       </w:t>
      </w:r>
    </w:p>
    <w:p w:rsidR="00AB68C4" w:rsidRPr="009E0EC0" w:rsidRDefault="00AB68C4" w:rsidP="00A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7734" w:rsidRPr="009E0EC0" w:rsidRDefault="00867734" w:rsidP="008677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Zmenou financovania neštátnych </w:t>
      </w:r>
      <w:r w:rsidR="00E65EF3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ZPP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nepredpokladá vplyv na zvýšenie alebo zníženie poskytovania odbornej činnosti, ktorú zabezpečujú </w:t>
      </w:r>
      <w:r w:rsidR="00E65EF3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ZPP. </w:t>
      </w:r>
    </w:p>
    <w:p w:rsidR="00867734" w:rsidRPr="009E0EC0" w:rsidRDefault="00867734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9E0EC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E0EC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9E0EC0" w:rsidRPr="009E0EC0" w:rsidTr="002B63FD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9E0EC0" w:rsidRPr="009E0EC0" w:rsidTr="002B63FD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9E0EC0" w:rsidRPr="009E0EC0" w:rsidTr="002B63FD">
        <w:trPr>
          <w:trHeight w:val="70"/>
        </w:trPr>
        <w:tc>
          <w:tcPr>
            <w:tcW w:w="4530" w:type="dxa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E0EC0" w:rsidRPr="009E0EC0" w:rsidTr="002B63FD">
        <w:trPr>
          <w:trHeight w:val="70"/>
        </w:trPr>
        <w:tc>
          <w:tcPr>
            <w:tcW w:w="4530" w:type="dxa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9E0EC0" w:rsidTr="002B63FD">
        <w:trPr>
          <w:trHeight w:val="70"/>
        </w:trPr>
        <w:tc>
          <w:tcPr>
            <w:tcW w:w="4530" w:type="dxa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9E0EC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5EF3" w:rsidRPr="009E0EC0" w:rsidRDefault="00143E69" w:rsidP="0086773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Na základe súčasného stavu financovania </w:t>
      </w:r>
      <w:r w:rsidR="00CD1157" w:rsidRPr="009E0EC0">
        <w:rPr>
          <w:rFonts w:ascii="Times New Roman" w:eastAsia="Times New Roman" w:hAnsi="Times New Roman" w:cs="Times New Roman"/>
          <w:sz w:val="24"/>
          <w:szCs w:val="24"/>
        </w:rPr>
        <w:t xml:space="preserve">neštátnych </w:t>
      </w:r>
      <w:r w:rsidR="00E65EF3" w:rsidRPr="009E0EC0">
        <w:rPr>
          <w:rFonts w:ascii="Times New Roman" w:eastAsia="Times New Roman" w:hAnsi="Times New Roman" w:cs="Times New Roman"/>
          <w:sz w:val="24"/>
          <w:szCs w:val="24"/>
        </w:rPr>
        <w:t>ZPP</w:t>
      </w:r>
      <w:r w:rsidR="00CD1157" w:rsidRPr="009E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>na základe počtu deti, ktorým boli poskytnuté služby zariadením poradenstva a</w:t>
      </w:r>
      <w:r w:rsidR="003662C8" w:rsidRPr="009E0EC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>prevencie</w:t>
      </w:r>
      <w:r w:rsidR="003662C8" w:rsidRPr="009E0EC0">
        <w:rPr>
          <w:rFonts w:ascii="Times New Roman" w:eastAsia="Times New Roman" w:hAnsi="Times New Roman" w:cs="Times New Roman"/>
          <w:sz w:val="24"/>
          <w:szCs w:val="24"/>
        </w:rPr>
        <w:t xml:space="preserve"> v predchádzajúcom školskom roku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12EC" w:rsidRPr="009E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>z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> výnosu DPFO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EF3" w:rsidRPr="009E0EC0">
        <w:rPr>
          <w:rFonts w:ascii="Times New Roman" w:eastAsia="Times New Roman" w:hAnsi="Times New Roman" w:cs="Times New Roman"/>
          <w:sz w:val="24"/>
          <w:szCs w:val="24"/>
        </w:rPr>
        <w:t xml:space="preserve"> predstavuje 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objem finančných prostriedkov pre tieto </w:t>
      </w:r>
      <w:r w:rsidR="00E65EF3" w:rsidRPr="009E0EC0">
        <w:rPr>
          <w:rFonts w:ascii="Times New Roman" w:eastAsia="Times New Roman" w:hAnsi="Times New Roman" w:cs="Times New Roman"/>
          <w:sz w:val="24"/>
          <w:szCs w:val="24"/>
        </w:rPr>
        <w:t>ZPP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CA9" w:rsidRPr="009E0EC0">
        <w:rPr>
          <w:rFonts w:ascii="Times New Roman" w:eastAsia="Times New Roman" w:hAnsi="Times New Roman" w:cs="Times New Roman"/>
          <w:sz w:val="24"/>
          <w:szCs w:val="24"/>
        </w:rPr>
        <w:t xml:space="preserve">cca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11,6 mil. €.</w:t>
      </w:r>
    </w:p>
    <w:p w:rsidR="00E65EF3" w:rsidRPr="009E0EC0" w:rsidRDefault="00E65EF3" w:rsidP="0086773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E69" w:rsidRPr="009E0EC0" w:rsidRDefault="0002590E" w:rsidP="0086773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EC0">
        <w:rPr>
          <w:rFonts w:ascii="Times New Roman" w:eastAsia="Times New Roman" w:hAnsi="Times New Roman" w:cs="Times New Roman"/>
          <w:sz w:val="24"/>
          <w:szCs w:val="24"/>
        </w:rPr>
        <w:t>Pr</w:t>
      </w:r>
      <w:r w:rsidR="005312EC" w:rsidRPr="009E0EC0">
        <w:rPr>
          <w:rFonts w:ascii="Times New Roman" w:eastAsia="Times New Roman" w:hAnsi="Times New Roman" w:cs="Times New Roman"/>
          <w:sz w:val="24"/>
          <w:szCs w:val="24"/>
        </w:rPr>
        <w:t xml:space="preserve">i výpočte uvedenej sumy sa vychádzalo z počtu detí </w:t>
      </w:r>
      <w:r w:rsidR="000C6D81" w:rsidRPr="009E0EC0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E65EF3" w:rsidRPr="009E0EC0">
        <w:rPr>
          <w:rFonts w:ascii="Times New Roman" w:eastAsia="Times New Roman" w:hAnsi="Times New Roman" w:cs="Times New Roman"/>
          <w:sz w:val="24"/>
          <w:szCs w:val="24"/>
        </w:rPr>
        <w:t>ZPP</w:t>
      </w:r>
      <w:r w:rsidR="003662C8" w:rsidRPr="009E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D81" w:rsidRPr="009E0EC0">
        <w:rPr>
          <w:rFonts w:ascii="Times New Roman" w:eastAsia="Times New Roman" w:hAnsi="Times New Roman" w:cs="Times New Roman"/>
          <w:sz w:val="24"/>
          <w:szCs w:val="24"/>
        </w:rPr>
        <w:t xml:space="preserve">za predchádzajúci školský rok, ktorý </w:t>
      </w:r>
      <w:r w:rsidR="00961BCA" w:rsidRPr="009E0EC0">
        <w:rPr>
          <w:rFonts w:ascii="Times New Roman" w:eastAsia="Times New Roman" w:hAnsi="Times New Roman" w:cs="Times New Roman"/>
          <w:sz w:val="24"/>
          <w:szCs w:val="24"/>
        </w:rPr>
        <w:t>bol</w:t>
      </w:r>
      <w:r w:rsidR="000C6D81" w:rsidRPr="009E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EF3" w:rsidRPr="009E0EC0">
        <w:rPr>
          <w:rFonts w:ascii="Times New Roman" w:eastAsia="Times New Roman" w:hAnsi="Times New Roman" w:cs="Times New Roman"/>
          <w:sz w:val="24"/>
          <w:szCs w:val="24"/>
        </w:rPr>
        <w:t xml:space="preserve">v septembri 2023 pri zbere dát vo výkaze </w:t>
      </w:r>
      <w:proofErr w:type="spellStart"/>
      <w:r w:rsidR="00E65EF3" w:rsidRPr="009E0EC0">
        <w:rPr>
          <w:rFonts w:ascii="Times New Roman" w:eastAsia="Times New Roman" w:hAnsi="Times New Roman" w:cs="Times New Roman"/>
          <w:sz w:val="24"/>
          <w:szCs w:val="24"/>
        </w:rPr>
        <w:t>Škol</w:t>
      </w:r>
      <w:proofErr w:type="spellEnd"/>
      <w:r w:rsidR="00BD6D68" w:rsidRPr="009E0EC0">
        <w:rPr>
          <w:rFonts w:ascii="Times New Roman" w:eastAsia="Times New Roman" w:hAnsi="Times New Roman" w:cs="Times New Roman"/>
          <w:sz w:val="24"/>
          <w:szCs w:val="24"/>
        </w:rPr>
        <w:t xml:space="preserve"> (MŠVVaŠ SR)</w:t>
      </w:r>
      <w:r w:rsidR="00E65EF3" w:rsidRPr="009E0EC0">
        <w:rPr>
          <w:rFonts w:ascii="Times New Roman" w:eastAsia="Times New Roman" w:hAnsi="Times New Roman" w:cs="Times New Roman"/>
          <w:sz w:val="24"/>
          <w:szCs w:val="24"/>
        </w:rPr>
        <w:t xml:space="preserve"> 40 – 01 uvedený vo výške </w:t>
      </w:r>
      <w:r w:rsidR="003662C8" w:rsidRPr="009E0EC0">
        <w:rPr>
          <w:rFonts w:ascii="Times New Roman" w:eastAsia="Times New Roman" w:hAnsi="Times New Roman" w:cs="Times New Roman"/>
          <w:sz w:val="24"/>
          <w:szCs w:val="24"/>
        </w:rPr>
        <w:t>64</w:t>
      </w:r>
      <w:r w:rsidR="00E65EF3" w:rsidRPr="009E0EC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662C8" w:rsidRPr="009E0EC0">
        <w:rPr>
          <w:rFonts w:ascii="Times New Roman" w:eastAsia="Times New Roman" w:hAnsi="Times New Roman" w:cs="Times New Roman"/>
          <w:sz w:val="24"/>
          <w:szCs w:val="24"/>
        </w:rPr>
        <w:t>263</w:t>
      </w:r>
      <w:r w:rsidR="000C6D81" w:rsidRPr="009E0EC0">
        <w:rPr>
          <w:rFonts w:ascii="Times New Roman" w:eastAsia="Times New Roman" w:hAnsi="Times New Roman" w:cs="Times New Roman"/>
          <w:sz w:val="24"/>
          <w:szCs w:val="24"/>
        </w:rPr>
        <w:t xml:space="preserve">. Uvedený počet </w:t>
      </w:r>
      <w:r w:rsidR="005312EC" w:rsidRPr="009E0EC0">
        <w:rPr>
          <w:rFonts w:ascii="Times New Roman" w:eastAsia="Times New Roman" w:hAnsi="Times New Roman" w:cs="Times New Roman"/>
          <w:sz w:val="24"/>
          <w:szCs w:val="24"/>
        </w:rPr>
        <w:t>bol prenásoben</w:t>
      </w:r>
      <w:r w:rsidR="000C6D81" w:rsidRPr="009E0EC0">
        <w:rPr>
          <w:rFonts w:ascii="Times New Roman" w:eastAsia="Times New Roman" w:hAnsi="Times New Roman" w:cs="Times New Roman"/>
          <w:sz w:val="24"/>
          <w:szCs w:val="24"/>
        </w:rPr>
        <w:t>ý</w:t>
      </w:r>
      <w:r w:rsidR="005312EC" w:rsidRPr="009E0EC0">
        <w:rPr>
          <w:rFonts w:ascii="Times New Roman" w:eastAsia="Times New Roman" w:hAnsi="Times New Roman" w:cs="Times New Roman"/>
          <w:sz w:val="24"/>
          <w:szCs w:val="24"/>
        </w:rPr>
        <w:t xml:space="preserve"> koeficientami uvedenými v Prílohe č. 3 nariadenia vlády č. 668/2004 Z. z. o rozdeľovaní výnosu dane z príjmov územnej samospráve</w:t>
      </w:r>
      <w:r w:rsidR="007E7446" w:rsidRPr="009E0E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65EF3" w:rsidRPr="009E0EC0">
        <w:rPr>
          <w:rFonts w:ascii="Times New Roman" w:eastAsia="Times New Roman" w:hAnsi="Times New Roman" w:cs="Times New Roman"/>
          <w:sz w:val="24"/>
          <w:szCs w:val="24"/>
        </w:rPr>
        <w:t>P</w:t>
      </w:r>
      <w:r w:rsidR="007E7446" w:rsidRPr="009E0EC0">
        <w:rPr>
          <w:rFonts w:ascii="Times New Roman" w:eastAsia="Times New Roman" w:hAnsi="Times New Roman" w:cs="Times New Roman"/>
          <w:sz w:val="24"/>
          <w:szCs w:val="24"/>
        </w:rPr>
        <w:t xml:space="preserve">repočítaný počet detí </w:t>
      </w:r>
      <w:r w:rsidR="000C6D81" w:rsidRPr="009E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EF3" w:rsidRPr="009E0EC0">
        <w:rPr>
          <w:rFonts w:ascii="Times New Roman" w:eastAsia="Times New Roman" w:hAnsi="Times New Roman" w:cs="Times New Roman"/>
          <w:sz w:val="24"/>
          <w:szCs w:val="24"/>
        </w:rPr>
        <w:t xml:space="preserve">na základe uvedeného bol </w:t>
      </w:r>
      <w:r w:rsidR="000C6D81" w:rsidRPr="009E0EC0">
        <w:rPr>
          <w:rFonts w:ascii="Times New Roman" w:eastAsia="Times New Roman" w:hAnsi="Times New Roman" w:cs="Times New Roman"/>
          <w:sz w:val="24"/>
          <w:szCs w:val="24"/>
        </w:rPr>
        <w:t>107 698,5</w:t>
      </w:r>
      <w:r w:rsidR="00E65EF3" w:rsidRPr="009E0EC0">
        <w:rPr>
          <w:rFonts w:ascii="Times New Roman" w:eastAsia="Times New Roman" w:hAnsi="Times New Roman" w:cs="Times New Roman"/>
          <w:sz w:val="24"/>
          <w:szCs w:val="24"/>
        </w:rPr>
        <w:t xml:space="preserve"> a tento </w:t>
      </w:r>
      <w:r w:rsidR="000C6D81" w:rsidRPr="009E0EC0">
        <w:rPr>
          <w:rFonts w:ascii="Times New Roman" w:eastAsia="Times New Roman" w:hAnsi="Times New Roman" w:cs="Times New Roman"/>
          <w:sz w:val="24"/>
          <w:szCs w:val="24"/>
        </w:rPr>
        <w:t xml:space="preserve"> prepočítaný počet detí  </w:t>
      </w:r>
      <w:r w:rsidR="007E7446" w:rsidRPr="009E0EC0">
        <w:rPr>
          <w:rFonts w:ascii="Times New Roman" w:eastAsia="Times New Roman" w:hAnsi="Times New Roman" w:cs="Times New Roman"/>
          <w:sz w:val="24"/>
          <w:szCs w:val="24"/>
        </w:rPr>
        <w:t xml:space="preserve">bol prenásobený </w:t>
      </w:r>
      <w:r w:rsidR="003662C8" w:rsidRPr="009E0EC0">
        <w:rPr>
          <w:rFonts w:ascii="Times New Roman" w:eastAsia="Times New Roman" w:hAnsi="Times New Roman" w:cs="Times New Roman"/>
          <w:sz w:val="24"/>
          <w:szCs w:val="24"/>
        </w:rPr>
        <w:t>hodnotou jednotkového koeficientu z januára 2023 (107,54 €)</w:t>
      </w:r>
      <w:r w:rsidR="000C6D81" w:rsidRPr="009E0EC0">
        <w:rPr>
          <w:rFonts w:ascii="Times New Roman" w:eastAsia="Times New Roman" w:hAnsi="Times New Roman" w:cs="Times New Roman"/>
          <w:sz w:val="24"/>
          <w:szCs w:val="24"/>
        </w:rPr>
        <w:t xml:space="preserve">. Na základe uvedeného spôsobu výpočtu by zariadeniam poradenstva a prevencie bol poskytnutý </w:t>
      </w:r>
      <w:r w:rsidR="00961BCA" w:rsidRPr="009E0EC0">
        <w:rPr>
          <w:rFonts w:ascii="Times New Roman" w:eastAsia="Times New Roman" w:hAnsi="Times New Roman" w:cs="Times New Roman"/>
          <w:sz w:val="24"/>
          <w:szCs w:val="24"/>
        </w:rPr>
        <w:t xml:space="preserve">z výnosu </w:t>
      </w:r>
      <w:r w:rsidR="00E65EF3" w:rsidRPr="009E0EC0">
        <w:rPr>
          <w:rFonts w:ascii="Times New Roman" w:eastAsia="Times New Roman" w:hAnsi="Times New Roman" w:cs="Times New Roman"/>
          <w:sz w:val="24"/>
          <w:szCs w:val="24"/>
        </w:rPr>
        <w:t>DPFO</w:t>
      </w:r>
      <w:r w:rsidR="00961BCA" w:rsidRPr="009E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D81" w:rsidRPr="009E0EC0">
        <w:rPr>
          <w:rFonts w:ascii="Times New Roman" w:eastAsia="Times New Roman" w:hAnsi="Times New Roman" w:cs="Times New Roman"/>
          <w:sz w:val="24"/>
          <w:szCs w:val="24"/>
        </w:rPr>
        <w:t>objem finančných prostriedkov v sume 11,6 mil. €.</w:t>
      </w:r>
    </w:p>
    <w:p w:rsidR="00FC2F33" w:rsidRPr="009E0EC0" w:rsidRDefault="00FC2F33" w:rsidP="0086773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7734" w:rsidRPr="009E0EC0" w:rsidRDefault="00DF46F5" w:rsidP="0086773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EC0">
        <w:rPr>
          <w:rFonts w:ascii="Times New Roman" w:hAnsi="Times New Roman" w:cs="Times New Roman"/>
          <w:sz w:val="24"/>
          <w:szCs w:val="24"/>
        </w:rPr>
        <w:t xml:space="preserve">Pri výpočte objemu finančných prostriedkov pri zmene financovania neštátnych </w:t>
      </w:r>
      <w:r w:rsidR="00E65EF3" w:rsidRPr="009E0EC0">
        <w:rPr>
          <w:rFonts w:ascii="Times New Roman" w:hAnsi="Times New Roman" w:cs="Times New Roman"/>
          <w:sz w:val="24"/>
          <w:szCs w:val="24"/>
        </w:rPr>
        <w:t>ZPP</w:t>
      </w:r>
      <w:r w:rsidRPr="009E0EC0">
        <w:rPr>
          <w:rFonts w:ascii="Times New Roman" w:hAnsi="Times New Roman" w:cs="Times New Roman"/>
          <w:sz w:val="24"/>
          <w:szCs w:val="24"/>
        </w:rPr>
        <w:t xml:space="preserve"> zo štátneho rozpočtu sa </w:t>
      </w:r>
      <w:r w:rsidR="00867734" w:rsidRPr="009E0EC0">
        <w:rPr>
          <w:rFonts w:ascii="Times New Roman" w:hAnsi="Times New Roman" w:cs="Times New Roman"/>
          <w:sz w:val="24"/>
          <w:szCs w:val="24"/>
        </w:rPr>
        <w:t xml:space="preserve"> vychádza z údajov, ktoré poskytlo CVTI  SR z informačného systému </w:t>
      </w:r>
      <w:proofErr w:type="spellStart"/>
      <w:r w:rsidR="00867734" w:rsidRPr="009E0EC0">
        <w:rPr>
          <w:rFonts w:ascii="Times New Roman" w:hAnsi="Times New Roman" w:cs="Times New Roman"/>
          <w:sz w:val="24"/>
          <w:szCs w:val="24"/>
        </w:rPr>
        <w:t>EvuPP</w:t>
      </w:r>
      <w:proofErr w:type="spellEnd"/>
      <w:r w:rsidR="00867734" w:rsidRPr="009E0EC0">
        <w:rPr>
          <w:rFonts w:ascii="Times New Roman" w:hAnsi="Times New Roman" w:cs="Times New Roman"/>
          <w:sz w:val="24"/>
          <w:szCs w:val="24"/>
        </w:rPr>
        <w:t xml:space="preserve">. Tento informačný systém obsahuje </w:t>
      </w:r>
      <w:r w:rsidR="00E65EF3" w:rsidRPr="009E0EC0">
        <w:rPr>
          <w:rFonts w:ascii="Times New Roman" w:hAnsi="Times New Roman" w:cs="Times New Roman"/>
          <w:sz w:val="24"/>
          <w:szCs w:val="24"/>
        </w:rPr>
        <w:t xml:space="preserve">aj </w:t>
      </w:r>
      <w:r w:rsidR="00867734" w:rsidRPr="009E0EC0">
        <w:rPr>
          <w:rFonts w:ascii="Times New Roman" w:hAnsi="Times New Roman" w:cs="Times New Roman"/>
          <w:sz w:val="24"/>
          <w:szCs w:val="24"/>
        </w:rPr>
        <w:t xml:space="preserve">výkony </w:t>
      </w:r>
      <w:r w:rsidR="00E65EF3" w:rsidRPr="009E0EC0">
        <w:rPr>
          <w:rFonts w:ascii="Times New Roman" w:hAnsi="Times New Roman" w:cs="Times New Roman"/>
          <w:sz w:val="24"/>
          <w:szCs w:val="24"/>
        </w:rPr>
        <w:t>ZPP</w:t>
      </w:r>
      <w:r w:rsidR="00867734" w:rsidRPr="009E0EC0">
        <w:rPr>
          <w:rFonts w:ascii="Times New Roman" w:hAnsi="Times New Roman" w:cs="Times New Roman"/>
          <w:sz w:val="24"/>
          <w:szCs w:val="24"/>
        </w:rPr>
        <w:t xml:space="preserve"> </w:t>
      </w:r>
      <w:r w:rsidR="00E65EF3" w:rsidRPr="009E0EC0">
        <w:rPr>
          <w:rFonts w:ascii="Times New Roman" w:hAnsi="Times New Roman" w:cs="Times New Roman"/>
          <w:sz w:val="24"/>
          <w:szCs w:val="24"/>
        </w:rPr>
        <w:t xml:space="preserve"> </w:t>
      </w:r>
      <w:r w:rsidR="00867734" w:rsidRPr="009E0EC0">
        <w:rPr>
          <w:rFonts w:ascii="Times New Roman" w:hAnsi="Times New Roman" w:cs="Times New Roman"/>
          <w:sz w:val="24"/>
          <w:szCs w:val="24"/>
        </w:rPr>
        <w:t xml:space="preserve">za predchádzajúci školský rok, ktoré budú slúžiť pre normatívne financovanie v roku 2024 zo štátneho rozpočtu pre </w:t>
      </w:r>
      <w:r w:rsidR="000419E0" w:rsidRPr="009E0EC0">
        <w:rPr>
          <w:rFonts w:ascii="Times New Roman" w:hAnsi="Times New Roman" w:cs="Times New Roman"/>
          <w:sz w:val="24"/>
          <w:szCs w:val="24"/>
        </w:rPr>
        <w:t>ZPP</w:t>
      </w:r>
      <w:r w:rsidR="00867734" w:rsidRPr="009E0EC0">
        <w:rPr>
          <w:rFonts w:ascii="Times New Roman" w:hAnsi="Times New Roman" w:cs="Times New Roman"/>
          <w:sz w:val="24"/>
          <w:szCs w:val="24"/>
        </w:rPr>
        <w:t>.</w:t>
      </w:r>
    </w:p>
    <w:p w:rsidR="00867734" w:rsidRPr="009E0EC0" w:rsidRDefault="00867734" w:rsidP="0086773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734" w:rsidRPr="009E0EC0" w:rsidRDefault="00867734" w:rsidP="00867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EC0">
        <w:rPr>
          <w:rFonts w:ascii="Times New Roman" w:hAnsi="Times New Roman" w:cs="Times New Roman"/>
          <w:sz w:val="24"/>
          <w:szCs w:val="24"/>
        </w:rPr>
        <w:t xml:space="preserve">Pri výpočte vplyvov na verejné financie sa použil rovnaký postup ako pri výpočte rozpočtu pre štátne </w:t>
      </w:r>
      <w:r w:rsidR="000419E0" w:rsidRPr="009E0EC0">
        <w:rPr>
          <w:rFonts w:ascii="Times New Roman" w:hAnsi="Times New Roman" w:cs="Times New Roman"/>
          <w:sz w:val="24"/>
          <w:szCs w:val="24"/>
        </w:rPr>
        <w:t>ZPP</w:t>
      </w:r>
      <w:r w:rsidRPr="009E0EC0">
        <w:rPr>
          <w:rFonts w:ascii="Times New Roman" w:hAnsi="Times New Roman" w:cs="Times New Roman"/>
          <w:sz w:val="24"/>
          <w:szCs w:val="24"/>
        </w:rPr>
        <w:t xml:space="preserve"> pre rok 2023 podľa nariadenia vlády 630/2008  Z. z. v znení nariadenia vlády č. 489/2022 Z. z. Pri výpočt</w:t>
      </w:r>
      <w:r w:rsidR="0032159B" w:rsidRPr="009E0EC0">
        <w:rPr>
          <w:rFonts w:ascii="Times New Roman" w:hAnsi="Times New Roman" w:cs="Times New Roman"/>
          <w:sz w:val="24"/>
          <w:szCs w:val="24"/>
        </w:rPr>
        <w:t xml:space="preserve">e </w:t>
      </w:r>
      <w:r w:rsidRPr="009E0EC0">
        <w:rPr>
          <w:rFonts w:ascii="Times New Roman" w:hAnsi="Times New Roman" w:cs="Times New Roman"/>
          <w:sz w:val="24"/>
          <w:szCs w:val="24"/>
        </w:rPr>
        <w:t xml:space="preserve">sa vychádzalo z počtu </w:t>
      </w:r>
      <w:r w:rsidR="00EB4D7E" w:rsidRPr="009E0EC0">
        <w:rPr>
          <w:rFonts w:ascii="Times New Roman" w:hAnsi="Times New Roman" w:cs="Times New Roman"/>
          <w:sz w:val="24"/>
          <w:szCs w:val="24"/>
        </w:rPr>
        <w:t xml:space="preserve">detí </w:t>
      </w:r>
      <w:r w:rsidR="00DF46F5" w:rsidRPr="009E0EC0">
        <w:rPr>
          <w:rFonts w:ascii="Times New Roman" w:eastAsia="Times New Roman" w:hAnsi="Times New Roman" w:cs="Times New Roman"/>
          <w:sz w:val="24"/>
          <w:szCs w:val="24"/>
        </w:rPr>
        <w:t>za predchádzajúci školský rok,</w:t>
      </w:r>
      <w:r w:rsidR="00EF1EC5" w:rsidRPr="009E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EC0">
        <w:rPr>
          <w:rFonts w:ascii="Times New Roman" w:hAnsi="Times New Roman" w:cs="Times New Roman"/>
          <w:sz w:val="24"/>
          <w:szCs w:val="24"/>
        </w:rPr>
        <w:t>pre ktoré bola vykonaná odborná činnosť</w:t>
      </w:r>
      <w:r w:rsidR="00EF1EC5" w:rsidRPr="009E0EC0">
        <w:rPr>
          <w:rFonts w:ascii="Times New Roman" w:hAnsi="Times New Roman" w:cs="Times New Roman"/>
          <w:sz w:val="24"/>
          <w:szCs w:val="24"/>
        </w:rPr>
        <w:t xml:space="preserve"> (paušálny príspevok)</w:t>
      </w:r>
      <w:r w:rsidRPr="009E0EC0">
        <w:rPr>
          <w:rFonts w:ascii="Times New Roman" w:hAnsi="Times New Roman" w:cs="Times New Roman"/>
          <w:sz w:val="24"/>
          <w:szCs w:val="24"/>
        </w:rPr>
        <w:t>, ale aj z počtu jednotlivých výkonov odbornej činnosti uskutočnených zariadením poradenstva a prevencie za uplynulý školský rok</w:t>
      </w:r>
      <w:r w:rsidR="00EF1EC5" w:rsidRPr="009E0EC0">
        <w:rPr>
          <w:rFonts w:ascii="Times New Roman" w:hAnsi="Times New Roman" w:cs="Times New Roman"/>
          <w:sz w:val="24"/>
          <w:szCs w:val="24"/>
        </w:rPr>
        <w:t xml:space="preserve"> </w:t>
      </w:r>
      <w:r w:rsidR="00EF1EC5" w:rsidRPr="009E0EC0">
        <w:rPr>
          <w:rFonts w:ascii="Times New Roman" w:hAnsi="Times New Roman" w:cs="Times New Roman"/>
          <w:sz w:val="24"/>
          <w:szCs w:val="24"/>
        </w:rPr>
        <w:lastRenderedPageBreak/>
        <w:t>(výkonový príspevok)</w:t>
      </w:r>
      <w:r w:rsidRPr="009E0EC0">
        <w:rPr>
          <w:rFonts w:ascii="Times New Roman" w:hAnsi="Times New Roman" w:cs="Times New Roman"/>
          <w:sz w:val="24"/>
          <w:szCs w:val="24"/>
        </w:rPr>
        <w:t xml:space="preserve">, pričom sa použili rovnaké normatívy ako majú v roku 2023 štátne zariadenia poradenstva a prevencie. </w:t>
      </w:r>
    </w:p>
    <w:p w:rsidR="00A30506" w:rsidRPr="009E0EC0" w:rsidRDefault="00A30506" w:rsidP="00BD6D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D6D68" w:rsidRPr="009E0EC0" w:rsidRDefault="00BD6D68" w:rsidP="00BD6D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E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Pri výpočte </w:t>
      </w:r>
      <w:r w:rsidRPr="009E0EC0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paušálneho príspevku</w:t>
      </w:r>
      <w:r w:rsidRPr="009E0E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sa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postupovalo nasledovne: počet detí v </w:t>
      </w:r>
      <w:r w:rsidR="00A30506" w:rsidRPr="009E0EC0">
        <w:rPr>
          <w:rFonts w:ascii="Times New Roman" w:eastAsia="Times New Roman" w:hAnsi="Times New Roman" w:cs="Times New Roman"/>
          <w:sz w:val="24"/>
          <w:szCs w:val="24"/>
        </w:rPr>
        <w:t>ZPP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za predchádzajúci školský rok, ktorý bol 64</w:t>
      </w:r>
      <w:r w:rsidR="00330E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>263</w:t>
      </w:r>
      <w:r w:rsidR="00330E82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1" w:name="_GoBack"/>
      <w:bookmarkEnd w:id="1"/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bol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prepočítaný koeficientami  z </w:t>
      </w:r>
      <w:r w:rsidR="00A30506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NV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630/2008 Z. z. podľa prílohy č. 10.</w:t>
      </w:r>
      <w:r w:rsidR="00A30506" w:rsidRPr="009E0EC0">
        <w:rPr>
          <w:rFonts w:ascii="Times New Roman" w:eastAsia="Times New Roman" w:hAnsi="Times New Roman" w:cs="Times New Roman"/>
          <w:sz w:val="24"/>
          <w:szCs w:val="24"/>
        </w:rPr>
        <w:t xml:space="preserve">  Prepočítaný počet detí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>112 697, bol prenásobený normatívom zodpovedajúcemu paušálnemu príspevku z roku 2023</w:t>
      </w:r>
      <w:r w:rsidR="00A30506" w:rsidRPr="009E0EC0">
        <w:rPr>
          <w:rFonts w:ascii="Times New Roman" w:eastAsia="Times New Roman" w:hAnsi="Times New Roman" w:cs="Times New Roman"/>
          <w:sz w:val="24"/>
          <w:szCs w:val="24"/>
        </w:rPr>
        <w:t xml:space="preserve"> v jednotlivých druhoch ZPP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>. Na základe uvedeného spôsobu paušálny príspevok predstavuje sumu 4 451 838 €.</w:t>
      </w:r>
    </w:p>
    <w:p w:rsidR="00A30506" w:rsidRPr="009E0EC0" w:rsidRDefault="00A30506" w:rsidP="00BD6D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D68" w:rsidRPr="009E0EC0" w:rsidRDefault="00BD6D68" w:rsidP="00BD6D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Pri výpočte </w:t>
      </w:r>
      <w:r w:rsidRPr="009E0EC0">
        <w:rPr>
          <w:rFonts w:ascii="Times New Roman" w:eastAsia="Times New Roman" w:hAnsi="Times New Roman" w:cs="Times New Roman"/>
          <w:i/>
          <w:sz w:val="24"/>
          <w:szCs w:val="24"/>
        </w:rPr>
        <w:t>výkonového príspevku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sa postupovalo nasledovne: počet jednotlivých výkonov v zariadeniach poradenstva a prevencie za predchádzajúci školský rok, ktorý bol</w:t>
      </w:r>
      <w:r w:rsidR="00A30506" w:rsidRPr="009E0EC0">
        <w:rPr>
          <w:rFonts w:ascii="Times New Roman" w:eastAsia="Times New Roman" w:hAnsi="Times New Roman" w:cs="Times New Roman"/>
          <w:sz w:val="24"/>
          <w:szCs w:val="24"/>
        </w:rPr>
        <w:t xml:space="preserve"> celkom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401 847, bol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prepočítaný koeficientami  z nariadenia vlády č. 630/2008 Z. z. podľa prílohy č. 11.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 Prepočítaný počet výkonov 1 289 </w:t>
      </w:r>
      <w:r w:rsidR="00A30506" w:rsidRPr="009E0EC0">
        <w:rPr>
          <w:rFonts w:ascii="Times New Roman" w:eastAsia="Times New Roman" w:hAnsi="Times New Roman" w:cs="Times New Roman"/>
          <w:sz w:val="24"/>
          <w:szCs w:val="24"/>
        </w:rPr>
        <w:t xml:space="preserve">276 bol prenásobený normatívom, ktorý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>zodpoved</w:t>
      </w:r>
      <w:r w:rsidR="00144F70" w:rsidRPr="009E0EC0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výkonové</w:t>
      </w:r>
      <w:r w:rsidR="00144F70" w:rsidRPr="009E0EC0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F70" w:rsidRPr="009E0EC0">
        <w:rPr>
          <w:rFonts w:ascii="Times New Roman" w:eastAsia="Times New Roman" w:hAnsi="Times New Roman" w:cs="Times New Roman"/>
          <w:sz w:val="24"/>
          <w:szCs w:val="24"/>
        </w:rPr>
        <w:t>normatívu v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 roku 2023. Na základe uvedeného spôsobu </w:t>
      </w:r>
      <w:r w:rsidR="00144F70" w:rsidRPr="009E0EC0">
        <w:rPr>
          <w:rFonts w:ascii="Times New Roman" w:eastAsia="Times New Roman" w:hAnsi="Times New Roman" w:cs="Times New Roman"/>
          <w:sz w:val="24"/>
          <w:szCs w:val="24"/>
        </w:rPr>
        <w:t xml:space="preserve">objem FP na výkony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>predstavuje sumu 10 884 717 €.</w:t>
      </w:r>
    </w:p>
    <w:p w:rsidR="00144F70" w:rsidRPr="009E0EC0" w:rsidRDefault="00144F70" w:rsidP="00BD6D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D68" w:rsidRPr="009E0EC0" w:rsidRDefault="00BD6D68" w:rsidP="00BD6D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Objem finančných prostriedkov na paušálny príspevok a výkonový príspevok </w:t>
      </w:r>
      <w:r w:rsidR="00144F70" w:rsidRPr="009E0EC0">
        <w:rPr>
          <w:rFonts w:ascii="Times New Roman" w:eastAsia="Times New Roman" w:hAnsi="Times New Roman" w:cs="Times New Roman"/>
          <w:sz w:val="24"/>
          <w:szCs w:val="24"/>
        </w:rPr>
        <w:t xml:space="preserve">spolu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>predstavuje sumu 15 336 555 €</w:t>
      </w:r>
      <w:r w:rsidR="00144F70" w:rsidRPr="009E0EC0">
        <w:rPr>
          <w:rFonts w:ascii="Times New Roman" w:eastAsia="Times New Roman" w:hAnsi="Times New Roman" w:cs="Times New Roman"/>
          <w:sz w:val="24"/>
          <w:szCs w:val="24"/>
        </w:rPr>
        <w:t xml:space="preserve"> a k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takto vypočítanej sume boli dopočítané finančné prostriedky na </w:t>
      </w:r>
      <w:r w:rsidR="008B0C98">
        <w:rPr>
          <w:rFonts w:ascii="Times New Roman" w:eastAsia="Times New Roman" w:hAnsi="Times New Roman" w:cs="Times New Roman"/>
          <w:sz w:val="24"/>
          <w:szCs w:val="24"/>
          <w:lang w:eastAsia="sk-SK"/>
        </w:rPr>
        <w:t>vplyv</w:t>
      </w:r>
      <w:r w:rsidR="008B0C98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valorizácie platov z roku 2023 na rok 2024 v sume 883 045 €. </w:t>
      </w:r>
    </w:p>
    <w:p w:rsidR="000419E0" w:rsidRPr="009E0EC0" w:rsidRDefault="000419E0" w:rsidP="0086773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67734" w:rsidRPr="009E0EC0" w:rsidRDefault="00867734" w:rsidP="0086773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Normatív pre štátne zariadenia poradenstva a prevencie pre rok 2023</w:t>
      </w:r>
    </w:p>
    <w:p w:rsidR="00867734" w:rsidRPr="009E0EC0" w:rsidRDefault="00867734" w:rsidP="0086773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5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100"/>
        <w:gridCol w:w="1080"/>
      </w:tblGrid>
      <w:tr w:rsidR="009E0EC0" w:rsidRPr="009E0EC0" w:rsidTr="001058A6">
        <w:trPr>
          <w:trHeight w:val="510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67734" w:rsidRPr="009E0EC0" w:rsidRDefault="00867734" w:rsidP="00105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Kategória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67734" w:rsidRPr="009E0EC0" w:rsidRDefault="00867734" w:rsidP="00105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Normatív 2023</w:t>
            </w:r>
          </w:p>
        </w:tc>
      </w:tr>
      <w:tr w:rsidR="009E0EC0" w:rsidRPr="009E0EC0" w:rsidTr="001058A6">
        <w:trPr>
          <w:trHeight w:val="300"/>
        </w:trPr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34" w:rsidRPr="009E0EC0" w:rsidRDefault="00867734" w:rsidP="00105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0EC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CPP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34" w:rsidRPr="009E0EC0" w:rsidRDefault="00867734" w:rsidP="00105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0EC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Paušál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34" w:rsidRPr="009E0EC0" w:rsidRDefault="00867734" w:rsidP="00105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0EC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39,50</w:t>
            </w:r>
          </w:p>
        </w:tc>
      </w:tr>
      <w:tr w:rsidR="009E0EC0" w:rsidRPr="009E0EC0" w:rsidTr="001058A6">
        <w:trPr>
          <w:trHeight w:val="300"/>
        </w:trPr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734" w:rsidRPr="009E0EC0" w:rsidRDefault="00867734" w:rsidP="00105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34" w:rsidRPr="009E0EC0" w:rsidRDefault="00867734" w:rsidP="00105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0EC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Výkony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34" w:rsidRPr="009E0EC0" w:rsidRDefault="00867734" w:rsidP="00105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0EC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9,38</w:t>
            </w:r>
          </w:p>
        </w:tc>
      </w:tr>
      <w:tr w:rsidR="009E0EC0" w:rsidRPr="009E0EC0" w:rsidTr="001058A6">
        <w:trPr>
          <w:trHeight w:val="300"/>
        </w:trPr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34" w:rsidRPr="009E0EC0" w:rsidRDefault="00867734" w:rsidP="00105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0EC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ŠCPP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34" w:rsidRPr="009E0EC0" w:rsidRDefault="00867734" w:rsidP="00105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0EC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Paušál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34" w:rsidRPr="009E0EC0" w:rsidRDefault="00867734" w:rsidP="00105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0EC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36,39</w:t>
            </w:r>
          </w:p>
        </w:tc>
      </w:tr>
      <w:tr w:rsidR="00867734" w:rsidRPr="009E0EC0" w:rsidTr="001058A6">
        <w:trPr>
          <w:trHeight w:val="300"/>
        </w:trPr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734" w:rsidRPr="009E0EC0" w:rsidRDefault="00867734" w:rsidP="00105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34" w:rsidRPr="009E0EC0" w:rsidRDefault="00867734" w:rsidP="00105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0EC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Výkony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34" w:rsidRPr="009E0EC0" w:rsidRDefault="00867734" w:rsidP="00105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0EC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4,82</w:t>
            </w:r>
          </w:p>
        </w:tc>
      </w:tr>
    </w:tbl>
    <w:p w:rsidR="00867734" w:rsidRPr="009E0EC0" w:rsidRDefault="00867734" w:rsidP="0086773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867734" w:rsidRPr="009E0EC0" w:rsidRDefault="00867734" w:rsidP="0086773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0419E0" w:rsidRPr="009E0EC0" w:rsidRDefault="00867734" w:rsidP="00867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EC0">
        <w:rPr>
          <w:rFonts w:ascii="Times New Roman" w:hAnsi="Times New Roman" w:cs="Times New Roman"/>
          <w:sz w:val="24"/>
          <w:szCs w:val="24"/>
        </w:rPr>
        <w:t>Výsledok výpočtu objemu finančných prostriedkov pre neštátne zariadenia poradenstva a prevencie pre rok 2024 bol navýšený o </w:t>
      </w:r>
      <w:r w:rsidR="008B0C98">
        <w:rPr>
          <w:rFonts w:ascii="Times New Roman" w:hAnsi="Times New Roman" w:cs="Times New Roman"/>
          <w:sz w:val="24"/>
          <w:szCs w:val="24"/>
        </w:rPr>
        <w:t>vplyv</w:t>
      </w:r>
      <w:r w:rsidR="008B0C98" w:rsidRPr="009E0EC0">
        <w:rPr>
          <w:rFonts w:ascii="Times New Roman" w:hAnsi="Times New Roman" w:cs="Times New Roman"/>
          <w:sz w:val="24"/>
          <w:szCs w:val="24"/>
        </w:rPr>
        <w:t xml:space="preserve"> </w:t>
      </w:r>
      <w:r w:rsidRPr="009E0EC0">
        <w:rPr>
          <w:rFonts w:ascii="Times New Roman" w:hAnsi="Times New Roman" w:cs="Times New Roman"/>
          <w:sz w:val="24"/>
          <w:szCs w:val="24"/>
        </w:rPr>
        <w:t xml:space="preserve">valorizácie od 1. septembra 2023. </w:t>
      </w:r>
    </w:p>
    <w:p w:rsidR="000419E0" w:rsidRPr="009E0EC0" w:rsidRDefault="000419E0" w:rsidP="00867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734" w:rsidRPr="009E0EC0" w:rsidRDefault="000419E0" w:rsidP="00867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EC0">
        <w:rPr>
          <w:rFonts w:ascii="Times New Roman" w:hAnsi="Times New Roman" w:cs="Times New Roman"/>
          <w:sz w:val="24"/>
          <w:szCs w:val="24"/>
        </w:rPr>
        <w:t xml:space="preserve">Celkový </w:t>
      </w:r>
      <w:r w:rsidR="008B0C98">
        <w:rPr>
          <w:rFonts w:ascii="Times New Roman" w:hAnsi="Times New Roman" w:cs="Times New Roman"/>
          <w:sz w:val="24"/>
          <w:szCs w:val="24"/>
        </w:rPr>
        <w:t>vplyv</w:t>
      </w:r>
      <w:r w:rsidR="008B0C98" w:rsidRPr="009E0EC0">
        <w:rPr>
          <w:rFonts w:ascii="Times New Roman" w:hAnsi="Times New Roman" w:cs="Times New Roman"/>
          <w:sz w:val="24"/>
          <w:szCs w:val="24"/>
        </w:rPr>
        <w:t xml:space="preserve">  </w:t>
      </w:r>
      <w:r w:rsidR="00867734" w:rsidRPr="009E0EC0">
        <w:rPr>
          <w:rFonts w:ascii="Times New Roman" w:hAnsi="Times New Roman" w:cs="Times New Roman"/>
          <w:sz w:val="24"/>
          <w:szCs w:val="24"/>
        </w:rPr>
        <w:t xml:space="preserve">na štátny rozpočet predstavuje  finančné prostriedky v sume </w:t>
      </w:r>
      <w:r w:rsidR="00867734" w:rsidRPr="009E0EC0">
        <w:rPr>
          <w:rFonts w:ascii="Times New Roman" w:hAnsi="Times New Roman" w:cs="Times New Roman"/>
          <w:b/>
          <w:sz w:val="24"/>
          <w:szCs w:val="24"/>
        </w:rPr>
        <w:t>16 219 600</w:t>
      </w:r>
      <w:r w:rsidR="00867734" w:rsidRPr="009E0EC0">
        <w:rPr>
          <w:rFonts w:ascii="Times New Roman" w:hAnsi="Times New Roman" w:cs="Times New Roman"/>
          <w:sz w:val="24"/>
          <w:szCs w:val="24"/>
        </w:rPr>
        <w:t xml:space="preserve"> €, s uvedenou sumou sa uvažuje aj v nasledujúcich troch rokoch. </w:t>
      </w:r>
    </w:p>
    <w:p w:rsidR="000419E0" w:rsidRPr="009E0EC0" w:rsidRDefault="000419E0" w:rsidP="00867734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734" w:rsidRPr="009E0EC0" w:rsidRDefault="00867734" w:rsidP="00867734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EC0">
        <w:rPr>
          <w:rFonts w:ascii="Times New Roman" w:hAnsi="Times New Roman" w:cs="Times New Roman"/>
          <w:sz w:val="24"/>
          <w:szCs w:val="24"/>
        </w:rPr>
        <w:t xml:space="preserve">Pri výpočte vplyvu na počet zamestnancov sa vychádzalo zo štvrťročného štatistického výkazu - Súhrnný výkaz o práci v školstve </w:t>
      </w:r>
      <w:proofErr w:type="spellStart"/>
      <w:r w:rsidRPr="009E0EC0">
        <w:rPr>
          <w:rFonts w:ascii="Times New Roman" w:hAnsi="Times New Roman" w:cs="Times New Roman"/>
          <w:sz w:val="24"/>
          <w:szCs w:val="24"/>
        </w:rPr>
        <w:t>Škol</w:t>
      </w:r>
      <w:proofErr w:type="spellEnd"/>
      <w:r w:rsidRPr="009E0EC0">
        <w:rPr>
          <w:rFonts w:ascii="Times New Roman" w:hAnsi="Times New Roman" w:cs="Times New Roman"/>
          <w:sz w:val="24"/>
          <w:szCs w:val="24"/>
        </w:rPr>
        <w:t xml:space="preserve">(MŠVVŠ SR)1-04 k 30.6.2023 a zároveň sa predpokladá v roku 2024 nárast počtu zamestnancov u neštátnych zariadení poradenstva a prevencie z dôvodu transformácie od 1.1.2023 v počte 148 osôb. Vo výpočte preto predpokladáme za neštátne zariadenia poradenstva a prevencie prepočítaný počet zamestnancov 537,6. </w:t>
      </w:r>
      <w:r w:rsidR="000419E0" w:rsidRPr="009E0EC0">
        <w:rPr>
          <w:rFonts w:ascii="Times New Roman" w:hAnsi="Times New Roman" w:cs="Times New Roman"/>
          <w:sz w:val="24"/>
          <w:szCs w:val="24"/>
        </w:rPr>
        <w:t xml:space="preserve"> V tejto súvislosti upozorňujeme, že do výpočtu objemu finančných prostriedkov pre ZPP nevstupuje počet zamestnancov. Zamestnanci ZPP sú financovaní z vypočítaného objemu finančných prostriedkov. Nárast počtu zamestnancov  predpokladáme preto, lebo ZPP dlhodobo </w:t>
      </w:r>
      <w:r w:rsidR="00E56C68">
        <w:rPr>
          <w:rFonts w:ascii="Times New Roman" w:hAnsi="Times New Roman" w:cs="Times New Roman"/>
          <w:sz w:val="24"/>
          <w:szCs w:val="24"/>
        </w:rPr>
        <w:t>poukazujú</w:t>
      </w:r>
      <w:r w:rsidR="00E56C68" w:rsidRPr="009E0EC0">
        <w:rPr>
          <w:rFonts w:ascii="Times New Roman" w:hAnsi="Times New Roman" w:cs="Times New Roman"/>
          <w:sz w:val="24"/>
          <w:szCs w:val="24"/>
        </w:rPr>
        <w:t xml:space="preserve"> </w:t>
      </w:r>
      <w:r w:rsidR="000419E0" w:rsidRPr="009E0EC0">
        <w:rPr>
          <w:rFonts w:ascii="Times New Roman" w:hAnsi="Times New Roman" w:cs="Times New Roman"/>
          <w:sz w:val="24"/>
          <w:szCs w:val="24"/>
        </w:rPr>
        <w:t xml:space="preserve">na personálnu </w:t>
      </w:r>
      <w:proofErr w:type="spellStart"/>
      <w:r w:rsidR="000419E0" w:rsidRPr="009E0EC0">
        <w:rPr>
          <w:rFonts w:ascii="Times New Roman" w:hAnsi="Times New Roman" w:cs="Times New Roman"/>
          <w:sz w:val="24"/>
          <w:szCs w:val="24"/>
        </w:rPr>
        <w:t>poddimenzovanosť</w:t>
      </w:r>
      <w:proofErr w:type="spellEnd"/>
      <w:r w:rsidR="000419E0" w:rsidRPr="009E0EC0">
        <w:rPr>
          <w:rFonts w:ascii="Times New Roman" w:hAnsi="Times New Roman" w:cs="Times New Roman"/>
          <w:sz w:val="24"/>
          <w:szCs w:val="24"/>
        </w:rPr>
        <w:t xml:space="preserve">, ktorá spôsobuje komplikácie </w:t>
      </w:r>
      <w:r w:rsidR="00EB4249" w:rsidRPr="009E0EC0">
        <w:rPr>
          <w:rFonts w:ascii="Times New Roman" w:hAnsi="Times New Roman" w:cs="Times New Roman"/>
          <w:sz w:val="24"/>
          <w:szCs w:val="24"/>
        </w:rPr>
        <w:t>v poskytovaní služieb ZPP a dlhé čakacie doby pre rodičov.</w:t>
      </w:r>
    </w:p>
    <w:p w:rsidR="00867734" w:rsidRPr="009E0EC0" w:rsidRDefault="00867734" w:rsidP="00867734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89B" w:rsidRPr="009E0EC0" w:rsidRDefault="00C2189B" w:rsidP="00041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0EC0">
        <w:rPr>
          <w:rFonts w:ascii="Times New Roman" w:hAnsi="Times New Roman" w:cs="Times New Roman"/>
          <w:sz w:val="24"/>
          <w:szCs w:val="24"/>
        </w:rPr>
        <w:t xml:space="preserve">Aj keď sa novelou zákona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plní jeden z cieľov Plánu obnovy a odolnosti SR schváleného uznesením vlády SR č. 221 z 28. apríla 2021– ide o  cieľ reformy 3 komponentu 6  nie je možné výdavky spojené so zmenou financovania vykryť z prostriedkov Plánu obnovy a odolnosti SR.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lastRenderedPageBreak/>
        <w:t>F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inančné prostriedky, ktoré sú  poskytované z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>Plánu obnovy a odolnosti SR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sú časovo ohraničené do roku 2026 a v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Pláne obnovy a odolnosti SR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nikdy neuvažovalo s financovaním neštátnych </w:t>
      </w:r>
      <w:r w:rsidR="000419E0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ZPP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finančných prostriedkov poskytovaných z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Plánu obnovy a odolnosti SR,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ani v </w:t>
      </w:r>
      <w:r w:rsidRPr="009E0EC0">
        <w:rPr>
          <w:rFonts w:ascii="Times New Roman" w:eastAsia="Times New Roman" w:hAnsi="Times New Roman" w:cs="Times New Roman"/>
          <w:sz w:val="24"/>
          <w:szCs w:val="24"/>
        </w:rPr>
        <w:t xml:space="preserve">Pláne obnovy a odolnosti SR </w:t>
      </w: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neboli tieto zdroje kvantifikované.</w:t>
      </w:r>
    </w:p>
    <w:p w:rsidR="006B68F1" w:rsidRPr="009E0EC0" w:rsidRDefault="006B68F1" w:rsidP="00041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68F1" w:rsidRPr="009E0EC0" w:rsidRDefault="003539F3" w:rsidP="003743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3743AB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prava celkového objemu finančných prostriedkov na bežné nenormatívne výdavky</w:t>
      </w:r>
      <w:r w:rsidR="003743AB" w:rsidRPr="009E0EC0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3743AB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zo  6 %  na 14 % nemá vplyv na rozpočet verejnej správy.</w:t>
      </w:r>
      <w:r w:rsidR="003743AB" w:rsidRPr="009E0EC0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3743AB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reflektuje na potrebu upraviť objem finančných prostriedkov vyčlenený pre  účelovo určené nenormatívne výdavky, ktorých objem sa každoročne navyšuje na základe reálnych potrieb (napr. špecifiká, príspevok na  výchovu a vzdelávanie detí materských škôl, asistenti učiteľa pre žiakov so zdravotným znevýhodnením,</w:t>
      </w:r>
      <w:r w:rsidR="005C2624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príspevok na podporné opatrenia; príspevok na dopravné, odchodné</w:t>
      </w:r>
      <w:r w:rsidR="003743AB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  ).  Ide iba o prerozdelenie </w:t>
      </w:r>
      <w:r w:rsidR="00CC54DE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celkového </w:t>
      </w:r>
      <w:r w:rsidR="003743AB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objemu finančných prostriedkov určených pre regionálne školstvo medzi normatívne a nenormatívne finančné prostriedky</w:t>
      </w:r>
      <w:r w:rsidR="005C2624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uvedená zmena nesúvisí s financovaním ZPP.</w:t>
      </w:r>
    </w:p>
    <w:p w:rsidR="00C2189B" w:rsidRPr="009E0EC0" w:rsidRDefault="00C2189B" w:rsidP="000419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89B" w:rsidRPr="009E0EC0" w:rsidRDefault="00C2189B" w:rsidP="00C2189B">
      <w:pPr>
        <w:rPr>
          <w:rFonts w:ascii="Times New Roman" w:hAnsi="Times New Roman" w:cs="Times New Roman"/>
          <w:sz w:val="24"/>
          <w:szCs w:val="24"/>
        </w:rPr>
      </w:pPr>
    </w:p>
    <w:p w:rsidR="00867734" w:rsidRPr="009E0EC0" w:rsidRDefault="00867734" w:rsidP="0086773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9E0EC0" w:rsidSect="002B63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7D5748" w:rsidRPr="009E0EC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9E0EC0" w:rsidRPr="009E0EC0" w:rsidTr="002B63FD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E0EC0" w:rsidRPr="009E0EC0" w:rsidTr="002B63FD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9E0EC0" w:rsidRPr="009E0EC0" w:rsidTr="002B63F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2B63F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2B63F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2B63F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2B63F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2B63F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9E0EC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9E0EC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9E0EC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9E0EC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9E0EC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Tabuľka č. 4</w:t>
      </w:r>
      <w:r w:rsidR="00055D6E" w:rsidRPr="009E0E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/A</w:t>
      </w:r>
      <w:r w:rsidRPr="009E0E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9E0EC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9E0EC0" w:rsidRPr="009E0EC0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E0EC0" w:rsidRPr="009E0EC0" w:rsidTr="005E369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86773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86773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86773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86773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9E0EC0" w:rsidRPr="009E0EC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</w:t>
            </w:r>
            <w:r w:rsidR="00E07C9C"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2 005</w:t>
            </w: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9E0EC0">
              <w:t xml:space="preserve"> </w:t>
            </w: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E0EC0" w:rsidRPr="009E0EC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7734" w:rsidRPr="009E0EC0" w:rsidRDefault="00867734" w:rsidP="00867734"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7734" w:rsidRPr="009E0EC0" w:rsidRDefault="00867734" w:rsidP="00867734"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7734" w:rsidRPr="009E0EC0" w:rsidRDefault="00867734" w:rsidP="00867734"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9E0EC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9E0EC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5D6E" w:rsidRPr="009E0EC0" w:rsidRDefault="00055D6E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5D6E" w:rsidRPr="009E0EC0" w:rsidRDefault="00055D6E" w:rsidP="00055D6E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9E0EC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9E0EC0" w:rsidRPr="009E0EC0" w:rsidTr="00C16EE2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Vplyvy (v metodike ESA 2010)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E0EC0" w:rsidRPr="009E0EC0" w:rsidTr="00C16EE2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9E0EC0" w:rsidRPr="009E0EC0" w:rsidTr="00C16EE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E0EC0" w:rsidRPr="009E0EC0" w:rsidTr="00C16EE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jc w:val="center"/>
              <w:rPr>
                <w:b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jc w:val="center"/>
              <w:rPr>
                <w:b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jc w:val="center"/>
              <w:rPr>
                <w:b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C16EE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C16EE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C16EE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C16EE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jc w:val="center"/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jc w:val="center"/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jc w:val="center"/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C16EE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9E0EC0">
              <w:t xml:space="preserve"> </w:t>
            </w: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E0EC0" w:rsidRPr="009E0EC0" w:rsidTr="00C16EE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C16EE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C16EE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9E0E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C16EE2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5D6E" w:rsidRPr="009E0EC0" w:rsidRDefault="00055D6E" w:rsidP="00C1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5D6E" w:rsidRPr="009E0EC0" w:rsidRDefault="00055D6E" w:rsidP="00C16EE2">
            <w:pPr>
              <w:jc w:val="center"/>
              <w:rPr>
                <w:b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5D6E" w:rsidRPr="009E0EC0" w:rsidRDefault="00055D6E" w:rsidP="00C16EE2">
            <w:pPr>
              <w:jc w:val="center"/>
              <w:rPr>
                <w:b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5D6E" w:rsidRPr="009E0EC0" w:rsidRDefault="00055D6E" w:rsidP="00C16EE2">
            <w:pPr>
              <w:jc w:val="center"/>
              <w:rPr>
                <w:b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16 219 600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055D6E" w:rsidRPr="009E0EC0" w:rsidRDefault="00055D6E" w:rsidP="00C1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055D6E" w:rsidRPr="009E0EC0" w:rsidRDefault="00055D6E" w:rsidP="00055D6E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9E0EC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2 –  výdavky rozpísať až do podpoložiek platnej ekonomickej klasifikácie</w:t>
      </w:r>
    </w:p>
    <w:p w:rsidR="00055D6E" w:rsidRPr="009E0EC0" w:rsidRDefault="00055D6E" w:rsidP="00055D6E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055D6E" w:rsidRPr="009E0EC0" w:rsidRDefault="00055D6E" w:rsidP="00055D6E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:rsidR="00055D6E" w:rsidRPr="009E0EC0" w:rsidRDefault="00055D6E" w:rsidP="00055D6E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9E0EC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:rsidR="00055D6E" w:rsidRPr="009E0EC0" w:rsidRDefault="00055D6E" w:rsidP="00055D6E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5D6E" w:rsidRPr="009E0EC0" w:rsidRDefault="00055D6E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5D6E" w:rsidRPr="009E0EC0" w:rsidRDefault="00055D6E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5D6E" w:rsidRPr="009E0EC0" w:rsidRDefault="00055D6E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5D6E" w:rsidRPr="009E0EC0" w:rsidRDefault="00055D6E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5D6E" w:rsidRPr="009E0EC0" w:rsidRDefault="00055D6E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5D6E" w:rsidRPr="009E0EC0" w:rsidRDefault="00055D6E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5D6E" w:rsidRPr="009E0EC0" w:rsidRDefault="00055D6E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5D6E" w:rsidRPr="009E0EC0" w:rsidRDefault="00055D6E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5D6E" w:rsidRPr="009E0EC0" w:rsidRDefault="00055D6E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5D6E" w:rsidRPr="009E0EC0" w:rsidRDefault="00055D6E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5D6E" w:rsidRPr="009E0EC0" w:rsidRDefault="00055D6E" w:rsidP="008F2C63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9E0EC0" w:rsidRDefault="007D5748" w:rsidP="008F2C63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9E0EC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9E0EC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9E0EC0" w:rsidRPr="009E0EC0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9E0EC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E0EC0" w:rsidRPr="009E0EC0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86773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86773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86773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0EC0" w:rsidRDefault="0086773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9E0EC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9E0EC0" w:rsidRPr="009E0EC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  <w:r w:rsidR="006814EA"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(orientačný ukazovateľ)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537,6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537,6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537,6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537,6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  <w:r w:rsidR="006814EA"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(orientačný ukazovateľ)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537,6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537,6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537,6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9E0E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537,6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E0EC0" w:rsidRPr="009E0EC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1 673,50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1 673,50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1 673,50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1 673,50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  <w:r w:rsidR="001058A6"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poskytnuté </w:t>
            </w:r>
            <w:r w:rsidR="008A723A"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zriaďovateľom </w:t>
            </w:r>
            <w:r w:rsidR="001058A6"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 rámci bežného transferu (kat. 640)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7734" w:rsidRPr="009E0EC0" w:rsidRDefault="00600A9B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14 597 640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7734" w:rsidRPr="009E0EC0" w:rsidRDefault="00600A9B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14 597 640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7734" w:rsidRPr="009E0EC0" w:rsidRDefault="00600A9B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14 597 640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7734" w:rsidRPr="009E0EC0" w:rsidRDefault="00600A9B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14 597 640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10 797 071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jc w:val="center"/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10 797 071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jc w:val="center"/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10 797 071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jc w:val="center"/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10 797 071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10 797 071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jc w:val="center"/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10 797 071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jc w:val="center"/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10 797 071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jc w:val="center"/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10 797 071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3 800 569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3 800 569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3 800 569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3 800 569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3 800 569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3 800 569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3 800 569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34" w:rsidRPr="009E0EC0" w:rsidRDefault="00867734" w:rsidP="0086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3 800 569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0EC0" w:rsidRPr="009E0EC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FFE" w:rsidRPr="009E0EC0" w:rsidRDefault="00A15FFE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A15FFE" w:rsidRPr="009E0EC0" w:rsidRDefault="00A15FFE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E0EC0" w:rsidRPr="009E0EC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E0EC0" w:rsidRPr="009E0EC0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5E7784" w:rsidRPr="009E0EC0" w:rsidRDefault="005E778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sk-SK"/>
              </w:rPr>
            </w:pPr>
          </w:p>
          <w:p w:rsidR="00867734" w:rsidRPr="009E0EC0" w:rsidRDefault="00600A9B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sk-SK"/>
              </w:rPr>
              <w:t>Z</w:t>
            </w:r>
            <w:r w:rsidR="00E656E7" w:rsidRPr="009E0EC0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sk-SK"/>
              </w:rPr>
              <w:t xml:space="preserve"> predpokladaného</w:t>
            </w:r>
            <w:r w:rsidRPr="009E0EC0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sk-SK"/>
              </w:rPr>
              <w:t xml:space="preserve"> celkového počtu 537,6 zamestnancov sa uvedená zmena týka </w:t>
            </w:r>
            <w:r w:rsidR="00E656E7" w:rsidRPr="009E0EC0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sk-SK"/>
              </w:rPr>
              <w:t xml:space="preserve">cca </w:t>
            </w:r>
            <w:r w:rsidRPr="009E0EC0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sk-SK"/>
              </w:rPr>
              <w:t>468,5 odborných zamestnancov a</w:t>
            </w:r>
            <w:r w:rsidR="00E656E7" w:rsidRPr="009E0EC0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sk-SK"/>
              </w:rPr>
              <w:t xml:space="preserve"> cca </w:t>
            </w:r>
            <w:r w:rsidRPr="009E0EC0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sk-SK"/>
              </w:rPr>
              <w:t>69,1 nepedagogických</w:t>
            </w:r>
            <w:r w:rsidR="002D3C23" w:rsidRPr="009E0EC0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sk-SK"/>
              </w:rPr>
              <w:t xml:space="preserve"> zamestnancov.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E0EC0" w:rsidRPr="009E0EC0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734" w:rsidRPr="009E0EC0" w:rsidRDefault="00867734" w:rsidP="0086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9E0EC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9E0EC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9E0EC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9E0EC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9E0EC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9E0EC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9E0EC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9E0EC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9E0EC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9E0EC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9E0EC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9E0EC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</w:t>
      </w:r>
    </w:p>
    <w:p w:rsidR="002B63FD" w:rsidRPr="009E0EC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:rsidR="002B63FD" w:rsidRPr="009E0EC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9E0EC0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:rsidR="002B63FD" w:rsidRPr="009E0EC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9E0EC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D922E5"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>Tabuľka č. 6</w:t>
      </w:r>
    </w:p>
    <w:p w:rsidR="00943733" w:rsidRPr="009E0EC0" w:rsidRDefault="00943733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9E0EC0" w:rsidRPr="009E0EC0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:rsidR="002B63FD" w:rsidRPr="009E0EC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:rsidR="002B63FD" w:rsidRPr="009E0EC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:rsidR="002B63FD" w:rsidRPr="009E0EC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9E0EC0" w:rsidRPr="009E0EC0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:rsidR="002B63FD" w:rsidRPr="009E0EC0" w:rsidRDefault="00FB3DF4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9E0EC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d+10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9E0EC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d+20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B63FD" w:rsidRPr="009E0EC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d+30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2B63FD" w:rsidRPr="009E0EC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d+40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E0EC0" w:rsidRPr="009E0EC0" w:rsidTr="005E3699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:rsidR="002B63FD" w:rsidRPr="009E0EC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E0EC0" w:rsidRPr="009E0EC0" w:rsidTr="005E3699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9E0EC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9E0EC0" w:rsidTr="005E3699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9E0EC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0E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9E0EC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63FD" w:rsidRPr="009E0EC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9E0EC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9E0E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:rsidR="002B63FD" w:rsidRPr="009E0EC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:rsidR="002B63FD" w:rsidRPr="009E0EC0" w:rsidRDefault="002B63FD" w:rsidP="008B0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2B63FD" w:rsidRPr="009E0EC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9E0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</w:t>
      </w:r>
    </w:p>
    <w:p w:rsidR="00CB3623" w:rsidRPr="009E0EC0" w:rsidRDefault="00CB3623" w:rsidP="008B0C98">
      <w:pPr>
        <w:spacing w:after="0" w:line="240" w:lineRule="auto"/>
      </w:pPr>
    </w:p>
    <w:sectPr w:rsidR="00CB3623" w:rsidRPr="009E0EC0" w:rsidSect="00386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6D7" w:rsidRDefault="004936D7">
      <w:pPr>
        <w:spacing w:after="0" w:line="240" w:lineRule="auto"/>
      </w:pPr>
      <w:r>
        <w:separator/>
      </w:r>
    </w:p>
  </w:endnote>
  <w:endnote w:type="continuationSeparator" w:id="0">
    <w:p w:rsidR="004936D7" w:rsidRDefault="0049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C98" w:rsidRDefault="008B0C9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8B0C98" w:rsidRDefault="008B0C9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C98" w:rsidRDefault="008B0C9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8B0C98" w:rsidRDefault="008B0C98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C98" w:rsidRDefault="008B0C9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8B0C98" w:rsidRDefault="008B0C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6D7" w:rsidRDefault="004936D7">
      <w:pPr>
        <w:spacing w:after="0" w:line="240" w:lineRule="auto"/>
      </w:pPr>
      <w:r>
        <w:separator/>
      </w:r>
    </w:p>
  </w:footnote>
  <w:footnote w:type="continuationSeparator" w:id="0">
    <w:p w:rsidR="004936D7" w:rsidRDefault="0049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C98" w:rsidRDefault="008B0C98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8B0C98" w:rsidRPr="00EB59C8" w:rsidRDefault="008B0C98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C98" w:rsidRPr="0024067A" w:rsidRDefault="008B0C98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C98" w:rsidRPr="000A15AE" w:rsidRDefault="008B0C98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EC"/>
    <w:rsid w:val="00016333"/>
    <w:rsid w:val="0002590E"/>
    <w:rsid w:val="00035EB6"/>
    <w:rsid w:val="000419E0"/>
    <w:rsid w:val="00055D6E"/>
    <w:rsid w:val="00057135"/>
    <w:rsid w:val="000617B5"/>
    <w:rsid w:val="00071D97"/>
    <w:rsid w:val="00081F0C"/>
    <w:rsid w:val="0008538C"/>
    <w:rsid w:val="000936F3"/>
    <w:rsid w:val="00095ACA"/>
    <w:rsid w:val="000B509B"/>
    <w:rsid w:val="000C6D81"/>
    <w:rsid w:val="000C76BB"/>
    <w:rsid w:val="000D5044"/>
    <w:rsid w:val="000F00DA"/>
    <w:rsid w:val="001058A6"/>
    <w:rsid w:val="001127A8"/>
    <w:rsid w:val="00116B22"/>
    <w:rsid w:val="00143E69"/>
    <w:rsid w:val="00144F70"/>
    <w:rsid w:val="00167F3F"/>
    <w:rsid w:val="00170D2B"/>
    <w:rsid w:val="00180EB1"/>
    <w:rsid w:val="001D5D2A"/>
    <w:rsid w:val="001E381F"/>
    <w:rsid w:val="00200898"/>
    <w:rsid w:val="00200D59"/>
    <w:rsid w:val="00212894"/>
    <w:rsid w:val="00214231"/>
    <w:rsid w:val="00230A88"/>
    <w:rsid w:val="00242FD4"/>
    <w:rsid w:val="00243FD4"/>
    <w:rsid w:val="002A7F8E"/>
    <w:rsid w:val="002B5AD4"/>
    <w:rsid w:val="002B63FD"/>
    <w:rsid w:val="002C6C4B"/>
    <w:rsid w:val="002D3C23"/>
    <w:rsid w:val="00317B90"/>
    <w:rsid w:val="0032159B"/>
    <w:rsid w:val="00330E82"/>
    <w:rsid w:val="003539F3"/>
    <w:rsid w:val="0036442F"/>
    <w:rsid w:val="003662C8"/>
    <w:rsid w:val="003743AB"/>
    <w:rsid w:val="00375CA4"/>
    <w:rsid w:val="0038658F"/>
    <w:rsid w:val="00395194"/>
    <w:rsid w:val="003A1D21"/>
    <w:rsid w:val="003B7684"/>
    <w:rsid w:val="003D6E7B"/>
    <w:rsid w:val="003E389E"/>
    <w:rsid w:val="003F1B59"/>
    <w:rsid w:val="003F4047"/>
    <w:rsid w:val="003F586F"/>
    <w:rsid w:val="004005A4"/>
    <w:rsid w:val="004104AF"/>
    <w:rsid w:val="00425548"/>
    <w:rsid w:val="004669E8"/>
    <w:rsid w:val="00474F11"/>
    <w:rsid w:val="00487203"/>
    <w:rsid w:val="004936D7"/>
    <w:rsid w:val="004B65A9"/>
    <w:rsid w:val="004B6730"/>
    <w:rsid w:val="004E5E76"/>
    <w:rsid w:val="004F11C4"/>
    <w:rsid w:val="004F354F"/>
    <w:rsid w:val="005005EC"/>
    <w:rsid w:val="005234A0"/>
    <w:rsid w:val="00525CA2"/>
    <w:rsid w:val="005307FC"/>
    <w:rsid w:val="005312EC"/>
    <w:rsid w:val="00572B2D"/>
    <w:rsid w:val="005B1CEC"/>
    <w:rsid w:val="005C2624"/>
    <w:rsid w:val="005C56E6"/>
    <w:rsid w:val="005D0A9F"/>
    <w:rsid w:val="005D4558"/>
    <w:rsid w:val="005E3699"/>
    <w:rsid w:val="005E7784"/>
    <w:rsid w:val="00600A9B"/>
    <w:rsid w:val="00613495"/>
    <w:rsid w:val="006157AF"/>
    <w:rsid w:val="00624B10"/>
    <w:rsid w:val="006345FC"/>
    <w:rsid w:val="006814EA"/>
    <w:rsid w:val="00693E5F"/>
    <w:rsid w:val="00696EBF"/>
    <w:rsid w:val="006A2947"/>
    <w:rsid w:val="006B68F1"/>
    <w:rsid w:val="0071170E"/>
    <w:rsid w:val="007246BD"/>
    <w:rsid w:val="00727689"/>
    <w:rsid w:val="007475F4"/>
    <w:rsid w:val="0077530D"/>
    <w:rsid w:val="007C2FA6"/>
    <w:rsid w:val="007D2BE4"/>
    <w:rsid w:val="007D5748"/>
    <w:rsid w:val="007E7446"/>
    <w:rsid w:val="008152DD"/>
    <w:rsid w:val="008205B7"/>
    <w:rsid w:val="00861491"/>
    <w:rsid w:val="00867734"/>
    <w:rsid w:val="00893B76"/>
    <w:rsid w:val="008A1067"/>
    <w:rsid w:val="008A723A"/>
    <w:rsid w:val="008B0C98"/>
    <w:rsid w:val="008C61A8"/>
    <w:rsid w:val="008C644C"/>
    <w:rsid w:val="008D339D"/>
    <w:rsid w:val="008E2736"/>
    <w:rsid w:val="008E38B3"/>
    <w:rsid w:val="008F2C63"/>
    <w:rsid w:val="00927C0A"/>
    <w:rsid w:val="00943733"/>
    <w:rsid w:val="00961BCA"/>
    <w:rsid w:val="009706B7"/>
    <w:rsid w:val="0097106B"/>
    <w:rsid w:val="009904AD"/>
    <w:rsid w:val="009B53DD"/>
    <w:rsid w:val="009C0E79"/>
    <w:rsid w:val="009C2CA9"/>
    <w:rsid w:val="009E0EC0"/>
    <w:rsid w:val="00A15FFE"/>
    <w:rsid w:val="00A30506"/>
    <w:rsid w:val="00A81C30"/>
    <w:rsid w:val="00AB5919"/>
    <w:rsid w:val="00AB68C4"/>
    <w:rsid w:val="00AE32A3"/>
    <w:rsid w:val="00B002F7"/>
    <w:rsid w:val="00B05BCE"/>
    <w:rsid w:val="00B14AD5"/>
    <w:rsid w:val="00B15B33"/>
    <w:rsid w:val="00B22B39"/>
    <w:rsid w:val="00B5535C"/>
    <w:rsid w:val="00BA282F"/>
    <w:rsid w:val="00BA5A8B"/>
    <w:rsid w:val="00BB79CC"/>
    <w:rsid w:val="00BD67B2"/>
    <w:rsid w:val="00BD6D68"/>
    <w:rsid w:val="00C15212"/>
    <w:rsid w:val="00C16EE2"/>
    <w:rsid w:val="00C2189B"/>
    <w:rsid w:val="00C512EE"/>
    <w:rsid w:val="00C51FD4"/>
    <w:rsid w:val="00C653D7"/>
    <w:rsid w:val="00C8360B"/>
    <w:rsid w:val="00CA1407"/>
    <w:rsid w:val="00CB3623"/>
    <w:rsid w:val="00CC54DE"/>
    <w:rsid w:val="00CD1157"/>
    <w:rsid w:val="00CE2319"/>
    <w:rsid w:val="00CE299A"/>
    <w:rsid w:val="00CE40C2"/>
    <w:rsid w:val="00D12078"/>
    <w:rsid w:val="00D14078"/>
    <w:rsid w:val="00D200BE"/>
    <w:rsid w:val="00D55863"/>
    <w:rsid w:val="00D60759"/>
    <w:rsid w:val="00D649B5"/>
    <w:rsid w:val="00D702B5"/>
    <w:rsid w:val="00D9171A"/>
    <w:rsid w:val="00D922E5"/>
    <w:rsid w:val="00DB34CD"/>
    <w:rsid w:val="00DB7551"/>
    <w:rsid w:val="00DE5BF1"/>
    <w:rsid w:val="00DF46F5"/>
    <w:rsid w:val="00E07C9C"/>
    <w:rsid w:val="00E07C9D"/>
    <w:rsid w:val="00E07CE9"/>
    <w:rsid w:val="00E161E5"/>
    <w:rsid w:val="00E4770B"/>
    <w:rsid w:val="00E56C68"/>
    <w:rsid w:val="00E6110F"/>
    <w:rsid w:val="00E63750"/>
    <w:rsid w:val="00E656E7"/>
    <w:rsid w:val="00E65EF3"/>
    <w:rsid w:val="00E963A3"/>
    <w:rsid w:val="00EA1E90"/>
    <w:rsid w:val="00EB4249"/>
    <w:rsid w:val="00EB4D7E"/>
    <w:rsid w:val="00EC0478"/>
    <w:rsid w:val="00EE28EB"/>
    <w:rsid w:val="00EF1EC5"/>
    <w:rsid w:val="00F06CD3"/>
    <w:rsid w:val="00F27BC2"/>
    <w:rsid w:val="00F348E6"/>
    <w:rsid w:val="00F40136"/>
    <w:rsid w:val="00F75E95"/>
    <w:rsid w:val="00F87B75"/>
    <w:rsid w:val="00F95C1C"/>
    <w:rsid w:val="00FB07F4"/>
    <w:rsid w:val="00FB3DF4"/>
    <w:rsid w:val="00FB4A4A"/>
    <w:rsid w:val="00FC2F33"/>
    <w:rsid w:val="00FD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FE40"/>
  <w15:docId w15:val="{7D014B18-8253-417B-ABD2-59BF738B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865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152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5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5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5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52DD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374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f:fields xmlns:f="http://schemas.fabasoft.com/folio/2007/fields">
  <f:record ref="">
    <f:field ref="objname" par="" edit="true" text="09_Analýza-vplyvov-na-rozpočet-verejnej-správy"/>
    <f:field ref="objsubject" par="" edit="true" text=""/>
    <f:field ref="objcreatedby" par="" text="Ludva, Alexander, Mgr."/>
    <f:field ref="objcreatedat" par="" text="30.10.2023 15:03:57"/>
    <f:field ref="objchangedby" par="" text="Administrator, System"/>
    <f:field ref="objmodifiedat" par="" text="30.10.2023 15:03:5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1FDA8B2F-48B3-4813-B49C-1BB6CC35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Ludva Alexander</cp:lastModifiedBy>
  <cp:revision>7</cp:revision>
  <cp:lastPrinted>2023-11-24T09:58:00Z</cp:lastPrinted>
  <dcterms:created xsi:type="dcterms:W3CDTF">2023-11-27T07:15:00Z</dcterms:created>
  <dcterms:modified xsi:type="dcterms:W3CDTF">2023-11-27T09:00:00Z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Dokument je medzi priloženými sprievodnými dokumentmi.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Alexander Ludva</vt:lpwstr>
  </property>
  <property fmtid="{D5CDD505-2E9C-101B-9397-08002B2CF9AE}" pid="12" name="FSC#SKEDITIONSLOVLEX@103.510:zodppredkladatel">
    <vt:lpwstr>Tomáš Drucker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597/2003 Z. z. o financovaní základných škôl, stredných škôl a školských zariadení v znení neskorších predpisov a ktorým sa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221 z 28. apríla 2021 k návrhu Plánu obnovy a odolnosti Slovenskej republiky</vt:lpwstr>
  </property>
  <property fmtid="{D5CDD505-2E9C-101B-9397-08002B2CF9AE}" pid="23" name="FSC#SKEDITIONSLOVLEX@103.510:plnynazovpredpis">
    <vt:lpwstr> Zákon, ktorým sa mení a dopĺňa zákon č. 597/2003 Z. z. o financovaní základných škôl, stredných škôl a školských zariadení v znení neskorších predpisov a ktorým sa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2023/15596:2-A1810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LP/2023/646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vnútra Slovenskej republiky</vt:lpwstr>
  </property>
  <property fmtid="{D5CDD505-2E9C-101B-9397-08002B2CF9AE}" pid="142" name="FSC#SKEDITIONSLOVLEX@103.510:funkciaZodpPredAkuzativ">
    <vt:lpwstr>ministrovi vnútra Slovenskej republiky</vt:lpwstr>
  </property>
  <property fmtid="{D5CDD505-2E9C-101B-9397-08002B2CF9AE}" pid="143" name="FSC#SKEDITIONSLOVLEX@103.510:funkciaZodpPredDativ">
    <vt:lpwstr>ministera vnútra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Tomáš Drucker_x000d_
minister vnútra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30. 10. 2023</vt:lpwstr>
  </property>
  <property fmtid="{D5CDD505-2E9C-101B-9397-08002B2CF9AE}" pid="151" name="FSC#COOSYSTEM@1.1:Container">
    <vt:lpwstr>COO.2145.1000.3.5910416</vt:lpwstr>
  </property>
  <property fmtid="{D5CDD505-2E9C-101B-9397-08002B2CF9AE}" pid="152" name="FSC#FSCFOLIO@1.1001:docpropproject">
    <vt:lpwstr/>
  </property>
</Properties>
</file>