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122F8">
        <w:rPr>
          <w:sz w:val="22"/>
          <w:szCs w:val="22"/>
        </w:rPr>
        <w:t>2379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122F8">
      <w:pPr>
        <w:pStyle w:val="rozhodnutia"/>
      </w:pPr>
      <w:r>
        <w:t>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E122F8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E122F8" w:rsidRPr="00E122F8">
        <w:rPr>
          <w:rFonts w:cs="Arial"/>
          <w:szCs w:val="22"/>
        </w:rPr>
        <w:t xml:space="preserve">ktorým sa mení a dopĺňa zákon č. 595/2003 Z. z. o dani z príjmov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71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122F8">
        <w:rPr>
          <w:rFonts w:ascii="Arial" w:hAnsi="Arial" w:cs="Arial"/>
          <w:sz w:val="22"/>
          <w:szCs w:val="22"/>
        </w:rPr>
        <w:t>financie a rozpočet</w:t>
      </w:r>
      <w:r w:rsidR="00D734E5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C14167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2C0DB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E122F8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863CD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FF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11</cp:revision>
  <cp:lastPrinted>2023-11-21T13:39:00Z</cp:lastPrinted>
  <dcterms:created xsi:type="dcterms:W3CDTF">2023-11-21T13:46:00Z</dcterms:created>
  <dcterms:modified xsi:type="dcterms:W3CDTF">2023-11-21T13:52:00Z</dcterms:modified>
</cp:coreProperties>
</file>