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A31EF">
        <w:rPr>
          <w:sz w:val="22"/>
          <w:szCs w:val="22"/>
        </w:rPr>
        <w:t>2359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A31EF">
      <w:pPr>
        <w:pStyle w:val="rozhodnutia"/>
      </w:pPr>
      <w:r>
        <w:t>57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2254A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CA31EF" w:rsidRPr="00CA31EF">
        <w:rPr>
          <w:rFonts w:cs="Arial"/>
          <w:szCs w:val="22"/>
        </w:rPr>
        <w:t>Márie KOLÍKOVEJ, Juraja KRÚPU, Branislava GRÖHLlNGA a Ondreja DOSTÁLA na vydanie zákona, ktorým sa mení a dopĺňa zákon č. 301/2005 Z. z. Trestný poriadok v znení neskorších predpisov</w:t>
      </w:r>
      <w:r w:rsidR="002254AD" w:rsidRPr="002254AD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CA31EF">
        <w:rPr>
          <w:rFonts w:cs="Arial"/>
          <w:szCs w:val="22"/>
        </w:rPr>
        <w:t>59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254AD">
        <w:rPr>
          <w:rFonts w:cs="Arial"/>
          <w:szCs w:val="22"/>
        </w:rPr>
        <w:t xml:space="preserve"> 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3038C">
        <w:rPr>
          <w:rFonts w:ascii="Arial" w:hAnsi="Arial" w:cs="Arial"/>
          <w:sz w:val="22"/>
          <w:szCs w:val="22"/>
        </w:rPr>
        <w:t>;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3038C"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33038C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33038C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35DB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4AD"/>
    <w:rsid w:val="00225A1E"/>
    <w:rsid w:val="00225E08"/>
    <w:rsid w:val="00226956"/>
    <w:rsid w:val="00227C01"/>
    <w:rsid w:val="00231B46"/>
    <w:rsid w:val="00237CEE"/>
    <w:rsid w:val="00241CB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38C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1839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325C"/>
    <w:rsid w:val="009B472B"/>
    <w:rsid w:val="009B4953"/>
    <w:rsid w:val="009B6B64"/>
    <w:rsid w:val="009B7141"/>
    <w:rsid w:val="009B724F"/>
    <w:rsid w:val="009C3723"/>
    <w:rsid w:val="009C59C7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31EF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2023-11-21T12:59:00Z</cp:lastPrinted>
  <dcterms:created xsi:type="dcterms:W3CDTF">2023-11-21T13:00:00Z</dcterms:created>
  <dcterms:modified xsi:type="dcterms:W3CDTF">2023-11-21T13:02:00Z</dcterms:modified>
</cp:coreProperties>
</file>