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DC22F" w14:textId="21EF63DD" w:rsidR="00583180" w:rsidRPr="000F1075" w:rsidRDefault="00B0783E" w:rsidP="001F6B2A">
      <w:pPr>
        <w:widowControl/>
        <w:jc w:val="center"/>
        <w:rPr>
          <w:b/>
          <w:bCs/>
          <w:sz w:val="24"/>
          <w:szCs w:val="24"/>
        </w:rPr>
      </w:pPr>
      <w:r>
        <w:rPr>
          <w:b/>
          <w:bCs/>
          <w:sz w:val="24"/>
          <w:szCs w:val="24"/>
        </w:rPr>
        <w:t xml:space="preserve">Dôvodová </w:t>
      </w:r>
      <w:r w:rsidR="00E56F01" w:rsidRPr="000F1075">
        <w:rPr>
          <w:b/>
          <w:bCs/>
          <w:sz w:val="24"/>
          <w:szCs w:val="24"/>
        </w:rPr>
        <w:t>správa</w:t>
      </w:r>
    </w:p>
    <w:p w14:paraId="3DFF87E6" w14:textId="4776482D" w:rsidR="00BE5C31" w:rsidRPr="000F1075" w:rsidRDefault="00BE5C31" w:rsidP="001F6B2A">
      <w:pPr>
        <w:widowControl/>
        <w:outlineLvl w:val="0"/>
        <w:rPr>
          <w:b/>
          <w:bCs/>
          <w:sz w:val="24"/>
          <w:szCs w:val="24"/>
        </w:rPr>
      </w:pPr>
    </w:p>
    <w:p w14:paraId="1FBBBE04" w14:textId="06CECC51" w:rsidR="00F24457" w:rsidRPr="000F1075" w:rsidRDefault="00F24457" w:rsidP="001F6B2A">
      <w:pPr>
        <w:widowControl/>
        <w:jc w:val="center"/>
        <w:outlineLvl w:val="0"/>
        <w:rPr>
          <w:b/>
          <w:bCs/>
          <w:sz w:val="24"/>
          <w:szCs w:val="24"/>
        </w:rPr>
      </w:pPr>
      <w:r w:rsidRPr="000F1075">
        <w:rPr>
          <w:b/>
          <w:bCs/>
          <w:sz w:val="24"/>
          <w:szCs w:val="24"/>
        </w:rPr>
        <w:t>Všeobecná časť</w:t>
      </w:r>
    </w:p>
    <w:p w14:paraId="1E5DBFF7" w14:textId="77777777" w:rsidR="004A5813" w:rsidRDefault="004A5813" w:rsidP="004A5813">
      <w:pPr>
        <w:widowControl/>
        <w:autoSpaceDE/>
        <w:autoSpaceDN/>
        <w:adjustRightInd/>
        <w:jc w:val="both"/>
        <w:rPr>
          <w:bCs/>
          <w:sz w:val="24"/>
          <w:szCs w:val="24"/>
        </w:rPr>
      </w:pPr>
    </w:p>
    <w:p w14:paraId="73C87122" w14:textId="6B40BC8B" w:rsidR="007866DF" w:rsidRDefault="004A5813" w:rsidP="004A5813">
      <w:pPr>
        <w:widowControl/>
        <w:autoSpaceDE/>
        <w:autoSpaceDN/>
        <w:adjustRightInd/>
        <w:ind w:firstLine="709"/>
        <w:jc w:val="both"/>
        <w:rPr>
          <w:bCs/>
          <w:sz w:val="24"/>
          <w:szCs w:val="24"/>
        </w:rPr>
      </w:pPr>
      <w:r w:rsidRPr="004A5813">
        <w:rPr>
          <w:bCs/>
          <w:sz w:val="24"/>
          <w:szCs w:val="24"/>
        </w:rPr>
        <w:t>Návrh zákona predstavuje právny základ, ktorý umožní poskytnúť verejné prostriedky formou príspevku v civilnom letectve</w:t>
      </w:r>
      <w:r w:rsidR="004E1C51" w:rsidRPr="004E1C51">
        <w:rPr>
          <w:bCs/>
          <w:sz w:val="24"/>
          <w:szCs w:val="24"/>
        </w:rPr>
        <w:t>, ako minimálnu pomoc alebo štátnu pomoc,</w:t>
      </w:r>
      <w:r w:rsidRPr="004A5813">
        <w:rPr>
          <w:bCs/>
          <w:sz w:val="24"/>
          <w:szCs w:val="24"/>
        </w:rPr>
        <w:t xml:space="preserve"> na vykonávanie pravidelnej obchodnej leteckej dopravy medzi letiskami určenými na vykonávanie obchodnej leteckej dopravy na území Slovenskej republiky alebo medzi týmito letiskami a letiskami mimo územia Slovenskej republiky. Poskytnutím príspevku v civilnom letectve na uvedený účel sa umožní aj realizácia záväzkov, ktoré Slovenskej republik</w:t>
      </w:r>
      <w:r w:rsidR="004A7C13">
        <w:rPr>
          <w:bCs/>
          <w:sz w:val="24"/>
          <w:szCs w:val="24"/>
        </w:rPr>
        <w:t>e</w:t>
      </w:r>
      <w:r w:rsidRPr="004A5813">
        <w:rPr>
          <w:bCs/>
          <w:sz w:val="24"/>
          <w:szCs w:val="24"/>
        </w:rPr>
        <w:t xml:space="preserve"> vyplývajú zo schválených investičných zmlúv. </w:t>
      </w:r>
    </w:p>
    <w:p w14:paraId="20C45451" w14:textId="77777777" w:rsidR="007866DF" w:rsidRDefault="007866DF" w:rsidP="007866DF">
      <w:pPr>
        <w:widowControl/>
        <w:autoSpaceDE/>
        <w:autoSpaceDN/>
        <w:adjustRightInd/>
        <w:jc w:val="both"/>
        <w:rPr>
          <w:bCs/>
          <w:sz w:val="24"/>
          <w:szCs w:val="24"/>
        </w:rPr>
      </w:pPr>
    </w:p>
    <w:p w14:paraId="2E0BBFD2" w14:textId="512F5B09" w:rsidR="004A5813" w:rsidRPr="004A5813" w:rsidRDefault="004A5813" w:rsidP="004A5813">
      <w:pPr>
        <w:widowControl/>
        <w:autoSpaceDE/>
        <w:autoSpaceDN/>
        <w:adjustRightInd/>
        <w:ind w:firstLine="709"/>
        <w:jc w:val="both"/>
        <w:rPr>
          <w:bCs/>
          <w:sz w:val="24"/>
          <w:szCs w:val="24"/>
        </w:rPr>
      </w:pPr>
      <w:r w:rsidRPr="004A5813">
        <w:rPr>
          <w:bCs/>
          <w:sz w:val="24"/>
          <w:szCs w:val="24"/>
        </w:rPr>
        <w:t>Taktiež možno konštatovať, že vzhľadom na opatrenia prijaté Slovenskou republikou vo vzťahu k prenosnému ochoreniu COVID-19 mali zásadný vplyv na fungovanie podnikov, vrátane podnikov v oblasti civilného letectva a cestovného ruchu. Vytvorením nového právneho nástroja bude možné zo strany štátu podporiť nové letecké spojenia.</w:t>
      </w:r>
    </w:p>
    <w:p w14:paraId="1A8ED83A" w14:textId="04F3783F" w:rsidR="00F24457" w:rsidRDefault="00F24457" w:rsidP="001F6B2A">
      <w:pPr>
        <w:widowControl/>
        <w:autoSpaceDE/>
        <w:autoSpaceDN/>
        <w:adjustRightInd/>
        <w:rPr>
          <w:b/>
          <w:bCs/>
          <w:sz w:val="24"/>
          <w:szCs w:val="24"/>
        </w:rPr>
      </w:pPr>
      <w:r w:rsidRPr="000F1075">
        <w:rPr>
          <w:b/>
          <w:bCs/>
          <w:sz w:val="24"/>
          <w:szCs w:val="24"/>
        </w:rPr>
        <w:br w:type="page"/>
      </w:r>
    </w:p>
    <w:p w14:paraId="390D9E59" w14:textId="77777777" w:rsidR="00D312DE" w:rsidRPr="00612E08" w:rsidRDefault="00D312DE" w:rsidP="00D312DE">
      <w:pPr>
        <w:jc w:val="center"/>
        <w:rPr>
          <w:b/>
          <w:sz w:val="28"/>
          <w:szCs w:val="28"/>
        </w:rPr>
      </w:pPr>
      <w:r w:rsidRPr="00612E08">
        <w:rPr>
          <w:b/>
          <w:sz w:val="28"/>
          <w:szCs w:val="28"/>
        </w:rPr>
        <w:lastRenderedPageBreak/>
        <w:t>Doložka vybraných vplyvov</w:t>
      </w:r>
    </w:p>
    <w:p w14:paraId="5A809918" w14:textId="77777777" w:rsidR="00D312DE" w:rsidRPr="00612E08" w:rsidRDefault="00D312DE" w:rsidP="00D312DE">
      <w:pPr>
        <w:jc w:val="center"/>
        <w:rPr>
          <w:b/>
          <w:sz w:val="28"/>
          <w:szCs w:val="28"/>
        </w:rPr>
      </w:pPr>
    </w:p>
    <w:p w14:paraId="127E029E" w14:textId="77777777" w:rsidR="00D312DE" w:rsidRPr="00612E08" w:rsidRDefault="00D312DE" w:rsidP="00D312DE">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D312DE" w:rsidRPr="00612E08" w14:paraId="66E6C25E" w14:textId="77777777" w:rsidTr="00774DA8">
        <w:tc>
          <w:tcPr>
            <w:tcW w:w="9180" w:type="dxa"/>
            <w:gridSpan w:val="11"/>
            <w:tcBorders>
              <w:bottom w:val="single" w:sz="4" w:space="0" w:color="FFFFFF"/>
            </w:tcBorders>
            <w:shd w:val="clear" w:color="auto" w:fill="E2E2E2"/>
          </w:tcPr>
          <w:p w14:paraId="07371329" w14:textId="77777777" w:rsidR="00D312DE" w:rsidRPr="00612E08" w:rsidRDefault="00D312DE" w:rsidP="00D312DE">
            <w:pPr>
              <w:widowControl/>
              <w:numPr>
                <w:ilvl w:val="0"/>
                <w:numId w:val="20"/>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D312DE" w:rsidRPr="00612E08" w14:paraId="5A2B7D17" w14:textId="77777777" w:rsidTr="00774DA8">
        <w:tc>
          <w:tcPr>
            <w:tcW w:w="9180" w:type="dxa"/>
            <w:gridSpan w:val="11"/>
            <w:tcBorders>
              <w:bottom w:val="single" w:sz="4" w:space="0" w:color="FFFFFF"/>
            </w:tcBorders>
            <w:shd w:val="clear" w:color="auto" w:fill="E2E2E2"/>
          </w:tcPr>
          <w:p w14:paraId="3DBB6C03" w14:textId="77777777" w:rsidR="00D312DE" w:rsidRPr="00612E08" w:rsidRDefault="00D312DE" w:rsidP="00774DA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D312DE" w:rsidRPr="00612E08" w14:paraId="17115837" w14:textId="77777777" w:rsidTr="00774DA8">
        <w:tc>
          <w:tcPr>
            <w:tcW w:w="9180" w:type="dxa"/>
            <w:gridSpan w:val="11"/>
            <w:tcBorders>
              <w:top w:val="single" w:sz="4" w:space="0" w:color="FFFFFF"/>
              <w:bottom w:val="single" w:sz="4" w:space="0" w:color="auto"/>
            </w:tcBorders>
          </w:tcPr>
          <w:p w14:paraId="516AB891" w14:textId="77777777" w:rsidR="00D312DE" w:rsidRPr="00612E08" w:rsidRDefault="00D312DE" w:rsidP="00774DA8">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Návrh zákona, </w:t>
            </w:r>
            <w:r w:rsidRPr="002B4109">
              <w:rPr>
                <w:rFonts w:ascii="Times New Roman" w:eastAsia="Times New Roman" w:hAnsi="Times New Roman" w:cs="Times New Roman"/>
                <w:sz w:val="20"/>
                <w:szCs w:val="20"/>
                <w:lang w:eastAsia="sk-SK"/>
              </w:rPr>
              <w:t>ktorým sa mení a dopĺňa zákon č. 213/2019 Z. z. o odplatách a o poskytovaní príspevku v civilnom letectve a o zmene a doplnení niektorých zákonov v</w:t>
            </w:r>
            <w:r>
              <w:rPr>
                <w:rFonts w:ascii="Times New Roman" w:eastAsia="Times New Roman" w:hAnsi="Times New Roman" w:cs="Times New Roman"/>
                <w:sz w:val="20"/>
                <w:szCs w:val="20"/>
                <w:lang w:eastAsia="sk-SK"/>
              </w:rPr>
              <w:t> </w:t>
            </w:r>
            <w:r w:rsidRPr="002B4109">
              <w:rPr>
                <w:rFonts w:ascii="Times New Roman" w:eastAsia="Times New Roman" w:hAnsi="Times New Roman" w:cs="Times New Roman"/>
                <w:sz w:val="20"/>
                <w:szCs w:val="20"/>
                <w:lang w:eastAsia="sk-SK"/>
              </w:rPr>
              <w:t>znení neskorších predpisov</w:t>
            </w:r>
          </w:p>
          <w:p w14:paraId="06376B05" w14:textId="77777777" w:rsidR="00D312DE" w:rsidRPr="00612E08" w:rsidRDefault="00D312DE" w:rsidP="00774DA8">
            <w:pPr>
              <w:rPr>
                <w:rFonts w:ascii="Times New Roman" w:eastAsia="Times New Roman" w:hAnsi="Times New Roman" w:cs="Times New Roman"/>
                <w:sz w:val="20"/>
                <w:szCs w:val="20"/>
                <w:lang w:eastAsia="sk-SK"/>
              </w:rPr>
            </w:pPr>
          </w:p>
        </w:tc>
      </w:tr>
      <w:tr w:rsidR="00D312DE" w:rsidRPr="00612E08" w14:paraId="20DF3620" w14:textId="77777777" w:rsidTr="00774DA8">
        <w:tc>
          <w:tcPr>
            <w:tcW w:w="9180" w:type="dxa"/>
            <w:gridSpan w:val="11"/>
            <w:tcBorders>
              <w:top w:val="single" w:sz="4" w:space="0" w:color="auto"/>
              <w:left w:val="single" w:sz="4" w:space="0" w:color="auto"/>
              <w:bottom w:val="single" w:sz="4" w:space="0" w:color="FFFFFF"/>
            </w:tcBorders>
            <w:shd w:val="clear" w:color="auto" w:fill="E2E2E2"/>
          </w:tcPr>
          <w:p w14:paraId="0F71EEB4" w14:textId="77777777" w:rsidR="00D312DE" w:rsidRPr="00612E08" w:rsidRDefault="00D312DE" w:rsidP="00774DA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D312DE" w:rsidRPr="00612E08" w14:paraId="425CDE0C" w14:textId="77777777" w:rsidTr="00774DA8">
        <w:tc>
          <w:tcPr>
            <w:tcW w:w="9180" w:type="dxa"/>
            <w:gridSpan w:val="11"/>
            <w:tcBorders>
              <w:top w:val="single" w:sz="4" w:space="0" w:color="FFFFFF"/>
              <w:left w:val="single" w:sz="4" w:space="0" w:color="auto"/>
              <w:bottom w:val="single" w:sz="4" w:space="0" w:color="auto"/>
            </w:tcBorders>
            <w:shd w:val="clear" w:color="auto" w:fill="FFFFFF"/>
          </w:tcPr>
          <w:p w14:paraId="2E2C2F16" w14:textId="77777777" w:rsidR="00D312DE" w:rsidRPr="00612E08" w:rsidRDefault="00D312DE" w:rsidP="00774DA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dopravy Slovenskej republiky</w:t>
            </w:r>
          </w:p>
          <w:p w14:paraId="70172114" w14:textId="77777777" w:rsidR="00D312DE" w:rsidRPr="00612E08" w:rsidRDefault="00D312DE" w:rsidP="00774DA8">
            <w:pPr>
              <w:rPr>
                <w:rFonts w:ascii="Times New Roman" w:eastAsia="Times New Roman" w:hAnsi="Times New Roman" w:cs="Times New Roman"/>
                <w:sz w:val="20"/>
                <w:szCs w:val="20"/>
                <w:lang w:eastAsia="sk-SK"/>
              </w:rPr>
            </w:pPr>
          </w:p>
        </w:tc>
      </w:tr>
      <w:tr w:rsidR="00D312DE" w:rsidRPr="00612E08" w14:paraId="4309750F" w14:textId="77777777" w:rsidTr="00774DA8">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FBF4DD8" w14:textId="77777777" w:rsidR="00D312DE" w:rsidRPr="00612E08" w:rsidRDefault="00D312DE" w:rsidP="00774DA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91A4F5A" w14:textId="77777777" w:rsidR="00D312DE" w:rsidRPr="00612E08" w:rsidRDefault="00D312DE" w:rsidP="00774DA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31632183"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D312DE" w:rsidRPr="00612E08" w14:paraId="14FE06E7" w14:textId="77777777" w:rsidTr="00774DA8">
        <w:tc>
          <w:tcPr>
            <w:tcW w:w="4212" w:type="dxa"/>
            <w:gridSpan w:val="2"/>
            <w:vMerge/>
            <w:tcBorders>
              <w:top w:val="nil"/>
              <w:left w:val="single" w:sz="4" w:space="0" w:color="auto"/>
              <w:bottom w:val="single" w:sz="4" w:space="0" w:color="FFFFFF"/>
            </w:tcBorders>
            <w:shd w:val="clear" w:color="auto" w:fill="E2E2E2"/>
          </w:tcPr>
          <w:p w14:paraId="5CDC8B73" w14:textId="77777777" w:rsidR="00D312DE" w:rsidRPr="00612E08" w:rsidRDefault="00D312DE" w:rsidP="00774DA8">
            <w:pPr>
              <w:rPr>
                <w:rFonts w:ascii="Times New Roman" w:eastAsia="Times New Roman" w:hAnsi="Times New Roman" w:cs="Times New Roman"/>
                <w:sz w:val="20"/>
                <w:szCs w:val="20"/>
                <w:lang w:eastAsia="sk-SK"/>
              </w:rPr>
            </w:pPr>
          </w:p>
        </w:tc>
        <w:sdt>
          <w:sdt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3DEB42A" w14:textId="77777777" w:rsidR="00D312DE" w:rsidRPr="00612E08" w:rsidRDefault="00D312DE" w:rsidP="00774DA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1B26C9F" w14:textId="77777777" w:rsidR="00D312DE" w:rsidRPr="00612E08" w:rsidRDefault="00D312DE" w:rsidP="00774DA8">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D312DE" w:rsidRPr="00612E08" w14:paraId="7C85ECB3" w14:textId="77777777" w:rsidTr="00774DA8">
        <w:tc>
          <w:tcPr>
            <w:tcW w:w="4212" w:type="dxa"/>
            <w:gridSpan w:val="2"/>
            <w:vMerge/>
            <w:tcBorders>
              <w:top w:val="nil"/>
              <w:left w:val="single" w:sz="4" w:space="0" w:color="auto"/>
              <w:bottom w:val="single" w:sz="4" w:space="0" w:color="auto"/>
            </w:tcBorders>
            <w:shd w:val="clear" w:color="auto" w:fill="E2E2E2"/>
          </w:tcPr>
          <w:p w14:paraId="705B780C" w14:textId="77777777" w:rsidR="00D312DE" w:rsidRPr="00612E08" w:rsidRDefault="00D312DE" w:rsidP="00774DA8">
            <w:pPr>
              <w:rPr>
                <w:rFonts w:ascii="Times New Roman" w:eastAsia="Times New Roman" w:hAnsi="Times New Roman" w:cs="Times New Roman"/>
                <w:sz w:val="20"/>
                <w:szCs w:val="20"/>
                <w:lang w:eastAsia="sk-SK"/>
              </w:rPr>
            </w:pPr>
          </w:p>
        </w:tc>
        <w:sdt>
          <w:sdt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019640B" w14:textId="77777777" w:rsidR="00D312DE" w:rsidRPr="00612E08" w:rsidRDefault="00D312DE" w:rsidP="00774DA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91F9AE3"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D312DE" w:rsidRPr="00612E08" w14:paraId="6FDE21F1" w14:textId="77777777" w:rsidTr="00774DA8">
        <w:tc>
          <w:tcPr>
            <w:tcW w:w="9180" w:type="dxa"/>
            <w:gridSpan w:val="11"/>
            <w:tcBorders>
              <w:top w:val="single" w:sz="4" w:space="0" w:color="auto"/>
              <w:left w:val="single" w:sz="4" w:space="0" w:color="auto"/>
              <w:bottom w:val="single" w:sz="4" w:space="0" w:color="FFFFFF"/>
            </w:tcBorders>
            <w:shd w:val="clear" w:color="auto" w:fill="FFFFFF"/>
          </w:tcPr>
          <w:p w14:paraId="38D68EA2" w14:textId="77777777" w:rsidR="00D312DE" w:rsidRPr="00612E08" w:rsidRDefault="00D312DE" w:rsidP="00774DA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14:paraId="1A2A9D38" w14:textId="77777777" w:rsidR="00D312DE" w:rsidRPr="00612E08" w:rsidRDefault="00D312DE" w:rsidP="00774DA8">
            <w:pPr>
              <w:rPr>
                <w:rFonts w:ascii="Times New Roman" w:eastAsia="Times New Roman" w:hAnsi="Times New Roman" w:cs="Times New Roman"/>
                <w:sz w:val="20"/>
                <w:szCs w:val="20"/>
                <w:lang w:eastAsia="sk-SK"/>
              </w:rPr>
            </w:pPr>
          </w:p>
        </w:tc>
      </w:tr>
      <w:tr w:rsidR="00D312DE" w:rsidRPr="00612E08" w14:paraId="25B9829E" w14:textId="77777777" w:rsidTr="00774DA8">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7C90806" w14:textId="77777777" w:rsidR="00D312DE" w:rsidRPr="00612E08" w:rsidRDefault="00D312DE" w:rsidP="00774DA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36459031" w14:textId="77777777" w:rsidR="00D312DE" w:rsidRPr="00612E08" w:rsidRDefault="00D312DE" w:rsidP="00774DA8">
            <w:pPr>
              <w:rPr>
                <w:rFonts w:ascii="Times New Roman" w:eastAsia="Times New Roman" w:hAnsi="Times New Roman" w:cs="Times New Roman"/>
                <w:i/>
                <w:sz w:val="20"/>
                <w:szCs w:val="20"/>
                <w:lang w:eastAsia="sk-SK"/>
              </w:rPr>
            </w:pPr>
          </w:p>
        </w:tc>
      </w:tr>
      <w:tr w:rsidR="00D312DE" w:rsidRPr="00612E08" w14:paraId="3520F671" w14:textId="77777777" w:rsidTr="00774DA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8D4A091" w14:textId="77777777" w:rsidR="00D312DE" w:rsidRPr="00612E08" w:rsidRDefault="00D312DE" w:rsidP="00774DA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020CB37" w14:textId="77777777" w:rsidR="00D312DE" w:rsidRPr="00612E08" w:rsidRDefault="00D312DE" w:rsidP="00774DA8">
            <w:pPr>
              <w:rPr>
                <w:rFonts w:ascii="Times New Roman" w:eastAsia="Times New Roman" w:hAnsi="Times New Roman" w:cs="Times New Roman"/>
                <w:i/>
                <w:sz w:val="20"/>
                <w:szCs w:val="20"/>
                <w:lang w:eastAsia="sk-SK"/>
              </w:rPr>
            </w:pPr>
          </w:p>
        </w:tc>
      </w:tr>
      <w:tr w:rsidR="00D312DE" w:rsidRPr="00612E08" w14:paraId="4CCE1D29" w14:textId="77777777" w:rsidTr="00774DA8">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C9B1176" w14:textId="77777777" w:rsidR="00D312DE" w:rsidRPr="00612E08" w:rsidRDefault="00D312DE" w:rsidP="00774DA8">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73F9AF7C" w14:textId="77777777" w:rsidR="00D312DE" w:rsidRPr="00612E08" w:rsidRDefault="00D312DE" w:rsidP="00774DA8">
            <w:pPr>
              <w:rPr>
                <w:rFonts w:ascii="Times New Roman" w:eastAsia="Times New Roman" w:hAnsi="Times New Roman" w:cs="Times New Roman"/>
                <w:i/>
                <w:sz w:val="20"/>
                <w:szCs w:val="20"/>
                <w:lang w:eastAsia="sk-SK"/>
              </w:rPr>
            </w:pPr>
          </w:p>
        </w:tc>
      </w:tr>
      <w:tr w:rsidR="00D312DE" w:rsidRPr="00612E08" w14:paraId="188E10BC" w14:textId="77777777" w:rsidTr="00774DA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A418424" w14:textId="77777777" w:rsidR="00D312DE" w:rsidRPr="00612E08" w:rsidRDefault="00D312DE" w:rsidP="00774DA8">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5E770F2D" w14:textId="77777777" w:rsidR="00D312DE" w:rsidRPr="00612E08" w:rsidRDefault="00D312DE" w:rsidP="00774DA8">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november 2023</w:t>
            </w:r>
          </w:p>
        </w:tc>
      </w:tr>
      <w:tr w:rsidR="00D312DE" w:rsidRPr="00612E08" w14:paraId="24C86179" w14:textId="77777777" w:rsidTr="00774DA8">
        <w:tc>
          <w:tcPr>
            <w:tcW w:w="9180" w:type="dxa"/>
            <w:gridSpan w:val="11"/>
            <w:tcBorders>
              <w:top w:val="single" w:sz="4" w:space="0" w:color="auto"/>
              <w:left w:val="nil"/>
              <w:bottom w:val="single" w:sz="4" w:space="0" w:color="auto"/>
              <w:right w:val="nil"/>
            </w:tcBorders>
            <w:shd w:val="clear" w:color="auto" w:fill="FFFFFF"/>
          </w:tcPr>
          <w:p w14:paraId="1D24B88B" w14:textId="77777777" w:rsidR="00D312DE" w:rsidRPr="00612E08" w:rsidRDefault="00D312DE" w:rsidP="00774DA8">
            <w:pPr>
              <w:rPr>
                <w:rFonts w:ascii="Times New Roman" w:eastAsia="Times New Roman" w:hAnsi="Times New Roman" w:cs="Times New Roman"/>
                <w:sz w:val="20"/>
                <w:szCs w:val="20"/>
                <w:lang w:eastAsia="sk-SK"/>
              </w:rPr>
            </w:pPr>
          </w:p>
        </w:tc>
      </w:tr>
      <w:tr w:rsidR="00D312DE" w:rsidRPr="00612E08" w14:paraId="3B4A0231" w14:textId="77777777" w:rsidTr="00774DA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650228B" w14:textId="77777777" w:rsidR="00D312DE" w:rsidRPr="00612E08" w:rsidRDefault="00D312DE" w:rsidP="00D312DE">
            <w:pPr>
              <w:widowControl/>
              <w:numPr>
                <w:ilvl w:val="0"/>
                <w:numId w:val="20"/>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D312DE" w:rsidRPr="00612E08" w14:paraId="6EB7664B" w14:textId="77777777" w:rsidTr="00774DA8">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142E785" w14:textId="77777777" w:rsidR="00D312DE" w:rsidRPr="00612E08" w:rsidRDefault="00D312DE" w:rsidP="00774DA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1EB8AB5E" w14:textId="77777777" w:rsidR="00D312DE" w:rsidRPr="002B4109" w:rsidRDefault="00D312DE" w:rsidP="00774DA8">
            <w:pPr>
              <w:rPr>
                <w:rFonts w:ascii="Times New Roman" w:eastAsia="Times New Roman" w:hAnsi="Times New Roman" w:cs="Times New Roman"/>
                <w:sz w:val="20"/>
                <w:szCs w:val="20"/>
                <w:lang w:eastAsia="sk-SK"/>
              </w:rPr>
            </w:pPr>
          </w:p>
          <w:p w14:paraId="2D92E4A8" w14:textId="77777777" w:rsidR="00D312DE" w:rsidRPr="002B4109" w:rsidRDefault="00D312DE" w:rsidP="00774DA8">
            <w:pPr>
              <w:jc w:val="both"/>
              <w:rPr>
                <w:rFonts w:ascii="Times New Roman" w:eastAsia="Times New Roman" w:hAnsi="Times New Roman" w:cs="Times New Roman"/>
                <w:sz w:val="20"/>
                <w:szCs w:val="20"/>
                <w:lang w:eastAsia="sk-SK"/>
              </w:rPr>
            </w:pPr>
            <w:r w:rsidRPr="002B4109">
              <w:rPr>
                <w:rFonts w:ascii="Times New Roman" w:eastAsia="Times New Roman" w:hAnsi="Times New Roman" w:cs="Times New Roman"/>
                <w:sz w:val="20"/>
                <w:szCs w:val="20"/>
                <w:lang w:eastAsia="sk-SK"/>
              </w:rPr>
              <w:t>Návrh</w:t>
            </w:r>
            <w:r w:rsidRPr="002B4109">
              <w:rPr>
                <w:rFonts w:ascii="Times New Roman" w:eastAsia="Times New Roman" w:hAnsi="Times New Roman" w:cs="Times New Roman"/>
                <w:bCs/>
                <w:sz w:val="20"/>
                <w:szCs w:val="20"/>
                <w:lang w:eastAsia="sk-SK"/>
              </w:rPr>
              <w:t xml:space="preserve"> zákona predstavuje právny základ, ktorý umožní poskytnúť príspevok </w:t>
            </w:r>
            <w:r>
              <w:rPr>
                <w:rFonts w:ascii="Times New Roman" w:eastAsia="Times New Roman" w:hAnsi="Times New Roman" w:cs="Times New Roman"/>
                <w:bCs/>
                <w:sz w:val="20"/>
                <w:szCs w:val="20"/>
                <w:lang w:eastAsia="sk-SK"/>
              </w:rPr>
              <w:t xml:space="preserve">v civilnom letectve </w:t>
            </w:r>
            <w:r w:rsidRPr="002B4109">
              <w:rPr>
                <w:rFonts w:ascii="Times New Roman" w:eastAsia="Times New Roman" w:hAnsi="Times New Roman" w:cs="Times New Roman"/>
                <w:bCs/>
                <w:sz w:val="20"/>
                <w:szCs w:val="20"/>
                <w:lang w:eastAsia="sk-SK"/>
              </w:rPr>
              <w:t xml:space="preserve">na </w:t>
            </w:r>
            <w:r w:rsidRPr="002B4109">
              <w:rPr>
                <w:rFonts w:ascii="Times New Roman" w:eastAsia="Times New Roman" w:hAnsi="Times New Roman" w:cs="Times New Roman"/>
                <w:sz w:val="20"/>
                <w:szCs w:val="20"/>
                <w:lang w:eastAsia="sk-SK"/>
              </w:rPr>
              <w:t>vykonávanie pravidelnej obchodnej leteckej dopravy medzi letiskami</w:t>
            </w:r>
            <w:r>
              <w:rPr>
                <w:rFonts w:ascii="Times New Roman" w:eastAsia="Times New Roman" w:hAnsi="Times New Roman" w:cs="Times New Roman"/>
                <w:sz w:val="20"/>
                <w:szCs w:val="20"/>
                <w:lang w:eastAsia="sk-SK"/>
              </w:rPr>
              <w:t xml:space="preserve"> prevádzkovanými letiskovými spoločnosťami a </w:t>
            </w:r>
            <w:r w:rsidRPr="002B4109">
              <w:rPr>
                <w:rFonts w:ascii="Times New Roman" w:eastAsia="Times New Roman" w:hAnsi="Times New Roman" w:cs="Times New Roman"/>
                <w:sz w:val="20"/>
                <w:szCs w:val="20"/>
                <w:lang w:eastAsia="sk-SK"/>
              </w:rPr>
              <w:t>určenými na vykonávanie obchodnej leteckej dopravy na území Slovenskej republiky alebo medzi týmito letiskami a letiskami mimo územia Slovenskej republiky.</w:t>
            </w:r>
          </w:p>
          <w:p w14:paraId="775ABAA6" w14:textId="77777777" w:rsidR="00D312DE" w:rsidRPr="00612E08" w:rsidRDefault="00D312DE" w:rsidP="00774DA8">
            <w:pPr>
              <w:rPr>
                <w:rFonts w:ascii="Times New Roman" w:eastAsia="Times New Roman" w:hAnsi="Times New Roman" w:cs="Times New Roman"/>
                <w:b/>
                <w:sz w:val="20"/>
                <w:szCs w:val="20"/>
                <w:lang w:eastAsia="sk-SK"/>
              </w:rPr>
            </w:pPr>
          </w:p>
        </w:tc>
      </w:tr>
      <w:tr w:rsidR="00D312DE" w:rsidRPr="00612E08" w14:paraId="759002D7" w14:textId="77777777" w:rsidTr="00774DA8">
        <w:tc>
          <w:tcPr>
            <w:tcW w:w="9180" w:type="dxa"/>
            <w:gridSpan w:val="11"/>
            <w:tcBorders>
              <w:top w:val="single" w:sz="4" w:space="0" w:color="auto"/>
              <w:left w:val="single" w:sz="4" w:space="0" w:color="auto"/>
              <w:bottom w:val="nil"/>
              <w:right w:val="single" w:sz="4" w:space="0" w:color="auto"/>
            </w:tcBorders>
            <w:shd w:val="clear" w:color="auto" w:fill="E2E2E2"/>
          </w:tcPr>
          <w:p w14:paraId="0CDC2BFB" w14:textId="77777777" w:rsidR="00D312DE" w:rsidRPr="00612E08" w:rsidRDefault="00D312DE" w:rsidP="00D312DE">
            <w:pPr>
              <w:widowControl/>
              <w:numPr>
                <w:ilvl w:val="0"/>
                <w:numId w:val="20"/>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D312DE" w:rsidRPr="00612E08" w14:paraId="225678EB" w14:textId="77777777" w:rsidTr="00774DA8">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30C9D6F6" w14:textId="77777777" w:rsidR="00D312DE" w:rsidRPr="00612E08" w:rsidRDefault="00D312DE" w:rsidP="00774DA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4A4861B9" w14:textId="77777777" w:rsidR="00D312DE" w:rsidRDefault="00D312DE" w:rsidP="00774DA8">
            <w:pPr>
              <w:rPr>
                <w:rFonts w:ascii="Times New Roman" w:eastAsia="Times New Roman" w:hAnsi="Times New Roman" w:cs="Times New Roman"/>
                <w:sz w:val="20"/>
                <w:szCs w:val="20"/>
                <w:lang w:eastAsia="sk-SK"/>
              </w:rPr>
            </w:pPr>
          </w:p>
          <w:p w14:paraId="55D9E58D" w14:textId="77777777" w:rsidR="00D312DE" w:rsidRDefault="00D312DE" w:rsidP="00774DA8">
            <w:pPr>
              <w:jc w:val="both"/>
              <w:rPr>
                <w:rFonts w:ascii="Times New Roman" w:eastAsia="Times New Roman" w:hAnsi="Times New Roman" w:cs="Times New Roman"/>
                <w:sz w:val="20"/>
                <w:szCs w:val="20"/>
                <w:lang w:eastAsia="sk-SK"/>
              </w:rPr>
            </w:pPr>
            <w:r w:rsidRPr="003400EA">
              <w:rPr>
                <w:rFonts w:ascii="Times New Roman" w:eastAsia="Times New Roman" w:hAnsi="Times New Roman" w:cs="Times New Roman"/>
                <w:sz w:val="20"/>
                <w:szCs w:val="20"/>
                <w:lang w:eastAsia="sk-SK"/>
              </w:rPr>
              <w:t>Cieľom návrhu zákona je precizovanie platnej právnej úpravy a</w:t>
            </w:r>
            <w:r>
              <w:rPr>
                <w:rFonts w:ascii="Times New Roman" w:eastAsia="Times New Roman" w:hAnsi="Times New Roman" w:cs="Times New Roman"/>
                <w:sz w:val="20"/>
                <w:szCs w:val="20"/>
                <w:lang w:eastAsia="sk-SK"/>
              </w:rPr>
              <w:t xml:space="preserve"> doplnenie nového účely poskytovania príspevku v civilnom letectve </w:t>
            </w:r>
            <w:r w:rsidRPr="003400EA">
              <w:rPr>
                <w:rFonts w:ascii="Times New Roman" w:eastAsia="Times New Roman" w:hAnsi="Times New Roman" w:cs="Times New Roman"/>
                <w:sz w:val="20"/>
                <w:szCs w:val="20"/>
                <w:lang w:eastAsia="sk-SK"/>
              </w:rPr>
              <w:t xml:space="preserve">vzhľadom na poznatky z aplikačnej praxe, ako aj </w:t>
            </w:r>
            <w:r w:rsidRPr="005D5DBD">
              <w:rPr>
                <w:rFonts w:ascii="Times New Roman" w:eastAsia="Times New Roman" w:hAnsi="Times New Roman" w:cs="Times New Roman"/>
                <w:bCs/>
                <w:sz w:val="20"/>
                <w:szCs w:val="20"/>
                <w:lang w:eastAsia="sk-SK"/>
              </w:rPr>
              <w:t>realizáciu záväzkov, ktoré Slovenskej republik</w:t>
            </w:r>
            <w:r>
              <w:rPr>
                <w:rFonts w:ascii="Times New Roman" w:eastAsia="Times New Roman" w:hAnsi="Times New Roman" w:cs="Times New Roman"/>
                <w:bCs/>
                <w:sz w:val="20"/>
                <w:szCs w:val="20"/>
                <w:lang w:eastAsia="sk-SK"/>
              </w:rPr>
              <w:t>e</w:t>
            </w:r>
            <w:r w:rsidRPr="005D5DBD">
              <w:rPr>
                <w:rFonts w:ascii="Times New Roman" w:eastAsia="Times New Roman" w:hAnsi="Times New Roman" w:cs="Times New Roman"/>
                <w:bCs/>
                <w:sz w:val="20"/>
                <w:szCs w:val="20"/>
                <w:lang w:eastAsia="sk-SK"/>
              </w:rPr>
              <w:t xml:space="preserve"> vyplývajú zo schválených investičných zmlúv</w:t>
            </w:r>
            <w:r>
              <w:rPr>
                <w:rFonts w:ascii="Times New Roman" w:eastAsia="Times New Roman" w:hAnsi="Times New Roman" w:cs="Times New Roman"/>
                <w:sz w:val="20"/>
                <w:szCs w:val="20"/>
                <w:lang w:eastAsia="sk-SK"/>
              </w:rPr>
              <w:t>.</w:t>
            </w:r>
          </w:p>
          <w:p w14:paraId="234828EB" w14:textId="77777777" w:rsidR="00D312DE" w:rsidRPr="00612E08" w:rsidRDefault="00D312DE" w:rsidP="00774DA8">
            <w:pPr>
              <w:rPr>
                <w:rFonts w:ascii="Times New Roman" w:eastAsia="Times New Roman" w:hAnsi="Times New Roman" w:cs="Times New Roman"/>
                <w:sz w:val="20"/>
                <w:szCs w:val="20"/>
                <w:lang w:eastAsia="sk-SK"/>
              </w:rPr>
            </w:pPr>
          </w:p>
        </w:tc>
      </w:tr>
      <w:tr w:rsidR="00D312DE" w:rsidRPr="00612E08" w14:paraId="6FAD6F65" w14:textId="77777777" w:rsidTr="00774DA8">
        <w:tc>
          <w:tcPr>
            <w:tcW w:w="9180" w:type="dxa"/>
            <w:gridSpan w:val="11"/>
            <w:tcBorders>
              <w:top w:val="single" w:sz="4" w:space="0" w:color="auto"/>
              <w:left w:val="single" w:sz="4" w:space="0" w:color="auto"/>
              <w:bottom w:val="nil"/>
              <w:right w:val="single" w:sz="4" w:space="0" w:color="auto"/>
            </w:tcBorders>
            <w:shd w:val="clear" w:color="auto" w:fill="E2E2E2"/>
          </w:tcPr>
          <w:p w14:paraId="6A699607" w14:textId="77777777" w:rsidR="00D312DE" w:rsidRPr="00612E08" w:rsidRDefault="00D312DE" w:rsidP="00D312DE">
            <w:pPr>
              <w:widowControl/>
              <w:numPr>
                <w:ilvl w:val="0"/>
                <w:numId w:val="20"/>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D312DE" w:rsidRPr="00612E08" w14:paraId="72763F5C" w14:textId="77777777" w:rsidTr="00774DA8">
        <w:tc>
          <w:tcPr>
            <w:tcW w:w="9180" w:type="dxa"/>
            <w:gridSpan w:val="11"/>
            <w:tcBorders>
              <w:top w:val="nil"/>
              <w:left w:val="single" w:sz="4" w:space="0" w:color="auto"/>
              <w:bottom w:val="single" w:sz="4" w:space="0" w:color="auto"/>
              <w:right w:val="single" w:sz="4" w:space="0" w:color="auto"/>
            </w:tcBorders>
            <w:shd w:val="clear" w:color="auto" w:fill="FFFFFF"/>
          </w:tcPr>
          <w:p w14:paraId="6B976243"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29A185D3" w14:textId="77777777" w:rsidR="00D312DE" w:rsidRDefault="00D312DE" w:rsidP="00774DA8">
            <w:pPr>
              <w:rPr>
                <w:rFonts w:ascii="Times New Roman" w:eastAsia="Times New Roman" w:hAnsi="Times New Roman" w:cs="Times New Roman"/>
                <w:i/>
                <w:sz w:val="20"/>
                <w:szCs w:val="20"/>
                <w:lang w:eastAsia="sk-SK"/>
              </w:rPr>
            </w:pPr>
          </w:p>
          <w:p w14:paraId="3497AF44" w14:textId="77777777" w:rsidR="00D312DE" w:rsidRDefault="00D312DE" w:rsidP="00774DA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dopravy Slovenskej republiky</w:t>
            </w:r>
          </w:p>
          <w:p w14:paraId="3A2BA5B6" w14:textId="77777777" w:rsidR="00D312DE" w:rsidRDefault="00D312DE" w:rsidP="00774DA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vyššie územné celky</w:t>
            </w:r>
          </w:p>
          <w:p w14:paraId="37810112" w14:textId="77777777" w:rsidR="00D312DE" w:rsidRDefault="00D312DE" w:rsidP="00774DA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obce</w:t>
            </w:r>
          </w:p>
          <w:p w14:paraId="6B12F417" w14:textId="77777777" w:rsidR="00D312DE" w:rsidRDefault="00D312DE" w:rsidP="00774DA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leteckí dopravcovia</w:t>
            </w:r>
          </w:p>
          <w:p w14:paraId="512B0D6A" w14:textId="77777777" w:rsidR="00D312DE" w:rsidRPr="00BC3234" w:rsidRDefault="00D312DE" w:rsidP="00774DA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letiskové spoločnosti</w:t>
            </w:r>
          </w:p>
          <w:p w14:paraId="7BAE8D78" w14:textId="77777777" w:rsidR="00D312DE" w:rsidRPr="00612E08" w:rsidRDefault="00D312DE" w:rsidP="00774DA8">
            <w:pPr>
              <w:rPr>
                <w:rFonts w:ascii="Times New Roman" w:eastAsia="Times New Roman" w:hAnsi="Times New Roman" w:cs="Times New Roman"/>
                <w:i/>
                <w:sz w:val="20"/>
                <w:szCs w:val="20"/>
                <w:lang w:eastAsia="sk-SK"/>
              </w:rPr>
            </w:pPr>
          </w:p>
        </w:tc>
      </w:tr>
      <w:tr w:rsidR="00D312DE" w:rsidRPr="00612E08" w14:paraId="169AEFB5" w14:textId="77777777" w:rsidTr="00774DA8">
        <w:tc>
          <w:tcPr>
            <w:tcW w:w="9180" w:type="dxa"/>
            <w:gridSpan w:val="11"/>
            <w:tcBorders>
              <w:top w:val="single" w:sz="4" w:space="0" w:color="auto"/>
              <w:left w:val="single" w:sz="4" w:space="0" w:color="auto"/>
              <w:bottom w:val="nil"/>
              <w:right w:val="single" w:sz="4" w:space="0" w:color="auto"/>
            </w:tcBorders>
            <w:shd w:val="clear" w:color="auto" w:fill="E2E2E2"/>
          </w:tcPr>
          <w:p w14:paraId="3D69958C" w14:textId="77777777" w:rsidR="00D312DE" w:rsidRPr="00612E08" w:rsidRDefault="00D312DE" w:rsidP="00D312DE">
            <w:pPr>
              <w:widowControl/>
              <w:numPr>
                <w:ilvl w:val="0"/>
                <w:numId w:val="20"/>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D312DE" w:rsidRPr="00612E08" w14:paraId="37FA05D7" w14:textId="77777777" w:rsidTr="00774DA8">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50EAB00B" w14:textId="77777777" w:rsidR="00D312DE" w:rsidRPr="00612E08" w:rsidRDefault="00D312DE" w:rsidP="00774DA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5670862A" w14:textId="77777777" w:rsidR="00D312DE" w:rsidRPr="00612E08" w:rsidRDefault="00D312DE" w:rsidP="00774DA8">
            <w:pPr>
              <w:rPr>
                <w:rFonts w:ascii="Times New Roman" w:eastAsia="Times New Roman" w:hAnsi="Times New Roman" w:cs="Times New Roman"/>
                <w:i/>
                <w:sz w:val="20"/>
                <w:szCs w:val="20"/>
                <w:lang w:eastAsia="sk-SK"/>
              </w:rPr>
            </w:pPr>
          </w:p>
          <w:p w14:paraId="35D7CFE0" w14:textId="77777777" w:rsidR="00D312DE" w:rsidRDefault="00D312DE" w:rsidP="00774DA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334E9D51" w14:textId="77777777" w:rsidR="00D312DE" w:rsidRDefault="00D312DE" w:rsidP="00774DA8">
            <w:pPr>
              <w:jc w:val="both"/>
              <w:rPr>
                <w:rFonts w:ascii="Times New Roman" w:eastAsia="Times New Roman" w:hAnsi="Times New Roman" w:cs="Times New Roman"/>
                <w:i/>
                <w:sz w:val="20"/>
                <w:szCs w:val="20"/>
                <w:lang w:eastAsia="sk-SK"/>
              </w:rPr>
            </w:pPr>
          </w:p>
          <w:p w14:paraId="69F5F734" w14:textId="77777777" w:rsidR="00D312DE" w:rsidRPr="003400EA" w:rsidRDefault="00D312DE" w:rsidP="00774DA8">
            <w:pPr>
              <w:jc w:val="both"/>
              <w:rPr>
                <w:rFonts w:ascii="Times New Roman" w:eastAsia="Times New Roman" w:hAnsi="Times New Roman" w:cs="Times New Roman"/>
                <w:sz w:val="20"/>
                <w:szCs w:val="20"/>
                <w:lang w:eastAsia="sk-SK"/>
              </w:rPr>
            </w:pPr>
            <w:r w:rsidRPr="003400EA">
              <w:rPr>
                <w:rFonts w:ascii="Times New Roman" w:eastAsia="Times New Roman" w:hAnsi="Times New Roman" w:cs="Times New Roman"/>
                <w:sz w:val="20"/>
                <w:szCs w:val="20"/>
                <w:lang w:eastAsia="sk-SK"/>
              </w:rPr>
              <w:t>Nulovým variantom by bolo ponechanie súčasnej právnej úpravy, ktorá neupravuje</w:t>
            </w:r>
            <w:r>
              <w:rPr>
                <w:rFonts w:ascii="Times New Roman" w:eastAsia="Times New Roman" w:hAnsi="Times New Roman" w:cs="Times New Roman"/>
                <w:sz w:val="20"/>
                <w:szCs w:val="20"/>
                <w:lang w:eastAsia="sk-SK"/>
              </w:rPr>
              <w:t xml:space="preserve"> možnosť poskytnúť </w:t>
            </w:r>
            <w:r>
              <w:rPr>
                <w:rFonts w:ascii="Times New Roman" w:eastAsia="Times New Roman" w:hAnsi="Times New Roman" w:cs="Times New Roman"/>
                <w:sz w:val="20"/>
                <w:szCs w:val="20"/>
                <w:lang w:eastAsia="sk-SK"/>
              </w:rPr>
              <w:lastRenderedPageBreak/>
              <w:t>príspevok v civilnom letectva na podporu pravidelných leteckých spojení v rámci obchodnej leteckej dopravy</w:t>
            </w:r>
            <w:r w:rsidRPr="003400EA">
              <w:rPr>
                <w:rFonts w:ascii="Times New Roman" w:eastAsia="Times New Roman" w:hAnsi="Times New Roman" w:cs="Times New Roman"/>
                <w:sz w:val="20"/>
                <w:szCs w:val="20"/>
                <w:lang w:eastAsia="sk-SK"/>
              </w:rPr>
              <w:t>.</w:t>
            </w:r>
          </w:p>
          <w:p w14:paraId="1C196A5F" w14:textId="77777777" w:rsidR="00D312DE" w:rsidRPr="003400EA" w:rsidRDefault="00D312DE" w:rsidP="00774DA8">
            <w:pPr>
              <w:jc w:val="both"/>
              <w:rPr>
                <w:rFonts w:ascii="Times New Roman" w:eastAsia="Times New Roman" w:hAnsi="Times New Roman" w:cs="Times New Roman"/>
                <w:sz w:val="20"/>
                <w:szCs w:val="20"/>
                <w:lang w:eastAsia="sk-SK"/>
              </w:rPr>
            </w:pPr>
          </w:p>
          <w:p w14:paraId="1612883E" w14:textId="77777777" w:rsidR="00D312DE" w:rsidRPr="003400EA" w:rsidRDefault="00D312DE" w:rsidP="00774DA8">
            <w:pPr>
              <w:jc w:val="both"/>
              <w:rPr>
                <w:rFonts w:ascii="Times New Roman" w:eastAsia="Times New Roman" w:hAnsi="Times New Roman" w:cs="Times New Roman"/>
                <w:bCs/>
                <w:sz w:val="20"/>
                <w:szCs w:val="20"/>
                <w:lang w:eastAsia="sk-SK"/>
              </w:rPr>
            </w:pPr>
            <w:r w:rsidRPr="003400EA">
              <w:rPr>
                <w:rFonts w:ascii="Times New Roman" w:eastAsia="Times New Roman" w:hAnsi="Times New Roman" w:cs="Times New Roman"/>
                <w:bCs/>
                <w:sz w:val="20"/>
                <w:szCs w:val="20"/>
                <w:lang w:eastAsia="sk-SK"/>
              </w:rPr>
              <w:t>Oproti nulovému variantu predkladateľ predpokladá</w:t>
            </w:r>
            <w:r>
              <w:rPr>
                <w:rFonts w:ascii="Times New Roman" w:eastAsia="Times New Roman" w:hAnsi="Times New Roman" w:cs="Times New Roman"/>
                <w:bCs/>
                <w:sz w:val="20"/>
                <w:szCs w:val="20"/>
                <w:lang w:eastAsia="sk-SK"/>
              </w:rPr>
              <w:t xml:space="preserve">, že leteckí dopravcovia prejavia záujem o začatie prevádzkovania nových leteckých spojení z alebo na </w:t>
            </w:r>
            <w:r w:rsidRPr="002B4109">
              <w:rPr>
                <w:rFonts w:ascii="Times New Roman" w:eastAsia="Times New Roman" w:hAnsi="Times New Roman" w:cs="Times New Roman"/>
                <w:sz w:val="20"/>
                <w:szCs w:val="20"/>
                <w:lang w:eastAsia="sk-SK"/>
              </w:rPr>
              <w:t>letisk</w:t>
            </w:r>
            <w:r>
              <w:rPr>
                <w:rFonts w:ascii="Times New Roman" w:eastAsia="Times New Roman" w:hAnsi="Times New Roman" w:cs="Times New Roman"/>
                <w:sz w:val="20"/>
                <w:szCs w:val="20"/>
                <w:lang w:eastAsia="sk-SK"/>
              </w:rPr>
              <w:t>á prevádzkované letiskovými spoločnosťami a </w:t>
            </w:r>
            <w:r w:rsidRPr="002B4109">
              <w:rPr>
                <w:rFonts w:ascii="Times New Roman" w:eastAsia="Times New Roman" w:hAnsi="Times New Roman" w:cs="Times New Roman"/>
                <w:sz w:val="20"/>
                <w:szCs w:val="20"/>
                <w:lang w:eastAsia="sk-SK"/>
              </w:rPr>
              <w:t>určen</w:t>
            </w:r>
            <w:r>
              <w:rPr>
                <w:rFonts w:ascii="Times New Roman" w:eastAsia="Times New Roman" w:hAnsi="Times New Roman" w:cs="Times New Roman"/>
                <w:sz w:val="20"/>
                <w:szCs w:val="20"/>
                <w:lang w:eastAsia="sk-SK"/>
              </w:rPr>
              <w:t>é</w:t>
            </w:r>
            <w:r w:rsidRPr="002B4109">
              <w:rPr>
                <w:rFonts w:ascii="Times New Roman" w:eastAsia="Times New Roman" w:hAnsi="Times New Roman" w:cs="Times New Roman"/>
                <w:sz w:val="20"/>
                <w:szCs w:val="20"/>
                <w:lang w:eastAsia="sk-SK"/>
              </w:rPr>
              <w:t xml:space="preserve"> na vykonávanie obchodnej leteckej dopravy</w:t>
            </w:r>
            <w:r w:rsidRPr="003400EA">
              <w:rPr>
                <w:rFonts w:ascii="Times New Roman" w:eastAsia="Times New Roman" w:hAnsi="Times New Roman" w:cs="Times New Roman"/>
                <w:bCs/>
                <w:sz w:val="20"/>
                <w:szCs w:val="20"/>
                <w:lang w:eastAsia="sk-SK"/>
              </w:rPr>
              <w:t>.</w:t>
            </w:r>
          </w:p>
          <w:p w14:paraId="6001822C" w14:textId="77777777" w:rsidR="00D312DE" w:rsidRPr="003400EA" w:rsidRDefault="00D312DE" w:rsidP="00774DA8">
            <w:pPr>
              <w:jc w:val="both"/>
              <w:rPr>
                <w:rFonts w:ascii="Times New Roman" w:eastAsia="Times New Roman" w:hAnsi="Times New Roman" w:cs="Times New Roman"/>
                <w:bCs/>
                <w:sz w:val="20"/>
                <w:szCs w:val="20"/>
                <w:lang w:eastAsia="sk-SK"/>
              </w:rPr>
            </w:pPr>
          </w:p>
          <w:p w14:paraId="34EBAF0C" w14:textId="77777777" w:rsidR="00D312DE" w:rsidRPr="003400EA" w:rsidRDefault="00D312DE" w:rsidP="00774DA8">
            <w:pPr>
              <w:jc w:val="both"/>
              <w:rPr>
                <w:rFonts w:ascii="Times New Roman" w:eastAsia="Times New Roman" w:hAnsi="Times New Roman" w:cs="Times New Roman"/>
                <w:sz w:val="20"/>
                <w:szCs w:val="20"/>
                <w:lang w:eastAsia="sk-SK"/>
              </w:rPr>
            </w:pPr>
            <w:r w:rsidRPr="003400EA">
              <w:rPr>
                <w:rFonts w:ascii="Times New Roman" w:eastAsia="Times New Roman" w:hAnsi="Times New Roman" w:cs="Times New Roman"/>
                <w:bCs/>
                <w:sz w:val="20"/>
                <w:szCs w:val="20"/>
                <w:lang w:eastAsia="sk-SK"/>
              </w:rPr>
              <w:t xml:space="preserve">Ostatné zmeny v návrhu zákona iba precizujú súčasnú platnú právnu úpravu, čo oproti pôvodnému stavu (nulté riešenie) vylepší </w:t>
            </w:r>
            <w:r>
              <w:rPr>
                <w:rFonts w:ascii="Times New Roman" w:eastAsia="Times New Roman" w:hAnsi="Times New Roman" w:cs="Times New Roman"/>
                <w:bCs/>
                <w:sz w:val="20"/>
                <w:szCs w:val="20"/>
                <w:lang w:eastAsia="sk-SK"/>
              </w:rPr>
              <w:t>právnu úpravu vo vzťahu k štátnej pomoci a minimálnej pomoci</w:t>
            </w:r>
            <w:r w:rsidRPr="003400EA">
              <w:rPr>
                <w:rFonts w:ascii="Times New Roman" w:eastAsia="Times New Roman" w:hAnsi="Times New Roman" w:cs="Times New Roman"/>
                <w:bCs/>
                <w:sz w:val="20"/>
                <w:szCs w:val="20"/>
                <w:lang w:eastAsia="sk-SK"/>
              </w:rPr>
              <w:t>.</w:t>
            </w:r>
          </w:p>
          <w:p w14:paraId="50A729C3" w14:textId="77777777" w:rsidR="00D312DE" w:rsidRPr="00612E08" w:rsidRDefault="00D312DE" w:rsidP="00774DA8">
            <w:pPr>
              <w:jc w:val="both"/>
              <w:rPr>
                <w:rFonts w:ascii="Times New Roman" w:eastAsia="Times New Roman" w:hAnsi="Times New Roman" w:cs="Times New Roman"/>
                <w:i/>
                <w:sz w:val="20"/>
                <w:szCs w:val="20"/>
                <w:lang w:eastAsia="sk-SK"/>
              </w:rPr>
            </w:pPr>
          </w:p>
        </w:tc>
      </w:tr>
      <w:tr w:rsidR="00D312DE" w:rsidRPr="00612E08" w14:paraId="6FC1A7D3" w14:textId="77777777" w:rsidTr="00774DA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DBEE772" w14:textId="77777777" w:rsidR="00D312DE" w:rsidRPr="00612E08" w:rsidRDefault="00D312DE" w:rsidP="00D312DE">
            <w:pPr>
              <w:widowControl/>
              <w:numPr>
                <w:ilvl w:val="0"/>
                <w:numId w:val="20"/>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Vykonávacie predpisy</w:t>
            </w:r>
          </w:p>
        </w:tc>
      </w:tr>
      <w:tr w:rsidR="00D312DE" w:rsidRPr="00612E08" w14:paraId="5E7ABF31" w14:textId="77777777" w:rsidTr="00774DA8">
        <w:tc>
          <w:tcPr>
            <w:tcW w:w="6203" w:type="dxa"/>
            <w:gridSpan w:val="7"/>
            <w:tcBorders>
              <w:top w:val="single" w:sz="4" w:space="0" w:color="FFFFFF"/>
              <w:left w:val="single" w:sz="4" w:space="0" w:color="auto"/>
              <w:bottom w:val="nil"/>
              <w:right w:val="nil"/>
            </w:tcBorders>
            <w:shd w:val="clear" w:color="auto" w:fill="FFFFFF"/>
          </w:tcPr>
          <w:p w14:paraId="73503852" w14:textId="77777777" w:rsidR="00D312DE" w:rsidRPr="00612E08" w:rsidRDefault="00D312DE" w:rsidP="00774DA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78D8691" w14:textId="77777777" w:rsidR="00D312DE" w:rsidRPr="00612E08" w:rsidRDefault="00685F21" w:rsidP="00774DA8">
            <w:pPr>
              <w:jc w:val="center"/>
              <w:rPr>
                <w:rFonts w:ascii="Times New Roman" w:eastAsia="Times New Roman" w:hAnsi="Times New Roman" w:cs="Times New Roman"/>
                <w:b/>
                <w:sz w:val="20"/>
                <w:szCs w:val="20"/>
                <w:lang w:eastAsia="sk-SK"/>
              </w:rPr>
            </w:pPr>
            <w:sdt>
              <w:sdtPr>
                <w:rPr>
                  <w:b/>
                </w:rPr>
                <w:id w:val="1929613764"/>
                <w14:checkbox>
                  <w14:checked w14:val="0"/>
                  <w14:checkedState w14:val="2612" w14:font="MS Gothic"/>
                  <w14:uncheckedState w14:val="2610" w14:font="MS Gothic"/>
                </w14:checkbox>
              </w:sdtPr>
              <w:sdtEndPr/>
              <w:sdtContent>
                <w:r w:rsidR="00D312DE" w:rsidRPr="00612E08">
                  <w:rPr>
                    <w:rFonts w:ascii="MS Gothic" w:eastAsia="MS Gothic" w:hAnsi="MS Gothic" w:cs="Times New Roman" w:hint="eastAsia"/>
                    <w:b/>
                    <w:sz w:val="20"/>
                    <w:szCs w:val="20"/>
                    <w:lang w:eastAsia="sk-SK"/>
                  </w:rPr>
                  <w:t>☐</w:t>
                </w:r>
              </w:sdtContent>
            </w:sdt>
            <w:r w:rsidR="00D312DE"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3B704E5B" w14:textId="77777777" w:rsidR="00D312DE" w:rsidRPr="00612E08" w:rsidRDefault="00685F21" w:rsidP="00774DA8">
            <w:pPr>
              <w:jc w:val="center"/>
              <w:rPr>
                <w:rFonts w:ascii="Times New Roman" w:eastAsia="Times New Roman" w:hAnsi="Times New Roman" w:cs="Times New Roman"/>
                <w:b/>
                <w:sz w:val="20"/>
                <w:szCs w:val="20"/>
                <w:lang w:eastAsia="sk-SK"/>
              </w:rPr>
            </w:pPr>
            <w:sdt>
              <w:sdtPr>
                <w:rPr>
                  <w:b/>
                </w:rPr>
                <w:id w:val="-1594626508"/>
                <w14:checkbox>
                  <w14:checked w14:val="1"/>
                  <w14:checkedState w14:val="2612" w14:font="MS Gothic"/>
                  <w14:uncheckedState w14:val="2610" w14:font="MS Gothic"/>
                </w14:checkbox>
              </w:sdtPr>
              <w:sdtEndPr/>
              <w:sdtContent>
                <w:r w:rsidR="00D312DE">
                  <w:rPr>
                    <w:rFonts w:ascii="MS Gothic" w:eastAsia="MS Gothic" w:hAnsi="MS Gothic" w:cs="Times New Roman" w:hint="eastAsia"/>
                    <w:b/>
                    <w:sz w:val="20"/>
                    <w:szCs w:val="20"/>
                    <w:lang w:eastAsia="sk-SK"/>
                  </w:rPr>
                  <w:t>☒</w:t>
                </w:r>
              </w:sdtContent>
            </w:sdt>
            <w:r w:rsidR="00D312DE" w:rsidRPr="00612E08">
              <w:rPr>
                <w:rFonts w:ascii="Times New Roman" w:eastAsia="Times New Roman" w:hAnsi="Times New Roman" w:cs="Times New Roman"/>
                <w:b/>
                <w:sz w:val="20"/>
                <w:szCs w:val="20"/>
                <w:lang w:eastAsia="sk-SK"/>
              </w:rPr>
              <w:t xml:space="preserve">  Nie</w:t>
            </w:r>
          </w:p>
        </w:tc>
      </w:tr>
      <w:tr w:rsidR="00D312DE" w:rsidRPr="00612E08" w14:paraId="5B82A4C3" w14:textId="77777777" w:rsidTr="00774DA8">
        <w:tc>
          <w:tcPr>
            <w:tcW w:w="9180" w:type="dxa"/>
            <w:gridSpan w:val="11"/>
            <w:tcBorders>
              <w:top w:val="nil"/>
              <w:left w:val="single" w:sz="4" w:space="0" w:color="auto"/>
              <w:bottom w:val="single" w:sz="4" w:space="0" w:color="auto"/>
              <w:right w:val="single" w:sz="4" w:space="0" w:color="auto"/>
            </w:tcBorders>
            <w:shd w:val="clear" w:color="auto" w:fill="FFFFFF"/>
          </w:tcPr>
          <w:p w14:paraId="2605953E" w14:textId="77777777" w:rsidR="00D312DE" w:rsidRPr="00612E08" w:rsidRDefault="00D312DE" w:rsidP="00774DA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3F3B2837" w14:textId="77777777" w:rsidR="00D312DE" w:rsidRPr="00612E08" w:rsidRDefault="00D312DE" w:rsidP="00774DA8">
            <w:pPr>
              <w:rPr>
                <w:rFonts w:ascii="Times New Roman" w:eastAsia="Times New Roman" w:hAnsi="Times New Roman" w:cs="Times New Roman"/>
                <w:sz w:val="20"/>
                <w:szCs w:val="20"/>
                <w:lang w:eastAsia="sk-SK"/>
              </w:rPr>
            </w:pPr>
          </w:p>
        </w:tc>
      </w:tr>
      <w:tr w:rsidR="00D312DE" w:rsidRPr="00612E08" w14:paraId="65375F8A" w14:textId="77777777" w:rsidTr="00774DA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DF7C46D" w14:textId="77777777" w:rsidR="00D312DE" w:rsidRPr="00612E08" w:rsidRDefault="00D312DE" w:rsidP="00D312DE">
            <w:pPr>
              <w:widowControl/>
              <w:numPr>
                <w:ilvl w:val="0"/>
                <w:numId w:val="20"/>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D312DE" w:rsidRPr="00612E08" w14:paraId="17D04F75" w14:textId="77777777" w:rsidTr="00774DA8">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D312DE" w:rsidRPr="00612E08" w14:paraId="2CFDCD80" w14:textId="77777777" w:rsidTr="00774DA8">
              <w:trPr>
                <w:trHeight w:val="90"/>
              </w:trPr>
              <w:tc>
                <w:tcPr>
                  <w:tcW w:w="8643" w:type="dxa"/>
                </w:tcPr>
                <w:p w14:paraId="18591816" w14:textId="77777777" w:rsidR="00D312DE" w:rsidRPr="00612E08" w:rsidRDefault="00D312DE" w:rsidP="00774DA8">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D312DE" w:rsidRPr="00612E08" w14:paraId="77FFB626" w14:textId="77777777" w:rsidTr="00774DA8">
              <w:trPr>
                <w:trHeight w:val="296"/>
              </w:trPr>
              <w:tc>
                <w:tcPr>
                  <w:tcW w:w="8643" w:type="dxa"/>
                </w:tcPr>
                <w:p w14:paraId="1FC1623F" w14:textId="77777777" w:rsidR="00D312DE" w:rsidRPr="00612E08" w:rsidRDefault="00D312DE" w:rsidP="00774DA8">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58E2CDF2" w14:textId="77777777" w:rsidR="00D312DE" w:rsidRPr="00612E08" w:rsidRDefault="00D312DE" w:rsidP="00774DA8">
                  <w:pPr>
                    <w:pStyle w:val="Default"/>
                    <w:rPr>
                      <w:i/>
                      <w:iCs/>
                      <w:color w:val="auto"/>
                      <w:sz w:val="20"/>
                      <w:szCs w:val="20"/>
                    </w:rPr>
                  </w:pPr>
                </w:p>
                <w:p w14:paraId="1003AC8F" w14:textId="77777777" w:rsidR="00D312DE" w:rsidRPr="00612E08" w:rsidRDefault="00D312DE" w:rsidP="00774DA8">
                  <w:pPr>
                    <w:pStyle w:val="Default"/>
                    <w:rPr>
                      <w:color w:val="auto"/>
                      <w:sz w:val="20"/>
                      <w:szCs w:val="20"/>
                    </w:rPr>
                  </w:pPr>
                  <w:r w:rsidRPr="00612E08">
                    <w:rPr>
                      <w:i/>
                      <w:iCs/>
                      <w:color w:val="auto"/>
                      <w:sz w:val="20"/>
                      <w:szCs w:val="20"/>
                    </w:rPr>
                    <w:t xml:space="preserve">Ak áno, uveďte, ktorých vplyvov podľa bodu 9 sa goldplating týka: </w:t>
                  </w:r>
                </w:p>
              </w:tc>
            </w:tr>
            <w:tr w:rsidR="00D312DE" w:rsidRPr="00612E08" w14:paraId="00D82061" w14:textId="77777777" w:rsidTr="00774DA8">
              <w:trPr>
                <w:trHeight w:val="296"/>
              </w:trPr>
              <w:tc>
                <w:tcPr>
                  <w:tcW w:w="8643" w:type="dxa"/>
                </w:tcPr>
                <w:p w14:paraId="27FBC598" w14:textId="77777777" w:rsidR="00D312DE" w:rsidRPr="00612E08" w:rsidRDefault="00D312DE" w:rsidP="00774DA8">
                  <w:pPr>
                    <w:pStyle w:val="Default"/>
                    <w:rPr>
                      <w:rFonts w:ascii="Segoe UI Symbol" w:hAnsi="Segoe UI Symbol" w:cs="Segoe UI Symbol"/>
                      <w:color w:val="auto"/>
                      <w:sz w:val="20"/>
                      <w:szCs w:val="20"/>
                    </w:rPr>
                  </w:pPr>
                </w:p>
              </w:tc>
            </w:tr>
          </w:tbl>
          <w:p w14:paraId="7E5ED9A3" w14:textId="77777777" w:rsidR="00D312DE" w:rsidRPr="00612E08" w:rsidRDefault="00D312DE" w:rsidP="00774DA8">
            <w:pPr>
              <w:jc w:val="both"/>
              <w:rPr>
                <w:rFonts w:ascii="Times New Roman" w:eastAsia="Times New Roman" w:hAnsi="Times New Roman" w:cs="Times New Roman"/>
                <w:i/>
                <w:sz w:val="20"/>
                <w:szCs w:val="20"/>
                <w:lang w:eastAsia="sk-SK"/>
              </w:rPr>
            </w:pPr>
          </w:p>
        </w:tc>
      </w:tr>
      <w:tr w:rsidR="00D312DE" w:rsidRPr="00612E08" w14:paraId="63D036D0" w14:textId="77777777" w:rsidTr="00774DA8">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2D8509A8" w14:textId="77777777" w:rsidR="00D312DE" w:rsidRPr="00612E08" w:rsidRDefault="00D312DE" w:rsidP="00774DA8">
            <w:pPr>
              <w:jc w:val="center"/>
              <w:rPr>
                <w:rFonts w:ascii="Times New Roman" w:eastAsia="Times New Roman" w:hAnsi="Times New Roman" w:cs="Times New Roman"/>
                <w:sz w:val="20"/>
                <w:szCs w:val="20"/>
                <w:lang w:eastAsia="sk-SK"/>
              </w:rPr>
            </w:pPr>
          </w:p>
        </w:tc>
      </w:tr>
      <w:tr w:rsidR="00D312DE" w:rsidRPr="00612E08" w14:paraId="677A86AF" w14:textId="77777777" w:rsidTr="00774DA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5D3C006" w14:textId="77777777" w:rsidR="00D312DE" w:rsidRPr="00612E08" w:rsidRDefault="00D312DE" w:rsidP="00D312DE">
            <w:pPr>
              <w:widowControl/>
              <w:numPr>
                <w:ilvl w:val="0"/>
                <w:numId w:val="20"/>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D312DE" w:rsidRPr="00612E08" w14:paraId="05E6B03F" w14:textId="77777777" w:rsidTr="00774DA8">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28DE5FA" w14:textId="77777777" w:rsidR="00D312DE" w:rsidRPr="00612E08" w:rsidRDefault="00D312DE" w:rsidP="00774DA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78BC9211" w14:textId="77777777" w:rsidR="00D312DE" w:rsidRPr="00612E08" w:rsidRDefault="00D312DE" w:rsidP="00774DA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14:paraId="753C85BE" w14:textId="77777777" w:rsidR="00D312DE" w:rsidRDefault="00D312DE" w:rsidP="00774DA8">
            <w:pPr>
              <w:rPr>
                <w:rFonts w:ascii="Times New Roman" w:eastAsia="Times New Roman" w:hAnsi="Times New Roman" w:cs="Times New Roman"/>
                <w:i/>
                <w:sz w:val="20"/>
                <w:szCs w:val="20"/>
                <w:lang w:eastAsia="sk-SK"/>
              </w:rPr>
            </w:pPr>
          </w:p>
          <w:p w14:paraId="2DE3B5B2" w14:textId="77777777" w:rsidR="00D312DE" w:rsidRPr="003400EA" w:rsidRDefault="00D312DE" w:rsidP="00774DA8">
            <w:pPr>
              <w:jc w:val="both"/>
              <w:rPr>
                <w:rFonts w:ascii="Times New Roman" w:eastAsia="Times New Roman" w:hAnsi="Times New Roman" w:cs="Times New Roman"/>
                <w:sz w:val="20"/>
                <w:szCs w:val="20"/>
              </w:rPr>
            </w:pPr>
            <w:r w:rsidRPr="003400EA">
              <w:rPr>
                <w:rFonts w:ascii="Times New Roman" w:eastAsia="Times New Roman" w:hAnsi="Times New Roman" w:cs="Times New Roman"/>
                <w:sz w:val="20"/>
                <w:szCs w:val="20"/>
              </w:rPr>
              <w:t xml:space="preserve">Preskúmanie účelnosti môže byť vykonané v pravidelných </w:t>
            </w:r>
            <w:r>
              <w:rPr>
                <w:rFonts w:ascii="Times New Roman" w:eastAsia="Times New Roman" w:hAnsi="Times New Roman" w:cs="Times New Roman"/>
                <w:sz w:val="20"/>
                <w:szCs w:val="20"/>
              </w:rPr>
              <w:t>tro</w:t>
            </w:r>
            <w:r w:rsidRPr="003400EA">
              <w:rPr>
                <w:rFonts w:ascii="Times New Roman" w:eastAsia="Times New Roman" w:hAnsi="Times New Roman" w:cs="Times New Roman"/>
                <w:sz w:val="20"/>
                <w:szCs w:val="20"/>
              </w:rPr>
              <w:t xml:space="preserve">jročných intervaloch, pričom sa zohľadnia kritériá ako </w:t>
            </w:r>
            <w:r>
              <w:rPr>
                <w:rFonts w:ascii="Times New Roman" w:eastAsia="Times New Roman" w:hAnsi="Times New Roman" w:cs="Times New Roman"/>
                <w:sz w:val="20"/>
                <w:szCs w:val="20"/>
              </w:rPr>
              <w:t xml:space="preserve">zmena pravidiel </w:t>
            </w:r>
            <w:r w:rsidRPr="003400EA">
              <w:rPr>
                <w:rFonts w:ascii="Times New Roman" w:eastAsia="Times New Roman" w:hAnsi="Times New Roman" w:cs="Times New Roman"/>
                <w:sz w:val="20"/>
                <w:szCs w:val="20"/>
              </w:rPr>
              <w:t>Európskej únie</w:t>
            </w:r>
            <w:r>
              <w:rPr>
                <w:rFonts w:ascii="Times New Roman" w:eastAsia="Times New Roman" w:hAnsi="Times New Roman" w:cs="Times New Roman"/>
                <w:sz w:val="20"/>
                <w:szCs w:val="20"/>
              </w:rPr>
              <w:t xml:space="preserve"> v oblasti štátnej pomoci a minimálnej pomoci</w:t>
            </w:r>
            <w:r w:rsidRPr="003400E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výška poskytnutých príspevkov v civilnom letectve</w:t>
            </w:r>
            <w:r w:rsidRPr="003400EA">
              <w:rPr>
                <w:rFonts w:ascii="Times New Roman" w:eastAsia="Times New Roman" w:hAnsi="Times New Roman" w:cs="Times New Roman"/>
                <w:sz w:val="20"/>
                <w:szCs w:val="20"/>
              </w:rPr>
              <w:t xml:space="preserve"> a pod.</w:t>
            </w:r>
          </w:p>
          <w:p w14:paraId="13BE4841" w14:textId="77777777" w:rsidR="00D312DE" w:rsidRPr="00612E08" w:rsidRDefault="00D312DE" w:rsidP="00774DA8">
            <w:pPr>
              <w:rPr>
                <w:rFonts w:ascii="Times New Roman" w:eastAsia="Times New Roman" w:hAnsi="Times New Roman" w:cs="Times New Roman"/>
                <w:i/>
                <w:sz w:val="20"/>
                <w:szCs w:val="20"/>
                <w:lang w:eastAsia="sk-SK"/>
              </w:rPr>
            </w:pPr>
          </w:p>
        </w:tc>
      </w:tr>
      <w:tr w:rsidR="00D312DE" w:rsidRPr="00612E08" w14:paraId="36CA309A" w14:textId="77777777" w:rsidTr="00774DA8">
        <w:tc>
          <w:tcPr>
            <w:tcW w:w="9180" w:type="dxa"/>
            <w:gridSpan w:val="11"/>
            <w:tcBorders>
              <w:top w:val="nil"/>
              <w:left w:val="nil"/>
              <w:bottom w:val="single" w:sz="4" w:space="0" w:color="auto"/>
              <w:right w:val="nil"/>
            </w:tcBorders>
            <w:shd w:val="clear" w:color="auto" w:fill="FFFFFF"/>
          </w:tcPr>
          <w:p w14:paraId="7E041110" w14:textId="77777777" w:rsidR="00D312DE" w:rsidRPr="00612E08" w:rsidRDefault="00D312DE" w:rsidP="00774DA8">
            <w:pPr>
              <w:jc w:val="both"/>
              <w:rPr>
                <w:rFonts w:ascii="Times New Roman" w:eastAsia="Times New Roman" w:hAnsi="Times New Roman" w:cs="Times New Roman"/>
                <w:b/>
                <w:sz w:val="20"/>
                <w:szCs w:val="20"/>
                <w:lang w:eastAsia="sk-SK"/>
              </w:rPr>
            </w:pPr>
          </w:p>
          <w:p w14:paraId="7D0F8B25" w14:textId="77777777" w:rsidR="00D312DE" w:rsidRPr="00612E08" w:rsidRDefault="00D312DE" w:rsidP="00774DA8">
            <w:pPr>
              <w:jc w:val="both"/>
              <w:rPr>
                <w:rFonts w:ascii="Times New Roman" w:eastAsia="Times New Roman" w:hAnsi="Times New Roman" w:cs="Times New Roman"/>
                <w:b/>
                <w:sz w:val="20"/>
                <w:szCs w:val="20"/>
                <w:lang w:eastAsia="sk-SK"/>
              </w:rPr>
            </w:pPr>
          </w:p>
          <w:p w14:paraId="5859FFDA" w14:textId="77777777" w:rsidR="00D312DE" w:rsidRPr="00612E08" w:rsidRDefault="00D312DE" w:rsidP="00774DA8">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0FB94050" w14:textId="77777777" w:rsidR="00D312DE" w:rsidRPr="00612E08" w:rsidRDefault="00D312DE" w:rsidP="00774DA8">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50E5090A" w14:textId="77777777" w:rsidR="00D312DE" w:rsidRPr="00612E08" w:rsidRDefault="00D312DE" w:rsidP="00774DA8">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7D98A583" w14:textId="77777777" w:rsidR="00D312DE" w:rsidRPr="00612E08" w:rsidRDefault="00D312DE" w:rsidP="00774DA8">
            <w:pPr>
              <w:jc w:val="both"/>
              <w:rPr>
                <w:rFonts w:ascii="Times New Roman" w:eastAsia="Times New Roman" w:hAnsi="Times New Roman" w:cs="Times New Roman"/>
                <w:sz w:val="20"/>
                <w:szCs w:val="20"/>
                <w:lang w:eastAsia="sk-SK"/>
              </w:rPr>
            </w:pPr>
          </w:p>
          <w:p w14:paraId="64128D78" w14:textId="77777777" w:rsidR="00D312DE" w:rsidRPr="00612E08" w:rsidRDefault="00D312DE" w:rsidP="00774DA8">
            <w:pPr>
              <w:jc w:val="both"/>
              <w:rPr>
                <w:rFonts w:ascii="Times New Roman" w:eastAsia="Times New Roman" w:hAnsi="Times New Roman" w:cs="Times New Roman"/>
                <w:b/>
                <w:sz w:val="20"/>
                <w:szCs w:val="20"/>
                <w:lang w:eastAsia="sk-SK"/>
              </w:rPr>
            </w:pPr>
          </w:p>
        </w:tc>
      </w:tr>
      <w:tr w:rsidR="00D312DE" w:rsidRPr="00612E08" w14:paraId="645F732B" w14:textId="77777777" w:rsidTr="00774DA8">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5B74F07" w14:textId="77777777" w:rsidR="00D312DE" w:rsidRPr="00612E08" w:rsidRDefault="00D312DE" w:rsidP="00D312DE">
            <w:pPr>
              <w:widowControl/>
              <w:numPr>
                <w:ilvl w:val="0"/>
                <w:numId w:val="20"/>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D312DE" w:rsidRPr="00612E08" w14:paraId="62E16E5E" w14:textId="77777777" w:rsidTr="00774DA8">
        <w:tc>
          <w:tcPr>
            <w:tcW w:w="3812" w:type="dxa"/>
            <w:tcBorders>
              <w:top w:val="single" w:sz="4" w:space="0" w:color="auto"/>
              <w:left w:val="single" w:sz="4" w:space="0" w:color="auto"/>
              <w:bottom w:val="nil"/>
              <w:right w:val="single" w:sz="4" w:space="0" w:color="auto"/>
            </w:tcBorders>
            <w:shd w:val="clear" w:color="auto" w:fill="E2E2E2"/>
          </w:tcPr>
          <w:p w14:paraId="3CD2183B"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b/>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62F86094"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6D9E031A"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61E9E784"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6563A285"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3A5EB3EA" w14:textId="77777777" w:rsidR="00D312DE" w:rsidRPr="00612E08" w:rsidRDefault="00D312DE" w:rsidP="00774DA8">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5E28EB8D" w14:textId="77777777" w:rsidR="00D312DE" w:rsidRPr="00612E08" w:rsidRDefault="00D312DE" w:rsidP="00774DA8">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312DE" w:rsidRPr="00612E08" w14:paraId="3C69A410" w14:textId="77777777" w:rsidTr="00774DA8">
        <w:tc>
          <w:tcPr>
            <w:tcW w:w="3812" w:type="dxa"/>
            <w:tcBorders>
              <w:top w:val="nil"/>
              <w:left w:val="single" w:sz="4" w:space="0" w:color="auto"/>
              <w:bottom w:val="nil"/>
              <w:right w:val="single" w:sz="4" w:space="0" w:color="auto"/>
            </w:tcBorders>
            <w:shd w:val="clear" w:color="auto" w:fill="E2E2E2"/>
          </w:tcPr>
          <w:p w14:paraId="7D53E66F"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16BC2BCF"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4BE964DD"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53CF42C2" w14:textId="77777777" w:rsidR="00D312DE" w:rsidRPr="00612E08" w:rsidRDefault="00D312DE" w:rsidP="00774DA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140E976"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2493DAB" w14:textId="77777777" w:rsidR="00D312DE" w:rsidRPr="00612E08" w:rsidRDefault="00D312DE" w:rsidP="00774DA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ECF8EE2"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BA92BB3" w14:textId="77777777" w:rsidR="00D312DE" w:rsidRPr="00612E08" w:rsidRDefault="00D312DE" w:rsidP="00774DA8">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3FE4353" w14:textId="77777777" w:rsidR="00D312DE" w:rsidRPr="00612E08" w:rsidRDefault="00D312DE" w:rsidP="00774DA8">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D312DE" w:rsidRPr="00612E08" w14:paraId="341EF93F" w14:textId="77777777" w:rsidTr="00774DA8">
        <w:tc>
          <w:tcPr>
            <w:tcW w:w="3812" w:type="dxa"/>
            <w:tcBorders>
              <w:top w:val="nil"/>
              <w:left w:val="single" w:sz="4" w:space="0" w:color="auto"/>
              <w:bottom w:val="nil"/>
              <w:right w:val="single" w:sz="4" w:space="0" w:color="auto"/>
            </w:tcBorders>
            <w:shd w:val="clear" w:color="auto" w:fill="E2E2E2"/>
          </w:tcPr>
          <w:p w14:paraId="3BC7DCA5"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b/>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D686FD1"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A96A8E0"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70D96E44"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60681F30"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1094750243"/>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15815147" w14:textId="77777777" w:rsidR="00D312DE" w:rsidRPr="00612E08" w:rsidRDefault="00D312DE" w:rsidP="00774DA8">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1D17C64B" w14:textId="77777777" w:rsidR="00D312DE" w:rsidRPr="00612E08" w:rsidRDefault="00D312DE" w:rsidP="00774DA8">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312DE" w:rsidRPr="00612E08" w14:paraId="5912AD60" w14:textId="77777777" w:rsidTr="00774DA8">
        <w:tc>
          <w:tcPr>
            <w:tcW w:w="3812" w:type="dxa"/>
            <w:tcBorders>
              <w:top w:val="nil"/>
              <w:left w:val="single" w:sz="4" w:space="0" w:color="auto"/>
              <w:bottom w:val="single" w:sz="4" w:space="0" w:color="auto"/>
              <w:right w:val="single" w:sz="4" w:space="0" w:color="auto"/>
            </w:tcBorders>
            <w:shd w:val="clear" w:color="auto" w:fill="E2E2E2"/>
          </w:tcPr>
          <w:p w14:paraId="234CC319" w14:textId="77777777" w:rsidR="00D312DE" w:rsidRPr="00612E08" w:rsidRDefault="00D312DE" w:rsidP="00774DA8">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52E56E6C" w14:textId="77777777" w:rsidR="00D312DE" w:rsidRPr="00612E08" w:rsidRDefault="00D312DE" w:rsidP="00774DA8">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6CA04FE" w14:textId="77777777" w:rsidR="00D312DE" w:rsidRPr="00612E08" w:rsidRDefault="00D312DE" w:rsidP="00774DA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4F2E635B"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1A68728" w14:textId="77777777" w:rsidR="00D312DE" w:rsidRPr="00612E08" w:rsidRDefault="00D312DE" w:rsidP="00774DA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2C9BCEFE"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060A85C" w14:textId="77777777" w:rsidR="00D312DE" w:rsidRPr="00612E08" w:rsidRDefault="00D312DE" w:rsidP="00774DA8">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727B334" w14:textId="77777777" w:rsidR="00D312DE" w:rsidRPr="00612E08" w:rsidRDefault="00D312DE" w:rsidP="00774DA8">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D312DE" w:rsidRPr="00612E08" w14:paraId="24B02C74" w14:textId="77777777" w:rsidTr="00774DA8">
        <w:tc>
          <w:tcPr>
            <w:tcW w:w="3812" w:type="dxa"/>
            <w:tcBorders>
              <w:top w:val="single" w:sz="4" w:space="0" w:color="auto"/>
              <w:left w:val="single" w:sz="4" w:space="0" w:color="auto"/>
              <w:bottom w:val="single" w:sz="4" w:space="0" w:color="auto"/>
              <w:right w:val="single" w:sz="4" w:space="0" w:color="auto"/>
            </w:tcBorders>
            <w:shd w:val="clear" w:color="auto" w:fill="E2E2E2"/>
          </w:tcPr>
          <w:p w14:paraId="3C9233C3" w14:textId="77777777" w:rsidR="00D312DE" w:rsidRPr="00612E08" w:rsidRDefault="00D312DE" w:rsidP="00774DA8">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FD88B4B" w14:textId="77777777" w:rsidR="00D312DE" w:rsidRPr="00612E08" w:rsidRDefault="00D312DE" w:rsidP="00774DA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16492B7"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A5D417C" w14:textId="77777777" w:rsidR="00D312DE" w:rsidRPr="00612E08" w:rsidRDefault="00D312DE" w:rsidP="00774DA8">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76A60510" w14:textId="77777777" w:rsidR="00D312DE" w:rsidRPr="00612E08" w:rsidRDefault="00D312DE" w:rsidP="00774DA8">
            <w:pPr>
              <w:rPr>
                <w:rFonts w:ascii="Times New Roman" w:eastAsia="Times New Roman" w:hAnsi="Times New Roman" w:cs="Times New Roman"/>
                <w:sz w:val="20"/>
                <w:szCs w:val="20"/>
                <w:lang w:eastAsia="sk-SK"/>
              </w:rPr>
            </w:pPr>
          </w:p>
        </w:tc>
        <w:sdt>
          <w:sdt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A1D40E7" w14:textId="77777777" w:rsidR="00D312DE" w:rsidRPr="00612E08" w:rsidRDefault="00D312DE" w:rsidP="00774DA8">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F4FD521" w14:textId="77777777" w:rsidR="00D312DE" w:rsidRPr="00612E08" w:rsidRDefault="00D312DE" w:rsidP="00774DA8">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D312DE" w:rsidRPr="00612E08" w14:paraId="2CFE5533" w14:textId="77777777" w:rsidTr="00774DA8">
        <w:tc>
          <w:tcPr>
            <w:tcW w:w="3812" w:type="dxa"/>
            <w:tcBorders>
              <w:top w:val="single" w:sz="4" w:space="0" w:color="auto"/>
              <w:left w:val="single" w:sz="4" w:space="0" w:color="auto"/>
              <w:bottom w:val="single" w:sz="4" w:space="0" w:color="auto"/>
              <w:right w:val="single" w:sz="4" w:space="0" w:color="auto"/>
            </w:tcBorders>
            <w:shd w:val="clear" w:color="auto" w:fill="E2E2E2"/>
          </w:tcPr>
          <w:p w14:paraId="15A63356"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b/>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40C31E0" w14:textId="77777777" w:rsidR="00D312DE" w:rsidRPr="00612E08" w:rsidRDefault="00D312DE" w:rsidP="00774DA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2E22ABB"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398DFEEF" w14:textId="77777777" w:rsidR="00D312DE" w:rsidRPr="00612E08" w:rsidRDefault="00D312DE" w:rsidP="00774DA8">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779D6BE"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82FFF2E" w14:textId="77777777" w:rsidR="00D312DE" w:rsidRPr="00612E08" w:rsidRDefault="00D312DE" w:rsidP="00774DA8">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45D5E7B" w14:textId="77777777" w:rsidR="00D312DE" w:rsidRPr="00612E08" w:rsidRDefault="00D312DE" w:rsidP="00774DA8">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D312DE" w:rsidRPr="00612E08" w14:paraId="2EF09A34" w14:textId="77777777" w:rsidTr="00774DA8">
        <w:tc>
          <w:tcPr>
            <w:tcW w:w="3812" w:type="dxa"/>
            <w:tcBorders>
              <w:top w:val="single" w:sz="4" w:space="0" w:color="auto"/>
              <w:left w:val="single" w:sz="4" w:space="0" w:color="auto"/>
              <w:bottom w:val="nil"/>
              <w:right w:val="single" w:sz="4" w:space="0" w:color="auto"/>
            </w:tcBorders>
            <w:shd w:val="clear" w:color="auto" w:fill="E2E2E2"/>
          </w:tcPr>
          <w:p w14:paraId="34174811"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b/>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7C34730A" w14:textId="77777777" w:rsidR="00D312DE" w:rsidRPr="00612E08" w:rsidRDefault="00D312DE" w:rsidP="00774DA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32E2FB0" w14:textId="77777777" w:rsidR="00D312DE" w:rsidRPr="00612E08" w:rsidRDefault="00D312DE" w:rsidP="00774DA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DE81987"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6C28186C"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593DE9E8"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7436118" w14:textId="77777777" w:rsidR="00D312DE" w:rsidRPr="00612E08" w:rsidRDefault="00D312DE" w:rsidP="00774DA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312DE" w:rsidRPr="00612E08" w14:paraId="239631E1" w14:textId="77777777" w:rsidTr="00774DA8">
        <w:tc>
          <w:tcPr>
            <w:tcW w:w="3812" w:type="dxa"/>
            <w:tcBorders>
              <w:top w:val="nil"/>
              <w:left w:val="single" w:sz="4" w:space="0" w:color="000000"/>
              <w:bottom w:val="nil"/>
              <w:right w:val="single" w:sz="4" w:space="0" w:color="000000"/>
            </w:tcBorders>
            <w:shd w:val="clear" w:color="auto" w:fill="E2E2E2"/>
          </w:tcPr>
          <w:p w14:paraId="5F58977A"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64B8144F" w14:textId="77777777" w:rsidR="00D312DE" w:rsidRPr="00612E08" w:rsidRDefault="00D312DE" w:rsidP="00774DA8">
            <w:pPr>
              <w:rPr>
                <w:rFonts w:ascii="Times New Roman" w:eastAsia="Times New Roman" w:hAnsi="Times New Roman" w:cs="Times New Roman"/>
                <w:sz w:val="20"/>
                <w:szCs w:val="20"/>
                <w:lang w:eastAsia="sk-SK"/>
              </w:rPr>
            </w:pPr>
          </w:p>
        </w:tc>
        <w:sdt>
          <w:sdt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4F0179C" w14:textId="77777777" w:rsidR="00D312DE" w:rsidRPr="00612E08" w:rsidRDefault="00D312DE" w:rsidP="00774DA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9C66749" w14:textId="77777777" w:rsidR="00D312DE" w:rsidRPr="00612E08" w:rsidRDefault="00D312DE" w:rsidP="00774DA8">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B75040F" w14:textId="77777777" w:rsidR="00D312DE" w:rsidRPr="00612E08" w:rsidRDefault="00D312DE" w:rsidP="00774DA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3297130"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7E8320E" w14:textId="77777777" w:rsidR="00D312DE" w:rsidRPr="00612E08" w:rsidRDefault="00D312DE" w:rsidP="00774DA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1D5010D" w14:textId="77777777" w:rsidR="00D312DE" w:rsidRPr="00612E08" w:rsidRDefault="00D312DE" w:rsidP="00774DA8">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D312DE" w:rsidRPr="00612E08" w14:paraId="4BE81909" w14:textId="77777777" w:rsidTr="00774DA8">
        <w:tc>
          <w:tcPr>
            <w:tcW w:w="3812" w:type="dxa"/>
            <w:tcBorders>
              <w:top w:val="nil"/>
              <w:left w:val="single" w:sz="4" w:space="0" w:color="auto"/>
              <w:bottom w:val="single" w:sz="4" w:space="0" w:color="auto"/>
              <w:right w:val="single" w:sz="4" w:space="0" w:color="auto"/>
            </w:tcBorders>
            <w:shd w:val="clear" w:color="auto" w:fill="E2E2E2"/>
          </w:tcPr>
          <w:p w14:paraId="54045CA1" w14:textId="77777777" w:rsidR="00D312DE" w:rsidRPr="00612E08" w:rsidRDefault="00D312DE" w:rsidP="00774DA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466268CD"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b/>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85B51EB"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72628F37" w14:textId="77777777" w:rsidR="00D312DE" w:rsidRPr="00612E08" w:rsidRDefault="00D312DE" w:rsidP="00774DA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A1D31EF" w14:textId="77777777" w:rsidR="00D312DE" w:rsidRPr="00612E08" w:rsidRDefault="00D312DE" w:rsidP="00774DA8">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5D116887" w14:textId="77777777" w:rsidR="00D312DE" w:rsidRPr="00612E08" w:rsidRDefault="00D312DE" w:rsidP="00774DA8">
            <w:pPr>
              <w:jc w:val="center"/>
              <w:rPr>
                <w:rFonts w:ascii="Times New Roman" w:eastAsia="Times New Roman" w:hAnsi="Times New Roman" w:cs="Times New Roman"/>
                <w:b/>
                <w:sz w:val="20"/>
                <w:szCs w:val="20"/>
                <w:lang w:eastAsia="sk-SK"/>
              </w:rPr>
            </w:pPr>
          </w:p>
        </w:tc>
        <w:sdt>
          <w:sdtPr>
            <w:rPr>
              <w:b/>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FE3E08D" w14:textId="77777777" w:rsidR="00D312DE" w:rsidRPr="00612E08" w:rsidRDefault="00D312DE" w:rsidP="00774DA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42A756F" w14:textId="77777777" w:rsidR="00D312DE" w:rsidRPr="00612E08" w:rsidRDefault="00D312DE" w:rsidP="00774DA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D312DE" w:rsidRPr="00612E08" w14:paraId="6C7668A6" w14:textId="77777777" w:rsidTr="00774DA8">
        <w:tc>
          <w:tcPr>
            <w:tcW w:w="3812" w:type="dxa"/>
            <w:tcBorders>
              <w:top w:val="single" w:sz="4" w:space="0" w:color="000000"/>
              <w:left w:val="single" w:sz="4" w:space="0" w:color="auto"/>
              <w:bottom w:val="single" w:sz="4" w:space="0" w:color="auto"/>
              <w:right w:val="single" w:sz="4" w:space="0" w:color="auto"/>
            </w:tcBorders>
            <w:shd w:val="clear" w:color="auto" w:fill="E2E2E2"/>
          </w:tcPr>
          <w:p w14:paraId="221555D3"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b/>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78A342E"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C0088D9" w14:textId="77777777" w:rsidR="00D312DE" w:rsidRPr="00612E08" w:rsidRDefault="00D312DE" w:rsidP="00774DA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B8ED941" w14:textId="77777777" w:rsidR="00D312DE" w:rsidRPr="00612E08" w:rsidRDefault="00D312DE" w:rsidP="00774DA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2316628"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C28FAAC"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B259948" w14:textId="77777777" w:rsidR="00D312DE" w:rsidRPr="00612E08" w:rsidRDefault="00D312DE" w:rsidP="00774DA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312DE" w:rsidRPr="00612E08" w14:paraId="6314F929" w14:textId="77777777" w:rsidTr="00774DA8">
        <w:tc>
          <w:tcPr>
            <w:tcW w:w="3812" w:type="dxa"/>
            <w:tcBorders>
              <w:top w:val="single" w:sz="4" w:space="0" w:color="auto"/>
              <w:left w:val="single" w:sz="4" w:space="0" w:color="auto"/>
              <w:bottom w:val="nil"/>
              <w:right w:val="single" w:sz="4" w:space="0" w:color="auto"/>
            </w:tcBorders>
            <w:shd w:val="clear" w:color="auto" w:fill="E2E2E2"/>
          </w:tcPr>
          <w:p w14:paraId="15998E23"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lastRenderedPageBreak/>
              <w:t>Vplyvy na životné prostredie</w:t>
            </w:r>
          </w:p>
        </w:tc>
        <w:sdt>
          <w:sdtPr>
            <w:rPr>
              <w:b/>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EEE827F"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F111B4D" w14:textId="77777777" w:rsidR="00D312DE" w:rsidRPr="00612E08" w:rsidRDefault="00D312DE" w:rsidP="00774DA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E5138A8" w14:textId="77777777" w:rsidR="00D312DE" w:rsidRPr="00612E08" w:rsidRDefault="00D312DE" w:rsidP="00774DA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CF75D25"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8BD45A9"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026298D" w14:textId="77777777" w:rsidR="00D312DE" w:rsidRPr="00612E08" w:rsidRDefault="00D312DE" w:rsidP="00774DA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312DE" w:rsidRPr="00612E08" w14:paraId="1DA9CFC1" w14:textId="77777777" w:rsidTr="00774DA8">
        <w:tc>
          <w:tcPr>
            <w:tcW w:w="3812" w:type="dxa"/>
            <w:tcBorders>
              <w:top w:val="nil"/>
              <w:left w:val="single" w:sz="4" w:space="0" w:color="auto"/>
              <w:bottom w:val="single" w:sz="4" w:space="0" w:color="auto"/>
              <w:right w:val="single" w:sz="4" w:space="0" w:color="auto"/>
            </w:tcBorders>
            <w:shd w:val="clear" w:color="auto" w:fill="E2E2E2"/>
          </w:tcPr>
          <w:p w14:paraId="36A78C29" w14:textId="77777777" w:rsidR="00D312DE" w:rsidRPr="00612E08" w:rsidRDefault="00D312DE" w:rsidP="00774DA8">
            <w:pPr>
              <w:rPr>
                <w:rFonts w:ascii="Times New Roman" w:eastAsia="Times New Roman" w:hAnsi="Times New Roman" w:cs="Times New Roman"/>
                <w:sz w:val="20"/>
                <w:szCs w:val="20"/>
                <w:lang w:eastAsia="sk-SK"/>
              </w:rPr>
            </w:pPr>
          </w:p>
          <w:p w14:paraId="54B8DACF" w14:textId="77777777" w:rsidR="00D312DE" w:rsidRPr="00612E08" w:rsidRDefault="00D312DE" w:rsidP="00774DA8">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b/>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2AF0FD7"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0FF8060" w14:textId="77777777" w:rsidR="00D312DE" w:rsidRPr="00612E08" w:rsidRDefault="00D312DE" w:rsidP="00774DA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4ECB17B" w14:textId="77777777" w:rsidR="00D312DE" w:rsidRPr="00612E08" w:rsidRDefault="00D312DE" w:rsidP="00774DA8">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7615D8E" w14:textId="77777777" w:rsidR="00D312DE" w:rsidRPr="00612E08" w:rsidRDefault="00D312DE" w:rsidP="00774DA8">
            <w:pPr>
              <w:jc w:val="center"/>
              <w:rPr>
                <w:rFonts w:ascii="Times New Roman" w:eastAsia="Times New Roman" w:hAnsi="Times New Roman" w:cs="Times New Roman"/>
                <w:b/>
                <w:sz w:val="20"/>
                <w:szCs w:val="20"/>
                <w:lang w:eastAsia="sk-SK"/>
              </w:rPr>
            </w:pPr>
          </w:p>
        </w:tc>
        <w:sdt>
          <w:sdtPr>
            <w:rPr>
              <w:b/>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D4EC7F5" w14:textId="77777777" w:rsidR="00D312DE" w:rsidRPr="00612E08" w:rsidRDefault="00D312DE" w:rsidP="00774DA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259E4C3" w14:textId="77777777" w:rsidR="00D312DE" w:rsidRPr="00612E08" w:rsidRDefault="00D312DE" w:rsidP="00774DA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D312DE" w:rsidRPr="00612E08" w14:paraId="19474A00" w14:textId="77777777" w:rsidTr="00774DA8">
        <w:tc>
          <w:tcPr>
            <w:tcW w:w="3812" w:type="dxa"/>
            <w:tcBorders>
              <w:top w:val="single" w:sz="4" w:space="0" w:color="auto"/>
              <w:left w:val="single" w:sz="4" w:space="0" w:color="auto"/>
              <w:bottom w:val="single" w:sz="4" w:space="0" w:color="auto"/>
              <w:right w:val="single" w:sz="4" w:space="0" w:color="auto"/>
            </w:tcBorders>
            <w:shd w:val="clear" w:color="auto" w:fill="E2E2E2"/>
          </w:tcPr>
          <w:p w14:paraId="1693DA76"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b/>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1308EF3"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EE8CEF3" w14:textId="77777777" w:rsidR="00D312DE" w:rsidRPr="00612E08" w:rsidRDefault="00D312DE" w:rsidP="00774DA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45835D7" w14:textId="77777777" w:rsidR="00D312DE" w:rsidRPr="00612E08" w:rsidRDefault="00D312DE" w:rsidP="00774DA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71652CC"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E731FD7"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199831A" w14:textId="77777777" w:rsidR="00D312DE" w:rsidRPr="00612E08" w:rsidRDefault="00D312DE" w:rsidP="00774DA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D312DE" w:rsidRPr="00612E08" w14:paraId="2260E181" w14:textId="77777777" w:rsidTr="00774DA8">
        <w:tc>
          <w:tcPr>
            <w:tcW w:w="3812" w:type="dxa"/>
            <w:tcBorders>
              <w:top w:val="single" w:sz="4" w:space="0" w:color="auto"/>
              <w:left w:val="single" w:sz="4" w:space="0" w:color="auto"/>
              <w:bottom w:val="nil"/>
              <w:right w:val="single" w:sz="4" w:space="0" w:color="auto"/>
            </w:tcBorders>
            <w:shd w:val="clear" w:color="auto" w:fill="E2E2E2"/>
          </w:tcPr>
          <w:p w14:paraId="5EEE9566" w14:textId="77777777" w:rsidR="00D312DE" w:rsidRPr="00612E08" w:rsidRDefault="00D312DE" w:rsidP="00774DA8">
            <w:pPr>
              <w:rPr>
                <w:b/>
              </w:rPr>
            </w:pPr>
            <w:r w:rsidRPr="00612E08">
              <w:rPr>
                <w:rFonts w:eastAsia="Calibri"/>
                <w:b/>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01E65B20" w14:textId="77777777" w:rsidR="00D312DE" w:rsidRPr="00612E08" w:rsidRDefault="00D312DE" w:rsidP="00774DA8">
            <w:pPr>
              <w:jc w:val="center"/>
              <w:rPr>
                <w:rFonts w:eastAsia="MS Mincho"/>
                <w:b/>
              </w:rPr>
            </w:pPr>
          </w:p>
        </w:tc>
        <w:tc>
          <w:tcPr>
            <w:tcW w:w="1281" w:type="dxa"/>
            <w:tcBorders>
              <w:top w:val="single" w:sz="4" w:space="0" w:color="auto"/>
              <w:left w:val="nil"/>
              <w:bottom w:val="nil"/>
              <w:right w:val="nil"/>
            </w:tcBorders>
            <w:shd w:val="clear" w:color="auto" w:fill="auto"/>
          </w:tcPr>
          <w:p w14:paraId="7D4291C5" w14:textId="77777777" w:rsidR="00D312DE" w:rsidRPr="00612E08" w:rsidRDefault="00D312DE" w:rsidP="00774DA8">
            <w:pPr>
              <w:ind w:right="-108"/>
              <w:rPr>
                <w:b/>
              </w:rPr>
            </w:pPr>
          </w:p>
        </w:tc>
        <w:tc>
          <w:tcPr>
            <w:tcW w:w="569" w:type="dxa"/>
            <w:gridSpan w:val="2"/>
            <w:tcBorders>
              <w:top w:val="single" w:sz="4" w:space="0" w:color="auto"/>
              <w:left w:val="nil"/>
              <w:bottom w:val="nil"/>
              <w:right w:val="nil"/>
            </w:tcBorders>
            <w:shd w:val="clear" w:color="auto" w:fill="auto"/>
          </w:tcPr>
          <w:p w14:paraId="7DDF26C7" w14:textId="77777777" w:rsidR="00D312DE" w:rsidRPr="00612E08" w:rsidRDefault="00D312DE" w:rsidP="00774DA8">
            <w:pPr>
              <w:jc w:val="center"/>
              <w:rPr>
                <w:rFonts w:eastAsia="MS Mincho"/>
                <w:b/>
              </w:rPr>
            </w:pPr>
          </w:p>
        </w:tc>
        <w:tc>
          <w:tcPr>
            <w:tcW w:w="1133" w:type="dxa"/>
            <w:tcBorders>
              <w:top w:val="single" w:sz="4" w:space="0" w:color="auto"/>
              <w:left w:val="nil"/>
              <w:bottom w:val="nil"/>
              <w:right w:val="nil"/>
            </w:tcBorders>
            <w:shd w:val="clear" w:color="auto" w:fill="auto"/>
          </w:tcPr>
          <w:p w14:paraId="74DFACEE" w14:textId="77777777" w:rsidR="00D312DE" w:rsidRPr="00612E08" w:rsidRDefault="00D312DE" w:rsidP="00774DA8">
            <w:pPr>
              <w:rPr>
                <w:b/>
              </w:rPr>
            </w:pPr>
          </w:p>
        </w:tc>
        <w:tc>
          <w:tcPr>
            <w:tcW w:w="547" w:type="dxa"/>
            <w:tcBorders>
              <w:top w:val="single" w:sz="4" w:space="0" w:color="auto"/>
              <w:left w:val="nil"/>
              <w:bottom w:val="nil"/>
              <w:right w:val="nil"/>
            </w:tcBorders>
            <w:shd w:val="clear" w:color="auto" w:fill="auto"/>
          </w:tcPr>
          <w:p w14:paraId="43FA246A" w14:textId="77777777" w:rsidR="00D312DE" w:rsidRPr="00612E08" w:rsidRDefault="00D312DE" w:rsidP="00774DA8">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14:paraId="6E53DD62" w14:textId="77777777" w:rsidR="00D312DE" w:rsidRPr="00612E08" w:rsidRDefault="00D312DE" w:rsidP="00774DA8">
            <w:pPr>
              <w:ind w:left="54"/>
              <w:rPr>
                <w:b/>
              </w:rPr>
            </w:pPr>
          </w:p>
        </w:tc>
      </w:tr>
      <w:tr w:rsidR="00D312DE" w:rsidRPr="00612E08" w14:paraId="3D6372F7" w14:textId="77777777" w:rsidTr="00774DA8">
        <w:tc>
          <w:tcPr>
            <w:tcW w:w="3812" w:type="dxa"/>
            <w:tcBorders>
              <w:top w:val="nil"/>
              <w:left w:val="single" w:sz="4" w:space="0" w:color="auto"/>
              <w:bottom w:val="nil"/>
              <w:right w:val="single" w:sz="4" w:space="0" w:color="auto"/>
            </w:tcBorders>
            <w:shd w:val="clear" w:color="auto" w:fill="E2E2E2"/>
          </w:tcPr>
          <w:p w14:paraId="79B7D0BA" w14:textId="77777777" w:rsidR="00D312DE" w:rsidRPr="00612E08" w:rsidRDefault="00D312DE" w:rsidP="00774DA8">
            <w:pPr>
              <w:ind w:left="196" w:hanging="196"/>
              <w:rPr>
                <w:rFonts w:eastAsia="Calibri"/>
                <w:b/>
              </w:rPr>
            </w:pPr>
            <w:r w:rsidRPr="00612E08">
              <w:rPr>
                <w:rFonts w:eastAsia="Calibri"/>
                <w:b/>
              </w:rPr>
              <w:t xml:space="preserve">    vplyvy služieb verejnej správy na občana</w:t>
            </w:r>
          </w:p>
        </w:tc>
        <w:sdt>
          <w:sdtPr>
            <w:rPr>
              <w:b/>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BCF589F" w14:textId="77777777" w:rsidR="00D312DE" w:rsidRPr="00612E08" w:rsidRDefault="00D312DE" w:rsidP="00774DA8">
                <w:pPr>
                  <w:jc w:val="center"/>
                  <w:rPr>
                    <w:b/>
                  </w:rPr>
                </w:pPr>
                <w:r w:rsidRPr="00612E08">
                  <w:rPr>
                    <w:rFonts w:ascii="MS Gothic" w:eastAsia="MS Gothic" w:hAnsi="MS Gothic" w:hint="eastAsia"/>
                    <w:b/>
                  </w:rPr>
                  <w:t>☐</w:t>
                </w:r>
              </w:p>
            </w:tc>
          </w:sdtContent>
        </w:sdt>
        <w:tc>
          <w:tcPr>
            <w:tcW w:w="1312" w:type="dxa"/>
            <w:gridSpan w:val="2"/>
            <w:tcBorders>
              <w:top w:val="nil"/>
              <w:left w:val="nil"/>
              <w:bottom w:val="dotted" w:sz="4" w:space="0" w:color="auto"/>
              <w:right w:val="nil"/>
            </w:tcBorders>
            <w:shd w:val="clear" w:color="auto" w:fill="auto"/>
          </w:tcPr>
          <w:p w14:paraId="7C8798B6" w14:textId="77777777" w:rsidR="00D312DE" w:rsidRPr="00612E08" w:rsidRDefault="00D312DE" w:rsidP="00774DA8">
            <w:pPr>
              <w:ind w:right="-108"/>
              <w:rPr>
                <w:b/>
              </w:rPr>
            </w:pPr>
            <w:r w:rsidRPr="00612E08">
              <w:rPr>
                <w:b/>
              </w:rPr>
              <w:t>Pozitívne</w:t>
            </w:r>
          </w:p>
        </w:tc>
        <w:sdt>
          <w:sdtPr>
            <w:rPr>
              <w:b/>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78FA6CDC" w14:textId="77777777" w:rsidR="00D312DE" w:rsidRPr="00612E08" w:rsidRDefault="00D312DE" w:rsidP="00774DA8">
                <w:pPr>
                  <w:jc w:val="center"/>
                  <w:rPr>
                    <w:b/>
                  </w:rPr>
                </w:pPr>
                <w:r>
                  <w:rPr>
                    <w:rFonts w:ascii="MS Gothic" w:eastAsia="MS Gothic" w:hAnsi="MS Gothic" w:hint="eastAsia"/>
                    <w:b/>
                  </w:rPr>
                  <w:t>☒</w:t>
                </w:r>
              </w:p>
            </w:tc>
          </w:sdtContent>
        </w:sdt>
        <w:tc>
          <w:tcPr>
            <w:tcW w:w="1133" w:type="dxa"/>
            <w:tcBorders>
              <w:top w:val="nil"/>
              <w:left w:val="nil"/>
              <w:bottom w:val="dotted" w:sz="4" w:space="0" w:color="auto"/>
              <w:right w:val="nil"/>
            </w:tcBorders>
            <w:shd w:val="clear" w:color="auto" w:fill="auto"/>
          </w:tcPr>
          <w:p w14:paraId="3A2F1FBF" w14:textId="77777777" w:rsidR="00D312DE" w:rsidRPr="00612E08" w:rsidRDefault="00D312DE" w:rsidP="00774DA8">
            <w:pPr>
              <w:rPr>
                <w:b/>
              </w:rPr>
            </w:pPr>
            <w:r w:rsidRPr="00612E08">
              <w:rPr>
                <w:b/>
              </w:rPr>
              <w:t>Žiadne</w:t>
            </w:r>
          </w:p>
        </w:tc>
        <w:sdt>
          <w:sdtPr>
            <w:rPr>
              <w:b/>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3CE1A48D" w14:textId="77777777" w:rsidR="00D312DE" w:rsidRPr="00612E08" w:rsidRDefault="00D312DE" w:rsidP="00774DA8">
                <w:pPr>
                  <w:jc w:val="center"/>
                  <w:rPr>
                    <w:b/>
                  </w:rPr>
                </w:pPr>
                <w:r w:rsidRPr="00612E08">
                  <w:rPr>
                    <w:rFonts w:ascii="MS Gothic" w:eastAsia="MS Gothic" w:hAnsi="MS Gothic" w:hint="eastAsia"/>
                    <w:b/>
                  </w:rPr>
                  <w:t>☐</w:t>
                </w:r>
              </w:p>
            </w:tc>
          </w:sdtContent>
        </w:sdt>
        <w:tc>
          <w:tcPr>
            <w:tcW w:w="1297" w:type="dxa"/>
            <w:tcBorders>
              <w:top w:val="nil"/>
              <w:left w:val="nil"/>
              <w:bottom w:val="dotted" w:sz="4" w:space="0" w:color="auto"/>
              <w:right w:val="single" w:sz="4" w:space="0" w:color="auto"/>
            </w:tcBorders>
            <w:shd w:val="clear" w:color="auto" w:fill="auto"/>
          </w:tcPr>
          <w:p w14:paraId="3772779C" w14:textId="77777777" w:rsidR="00D312DE" w:rsidRPr="00612E08" w:rsidRDefault="00D312DE" w:rsidP="00774DA8">
            <w:pPr>
              <w:ind w:left="54"/>
              <w:rPr>
                <w:b/>
              </w:rPr>
            </w:pPr>
            <w:r w:rsidRPr="00612E08">
              <w:rPr>
                <w:b/>
              </w:rPr>
              <w:t>Negatívne</w:t>
            </w:r>
          </w:p>
        </w:tc>
      </w:tr>
      <w:tr w:rsidR="00D312DE" w:rsidRPr="00612E08" w14:paraId="6FF2AEAF" w14:textId="77777777" w:rsidTr="00774DA8">
        <w:tc>
          <w:tcPr>
            <w:tcW w:w="3812" w:type="dxa"/>
            <w:tcBorders>
              <w:top w:val="nil"/>
              <w:left w:val="single" w:sz="4" w:space="0" w:color="auto"/>
              <w:bottom w:val="nil"/>
              <w:right w:val="single" w:sz="4" w:space="0" w:color="auto"/>
            </w:tcBorders>
            <w:shd w:val="clear" w:color="auto" w:fill="E2E2E2"/>
          </w:tcPr>
          <w:p w14:paraId="2B3E38A9" w14:textId="77777777" w:rsidR="00D312DE" w:rsidRPr="00612E08" w:rsidRDefault="00D312DE" w:rsidP="00774DA8">
            <w:pPr>
              <w:ind w:left="168" w:hanging="168"/>
              <w:rPr>
                <w:rFonts w:eastAsia="Calibri"/>
                <w:b/>
              </w:rPr>
            </w:pPr>
            <w:r w:rsidRPr="00612E08">
              <w:rPr>
                <w:rFonts w:eastAsia="Calibri"/>
                <w:b/>
              </w:rPr>
              <w:t xml:space="preserve">    vplyvy na procesy služieb vo verejnej správe</w:t>
            </w:r>
          </w:p>
        </w:tc>
        <w:sdt>
          <w:sdtPr>
            <w:rPr>
              <w:b/>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D107773" w14:textId="77777777" w:rsidR="00D312DE" w:rsidRPr="00612E08" w:rsidRDefault="00D312DE" w:rsidP="00774DA8">
                <w:pPr>
                  <w:jc w:val="center"/>
                  <w:rPr>
                    <w:b/>
                  </w:rPr>
                </w:pPr>
                <w:r w:rsidRPr="00612E08">
                  <w:rPr>
                    <w:rFonts w:ascii="MS Gothic" w:eastAsia="MS Gothic" w:hAnsi="MS Gothic" w:hint="eastAsia"/>
                    <w:b/>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BC33844" w14:textId="77777777" w:rsidR="00D312DE" w:rsidRPr="00612E08" w:rsidRDefault="00D312DE" w:rsidP="00774DA8">
            <w:pPr>
              <w:ind w:right="-108"/>
              <w:rPr>
                <w:b/>
              </w:rPr>
            </w:pPr>
            <w:r w:rsidRPr="00612E08">
              <w:rPr>
                <w:b/>
              </w:rPr>
              <w:t>Pozitívne</w:t>
            </w:r>
          </w:p>
        </w:tc>
        <w:sdt>
          <w:sdtPr>
            <w:rPr>
              <w:b/>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1B52591B" w14:textId="77777777" w:rsidR="00D312DE" w:rsidRPr="00612E08" w:rsidRDefault="00D312DE" w:rsidP="00774DA8">
                <w:pPr>
                  <w:jc w:val="center"/>
                  <w:rPr>
                    <w:b/>
                  </w:rPr>
                </w:pPr>
                <w:r>
                  <w:rPr>
                    <w:rFonts w:ascii="MS Gothic" w:eastAsia="MS Gothic" w:hAnsi="MS Gothic" w:hint="eastAsia"/>
                    <w:b/>
                  </w:rPr>
                  <w:t>☒</w:t>
                </w:r>
              </w:p>
            </w:tc>
          </w:sdtContent>
        </w:sdt>
        <w:tc>
          <w:tcPr>
            <w:tcW w:w="1133" w:type="dxa"/>
            <w:tcBorders>
              <w:top w:val="dotted" w:sz="4" w:space="0" w:color="auto"/>
              <w:left w:val="nil"/>
              <w:bottom w:val="dotted" w:sz="4" w:space="0" w:color="auto"/>
              <w:right w:val="nil"/>
            </w:tcBorders>
            <w:shd w:val="clear" w:color="auto" w:fill="auto"/>
            <w:vAlign w:val="center"/>
          </w:tcPr>
          <w:p w14:paraId="41311077" w14:textId="77777777" w:rsidR="00D312DE" w:rsidRPr="00612E08" w:rsidRDefault="00D312DE" w:rsidP="00774DA8">
            <w:pPr>
              <w:rPr>
                <w:b/>
              </w:rPr>
            </w:pPr>
            <w:r w:rsidRPr="00612E08">
              <w:rPr>
                <w:b/>
              </w:rPr>
              <w:t>Žiadne</w:t>
            </w:r>
          </w:p>
        </w:tc>
        <w:sdt>
          <w:sdtPr>
            <w:rPr>
              <w:b/>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12516CCA" w14:textId="77777777" w:rsidR="00D312DE" w:rsidRPr="00612E08" w:rsidRDefault="00D312DE" w:rsidP="00774DA8">
                <w:pPr>
                  <w:jc w:val="center"/>
                  <w:rPr>
                    <w:b/>
                  </w:rPr>
                </w:pPr>
                <w:r w:rsidRPr="00612E08">
                  <w:rPr>
                    <w:rFonts w:ascii="MS Gothic" w:eastAsia="MS Gothic" w:hAnsi="MS Gothic" w:hint="eastAsia"/>
                    <w:b/>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58C746C4" w14:textId="77777777" w:rsidR="00D312DE" w:rsidRPr="00612E08" w:rsidRDefault="00D312DE" w:rsidP="00774DA8">
            <w:pPr>
              <w:ind w:left="54"/>
              <w:rPr>
                <w:b/>
              </w:rPr>
            </w:pPr>
            <w:r w:rsidRPr="00612E08">
              <w:rPr>
                <w:b/>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D312DE" w:rsidRPr="00612E08" w14:paraId="2F6DA9B9" w14:textId="77777777" w:rsidTr="00774DA8">
        <w:tc>
          <w:tcPr>
            <w:tcW w:w="3812" w:type="dxa"/>
            <w:tcBorders>
              <w:top w:val="single" w:sz="4" w:space="0" w:color="000000"/>
              <w:left w:val="single" w:sz="4" w:space="0" w:color="auto"/>
              <w:bottom w:val="single" w:sz="4" w:space="0" w:color="auto"/>
              <w:right w:val="single" w:sz="4" w:space="0" w:color="auto"/>
            </w:tcBorders>
            <w:shd w:val="clear" w:color="auto" w:fill="E2E2E2"/>
          </w:tcPr>
          <w:p w14:paraId="4C24557A"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b/>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28F0045C"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AE40B80" w14:textId="77777777" w:rsidR="00D312DE" w:rsidRPr="00612E08" w:rsidRDefault="00D312DE" w:rsidP="00774DA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999EB51" w14:textId="77777777" w:rsidR="00D312DE" w:rsidRPr="00612E08" w:rsidRDefault="00D312DE" w:rsidP="00774DA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0E556A5" w14:textId="77777777" w:rsidR="00D312DE" w:rsidRPr="00612E08" w:rsidRDefault="00D312DE" w:rsidP="00774DA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939D813" w14:textId="77777777" w:rsidR="00D312DE" w:rsidRPr="00612E08" w:rsidRDefault="00D312DE" w:rsidP="00774DA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B232C78" w14:textId="77777777" w:rsidR="00D312DE" w:rsidRPr="00612E08" w:rsidRDefault="00D312DE" w:rsidP="00774DA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1D14E58B" w14:textId="77777777" w:rsidR="00D312DE" w:rsidRPr="00612E08" w:rsidRDefault="00D312DE" w:rsidP="00D312DE">
      <w:pPr>
        <w:ind w:right="141"/>
        <w:rPr>
          <w:b/>
        </w:rPr>
      </w:pPr>
    </w:p>
    <w:tbl>
      <w:tblPr>
        <w:tblStyle w:val="Mriekatabuky1"/>
        <w:tblW w:w="9176" w:type="dxa"/>
        <w:tblLayout w:type="fixed"/>
        <w:tblLook w:val="04A0" w:firstRow="1" w:lastRow="0" w:firstColumn="1" w:lastColumn="0" w:noHBand="0" w:noVBand="1"/>
      </w:tblPr>
      <w:tblGrid>
        <w:gridCol w:w="9176"/>
      </w:tblGrid>
      <w:tr w:rsidR="00D312DE" w:rsidRPr="00612E08" w14:paraId="0D6FFF4E" w14:textId="77777777" w:rsidTr="00774DA8">
        <w:tc>
          <w:tcPr>
            <w:tcW w:w="9176" w:type="dxa"/>
            <w:tcBorders>
              <w:top w:val="single" w:sz="4" w:space="0" w:color="auto"/>
              <w:left w:val="single" w:sz="4" w:space="0" w:color="auto"/>
              <w:bottom w:val="nil"/>
              <w:right w:val="single" w:sz="4" w:space="0" w:color="auto"/>
            </w:tcBorders>
            <w:shd w:val="clear" w:color="auto" w:fill="E2E2E2"/>
          </w:tcPr>
          <w:p w14:paraId="45B6B5FA" w14:textId="77777777" w:rsidR="00D312DE" w:rsidRPr="00612E08" w:rsidRDefault="00D312DE" w:rsidP="00D312DE">
            <w:pPr>
              <w:widowControl/>
              <w:numPr>
                <w:ilvl w:val="0"/>
                <w:numId w:val="20"/>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D312DE" w:rsidRPr="00612E08" w14:paraId="2515B4AE" w14:textId="77777777" w:rsidTr="00774DA8">
        <w:trPr>
          <w:trHeight w:val="713"/>
        </w:trPr>
        <w:tc>
          <w:tcPr>
            <w:tcW w:w="9176" w:type="dxa"/>
            <w:tcBorders>
              <w:top w:val="nil"/>
              <w:left w:val="single" w:sz="4" w:space="0" w:color="auto"/>
              <w:bottom w:val="single" w:sz="4" w:space="0" w:color="FFFFFF"/>
              <w:right w:val="single" w:sz="4" w:space="0" w:color="auto"/>
            </w:tcBorders>
            <w:shd w:val="clear" w:color="auto" w:fill="auto"/>
          </w:tcPr>
          <w:p w14:paraId="1CA211C1" w14:textId="77777777" w:rsidR="00D312DE" w:rsidRPr="00612E08" w:rsidRDefault="00D312DE" w:rsidP="00774DA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108FD85B" w14:textId="77777777" w:rsidR="00D312DE" w:rsidRPr="00612E08" w:rsidRDefault="00D312DE" w:rsidP="00774DA8">
            <w:pPr>
              <w:jc w:val="both"/>
              <w:rPr>
                <w:rFonts w:ascii="Times New Roman" w:eastAsia="Times New Roman" w:hAnsi="Times New Roman" w:cs="Times New Roman"/>
                <w:i/>
                <w:sz w:val="20"/>
                <w:szCs w:val="20"/>
                <w:lang w:eastAsia="sk-SK"/>
              </w:rPr>
            </w:pPr>
          </w:p>
          <w:p w14:paraId="796BDA38" w14:textId="77777777" w:rsidR="00D312DE" w:rsidRPr="00612E08" w:rsidRDefault="00D312DE" w:rsidP="00774DA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399F9B44" w14:textId="77777777" w:rsidR="00D312DE" w:rsidRPr="00612E08" w:rsidRDefault="00D312DE" w:rsidP="00774DA8">
            <w:pPr>
              <w:jc w:val="both"/>
              <w:rPr>
                <w:rFonts w:ascii="Times New Roman" w:eastAsia="Times New Roman" w:hAnsi="Times New Roman" w:cs="Times New Roman"/>
                <w:i/>
                <w:sz w:val="20"/>
                <w:szCs w:val="20"/>
                <w:lang w:eastAsia="sk-SK"/>
              </w:rPr>
            </w:pPr>
          </w:p>
          <w:p w14:paraId="3B146289" w14:textId="77777777" w:rsidR="00D312DE" w:rsidRPr="00612E08" w:rsidRDefault="00D312DE" w:rsidP="00774DA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1814EBA7" w14:textId="77777777" w:rsidR="00D312DE" w:rsidRPr="00612E08" w:rsidRDefault="00D312DE" w:rsidP="00774DA8">
            <w:pPr>
              <w:jc w:val="both"/>
              <w:rPr>
                <w:rFonts w:ascii="Times New Roman" w:eastAsia="Times New Roman" w:hAnsi="Times New Roman" w:cs="Times New Roman"/>
                <w:i/>
                <w:sz w:val="20"/>
                <w:szCs w:val="20"/>
                <w:lang w:eastAsia="sk-SK"/>
              </w:rPr>
            </w:pPr>
          </w:p>
          <w:p w14:paraId="75A11CE3" w14:textId="77777777" w:rsidR="00D312DE" w:rsidRPr="00612E08" w:rsidRDefault="00D312DE" w:rsidP="00774DA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40DE2BA6" w14:textId="77777777" w:rsidR="00D312DE" w:rsidRDefault="00D312DE" w:rsidP="00774DA8">
            <w:pPr>
              <w:jc w:val="both"/>
              <w:rPr>
                <w:rFonts w:ascii="Times New Roman" w:eastAsia="Times New Roman" w:hAnsi="Times New Roman" w:cs="Times New Roman"/>
                <w:i/>
                <w:sz w:val="20"/>
                <w:szCs w:val="20"/>
                <w:lang w:eastAsia="sk-SK"/>
              </w:rPr>
            </w:pPr>
          </w:p>
          <w:p w14:paraId="263D4A76" w14:textId="77777777" w:rsidR="00D312DE" w:rsidRPr="003C0484" w:rsidRDefault="00D312DE" w:rsidP="00774DA8">
            <w:pPr>
              <w:jc w:val="both"/>
              <w:rPr>
                <w:rFonts w:ascii="Times New Roman" w:eastAsia="Times New Roman" w:hAnsi="Times New Roman" w:cs="Times New Roman"/>
                <w:sz w:val="20"/>
                <w:szCs w:val="20"/>
                <w:lang w:eastAsia="sk-SK"/>
              </w:rPr>
            </w:pPr>
            <w:r w:rsidRPr="003C0484">
              <w:rPr>
                <w:rFonts w:ascii="Times New Roman" w:eastAsia="Times New Roman" w:hAnsi="Times New Roman" w:cs="Times New Roman"/>
                <w:sz w:val="20"/>
                <w:szCs w:val="20"/>
                <w:lang w:eastAsia="sk-SK"/>
              </w:rPr>
              <w:t xml:space="preserve">Ministerstvo dopravy Slovenskej republiky (ďalej len „ministerstvo“) môže v súčasnosti podľa zákona č. 213/2019 Z. z. o odplatách a o poskytovaní príspevku v civilnom letectve a o zmene a doplnení niektorých zákonov v znení </w:t>
            </w:r>
            <w:r>
              <w:rPr>
                <w:rFonts w:ascii="Times New Roman" w:eastAsia="Times New Roman" w:hAnsi="Times New Roman" w:cs="Times New Roman"/>
                <w:sz w:val="20"/>
                <w:szCs w:val="20"/>
                <w:lang w:eastAsia="sk-SK"/>
              </w:rPr>
              <w:t xml:space="preserve">neskorších predpisov </w:t>
            </w:r>
            <w:r w:rsidRPr="003C0484">
              <w:rPr>
                <w:rFonts w:ascii="Times New Roman" w:eastAsia="Times New Roman" w:hAnsi="Times New Roman" w:cs="Times New Roman"/>
                <w:sz w:val="20"/>
                <w:szCs w:val="20"/>
                <w:lang w:eastAsia="sk-SK"/>
              </w:rPr>
              <w:t>(ďalej len „zákon č. 213/2019 Z. z.“), podľa možností rozpočtovej kapitoly ministerstva a možností štátneho rozpočtu, poskytovať letiskovým spoločnostiam príspevok v civilnom letectve na bezpečnostnú ochranu letiska, výkon záchranných a</w:t>
            </w:r>
            <w:r>
              <w:rPr>
                <w:rFonts w:ascii="Times New Roman" w:eastAsia="Times New Roman" w:hAnsi="Times New Roman" w:cs="Times New Roman"/>
                <w:sz w:val="20"/>
                <w:szCs w:val="20"/>
                <w:lang w:eastAsia="sk-SK"/>
              </w:rPr>
              <w:t> </w:t>
            </w:r>
            <w:r w:rsidRPr="003C0484">
              <w:rPr>
                <w:rFonts w:ascii="Times New Roman" w:eastAsia="Times New Roman" w:hAnsi="Times New Roman" w:cs="Times New Roman"/>
                <w:sz w:val="20"/>
                <w:szCs w:val="20"/>
                <w:lang w:eastAsia="sk-SK"/>
              </w:rPr>
              <w:t>hasičských služieb na letisku, prevádzku letiskovej infraštruktúry (prevádzková pomoc), investície do letiskovej infraštruktúry (investičná pomoc) a na odbavenie letov oslobodených od odplát.</w:t>
            </w:r>
          </w:p>
          <w:p w14:paraId="185E4B77" w14:textId="77777777" w:rsidR="00D312DE" w:rsidRDefault="00D312DE" w:rsidP="00774DA8">
            <w:pPr>
              <w:jc w:val="both"/>
              <w:rPr>
                <w:rFonts w:ascii="Times New Roman" w:eastAsia="Times New Roman" w:hAnsi="Times New Roman" w:cs="Times New Roman"/>
                <w:sz w:val="20"/>
                <w:szCs w:val="20"/>
                <w:lang w:eastAsia="sk-SK"/>
              </w:rPr>
            </w:pPr>
          </w:p>
          <w:p w14:paraId="7481C95A" w14:textId="77777777" w:rsidR="00D312DE" w:rsidRDefault="00D312DE" w:rsidP="00774DA8">
            <w:pPr>
              <w:jc w:val="both"/>
              <w:rPr>
                <w:rFonts w:ascii="Times New Roman" w:eastAsia="Times New Roman" w:hAnsi="Times New Roman" w:cs="Times New Roman"/>
                <w:sz w:val="20"/>
                <w:szCs w:val="20"/>
                <w:lang w:eastAsia="sk-SK"/>
              </w:rPr>
            </w:pPr>
            <w:r w:rsidRPr="003C0484">
              <w:rPr>
                <w:rFonts w:ascii="Times New Roman" w:eastAsia="Times New Roman" w:hAnsi="Times New Roman" w:cs="Times New Roman"/>
                <w:sz w:val="20"/>
                <w:szCs w:val="20"/>
                <w:lang w:eastAsia="sk-SK"/>
              </w:rPr>
              <w:t>Predmetný návrh zákona dopĺňa do zákona č. 213/2019 Z. z. možnosť poskytnúť príspevok v civilnom letectve z rozpočtovej kapitoly ministerstva</w:t>
            </w:r>
            <w:r>
              <w:rPr>
                <w:rFonts w:ascii="Times New Roman" w:eastAsia="Times New Roman" w:hAnsi="Times New Roman" w:cs="Times New Roman"/>
                <w:sz w:val="20"/>
                <w:szCs w:val="20"/>
                <w:lang w:eastAsia="sk-SK"/>
              </w:rPr>
              <w:t>, vyššieho územného celku alebo obce</w:t>
            </w:r>
            <w:r w:rsidRPr="003C0484">
              <w:rPr>
                <w:rFonts w:ascii="Times New Roman" w:eastAsia="Times New Roman" w:hAnsi="Times New Roman" w:cs="Times New Roman"/>
                <w:sz w:val="20"/>
                <w:szCs w:val="20"/>
                <w:lang w:eastAsia="sk-SK"/>
              </w:rPr>
              <w:t xml:space="preserve"> na podporu vykonávania leteckého spojenia pravidelnej obchodnej leteckej dopravy medzi</w:t>
            </w:r>
            <w:r>
              <w:rPr>
                <w:rFonts w:ascii="Times New Roman" w:eastAsia="Times New Roman" w:hAnsi="Times New Roman" w:cs="Times New Roman"/>
                <w:sz w:val="20"/>
                <w:szCs w:val="20"/>
                <w:lang w:eastAsia="sk-SK"/>
              </w:rPr>
              <w:t xml:space="preserve"> </w:t>
            </w:r>
            <w:r w:rsidRPr="003C0484">
              <w:rPr>
                <w:rFonts w:ascii="Times New Roman" w:eastAsia="Times New Roman" w:hAnsi="Times New Roman" w:cs="Times New Roman"/>
                <w:sz w:val="20"/>
                <w:szCs w:val="20"/>
                <w:lang w:eastAsia="sk-SK"/>
              </w:rPr>
              <w:t>letiskami prevádzkovanými letiskov</w:t>
            </w:r>
            <w:r>
              <w:rPr>
                <w:rFonts w:ascii="Times New Roman" w:eastAsia="Times New Roman" w:hAnsi="Times New Roman" w:cs="Times New Roman"/>
                <w:sz w:val="20"/>
                <w:szCs w:val="20"/>
                <w:lang w:eastAsia="sk-SK"/>
              </w:rPr>
              <w:t>ými</w:t>
            </w:r>
            <w:r w:rsidRPr="003C0484">
              <w:rPr>
                <w:rFonts w:ascii="Times New Roman" w:eastAsia="Times New Roman" w:hAnsi="Times New Roman" w:cs="Times New Roman"/>
                <w:sz w:val="20"/>
                <w:szCs w:val="20"/>
                <w:lang w:eastAsia="sk-SK"/>
              </w:rPr>
              <w:t xml:space="preserve"> spoločnos</w:t>
            </w:r>
            <w:r>
              <w:rPr>
                <w:rFonts w:ascii="Times New Roman" w:eastAsia="Times New Roman" w:hAnsi="Times New Roman" w:cs="Times New Roman"/>
                <w:sz w:val="20"/>
                <w:szCs w:val="20"/>
                <w:lang w:eastAsia="sk-SK"/>
              </w:rPr>
              <w:t>ťami</w:t>
            </w:r>
            <w:r w:rsidRPr="003C0484">
              <w:rPr>
                <w:rFonts w:ascii="Times New Roman" w:eastAsia="Times New Roman" w:hAnsi="Times New Roman" w:cs="Times New Roman"/>
                <w:sz w:val="20"/>
                <w:szCs w:val="20"/>
                <w:lang w:eastAsia="sk-SK"/>
              </w:rPr>
              <w:t xml:space="preserve"> alebo letiskom prevádzkovaným letiskovou spoločnosťou a letiskom na území iného štátu</w:t>
            </w:r>
            <w:r>
              <w:rPr>
                <w:rFonts w:ascii="Times New Roman" w:eastAsia="Times New Roman" w:hAnsi="Times New Roman" w:cs="Times New Roman"/>
                <w:sz w:val="20"/>
                <w:szCs w:val="20"/>
                <w:lang w:eastAsia="sk-SK"/>
              </w:rPr>
              <w:t>.</w:t>
            </w:r>
          </w:p>
          <w:p w14:paraId="32167995" w14:textId="77777777" w:rsidR="00D312DE" w:rsidRDefault="00D312DE" w:rsidP="00774DA8">
            <w:pPr>
              <w:jc w:val="both"/>
              <w:rPr>
                <w:rFonts w:ascii="Times New Roman" w:eastAsia="Times New Roman" w:hAnsi="Times New Roman" w:cs="Times New Roman"/>
                <w:sz w:val="20"/>
                <w:szCs w:val="20"/>
                <w:lang w:eastAsia="sk-SK"/>
              </w:rPr>
            </w:pPr>
          </w:p>
          <w:p w14:paraId="23431495" w14:textId="77777777" w:rsidR="00D312DE" w:rsidRDefault="00D312DE" w:rsidP="00774DA8">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Predmetným návrhom zákona sa umožní realizácia </w:t>
            </w:r>
            <w:r w:rsidRPr="003C0484">
              <w:rPr>
                <w:rFonts w:ascii="Times New Roman" w:eastAsia="Times New Roman" w:hAnsi="Times New Roman" w:cs="Times New Roman"/>
                <w:bCs/>
                <w:sz w:val="20"/>
                <w:szCs w:val="20"/>
                <w:lang w:eastAsia="sk-SK"/>
              </w:rPr>
              <w:t>záväzkov, ktoré Slovenskej republik</w:t>
            </w:r>
            <w:r>
              <w:rPr>
                <w:rFonts w:ascii="Times New Roman" w:eastAsia="Times New Roman" w:hAnsi="Times New Roman" w:cs="Times New Roman"/>
                <w:bCs/>
                <w:sz w:val="20"/>
                <w:szCs w:val="20"/>
                <w:lang w:eastAsia="sk-SK"/>
              </w:rPr>
              <w:t>e</w:t>
            </w:r>
            <w:r w:rsidRPr="003C0484">
              <w:rPr>
                <w:rFonts w:ascii="Times New Roman" w:eastAsia="Times New Roman" w:hAnsi="Times New Roman" w:cs="Times New Roman"/>
                <w:bCs/>
                <w:sz w:val="20"/>
                <w:szCs w:val="20"/>
                <w:lang w:eastAsia="sk-SK"/>
              </w:rPr>
              <w:t xml:space="preserve"> vyplývajú zo schválených investičných zmlúv</w:t>
            </w:r>
            <w:r>
              <w:rPr>
                <w:rFonts w:ascii="Times New Roman" w:eastAsia="Times New Roman" w:hAnsi="Times New Roman" w:cs="Times New Roman"/>
                <w:sz w:val="20"/>
                <w:szCs w:val="20"/>
                <w:lang w:eastAsia="sk-SK"/>
              </w:rPr>
              <w:t xml:space="preserve">, ako napríklad záväzkov vyplývajúcich z </w:t>
            </w:r>
            <w:r w:rsidRPr="003C0484">
              <w:rPr>
                <w:rFonts w:ascii="Times New Roman" w:eastAsia="Times New Roman" w:hAnsi="Times New Roman" w:cs="Times New Roman"/>
                <w:bCs/>
                <w:sz w:val="20"/>
                <w:szCs w:val="20"/>
                <w:lang w:eastAsia="sk-SK"/>
              </w:rPr>
              <w:t>investičnej zmluvy medzi EJL Slovakia s. r. o., Slovenskou republikou zastúpenou Ministerstvom hospodárstva SR a Valaliky Industrial Park, s. r. o., schválen</w:t>
            </w:r>
            <w:r>
              <w:rPr>
                <w:rFonts w:ascii="Times New Roman" w:eastAsia="Times New Roman" w:hAnsi="Times New Roman" w:cs="Times New Roman"/>
                <w:bCs/>
                <w:sz w:val="20"/>
                <w:szCs w:val="20"/>
                <w:lang w:eastAsia="sk-SK"/>
              </w:rPr>
              <w:t>ej</w:t>
            </w:r>
            <w:r w:rsidRPr="003C0484">
              <w:rPr>
                <w:rFonts w:ascii="Times New Roman" w:eastAsia="Times New Roman" w:hAnsi="Times New Roman" w:cs="Times New Roman"/>
                <w:bCs/>
                <w:sz w:val="20"/>
                <w:szCs w:val="20"/>
                <w:lang w:eastAsia="sk-SK"/>
              </w:rPr>
              <w:t xml:space="preserve"> vládou Slovenskej republiky uznesením č. 442</w:t>
            </w:r>
            <w:r w:rsidRPr="003C0484">
              <w:rPr>
                <w:rFonts w:ascii="Times New Roman" w:eastAsia="Times New Roman" w:hAnsi="Times New Roman" w:cs="Times New Roman"/>
                <w:sz w:val="20"/>
                <w:szCs w:val="20"/>
                <w:lang w:eastAsia="sk-SK"/>
              </w:rPr>
              <w:t xml:space="preserve"> zo 7. júla 202</w:t>
            </w:r>
            <w:r>
              <w:rPr>
                <w:rFonts w:ascii="Times New Roman" w:eastAsia="Times New Roman" w:hAnsi="Times New Roman" w:cs="Times New Roman"/>
                <w:sz w:val="20"/>
                <w:szCs w:val="20"/>
                <w:lang w:eastAsia="sk-SK"/>
              </w:rPr>
              <w:t>2</w:t>
            </w:r>
            <w:r w:rsidRPr="003C0484">
              <w:rPr>
                <w:rFonts w:ascii="Times New Roman" w:eastAsia="Times New Roman" w:hAnsi="Times New Roman" w:cs="Times New Roman"/>
                <w:sz w:val="20"/>
                <w:szCs w:val="20"/>
                <w:lang w:eastAsia="sk-SK"/>
              </w:rPr>
              <w:t xml:space="preserve"> </w:t>
            </w:r>
          </w:p>
          <w:p w14:paraId="5F796E98" w14:textId="77777777" w:rsidR="00D312DE" w:rsidRDefault="00D312DE" w:rsidP="00774DA8">
            <w:pPr>
              <w:jc w:val="both"/>
              <w:rPr>
                <w:rFonts w:ascii="Times New Roman" w:eastAsia="Times New Roman" w:hAnsi="Times New Roman" w:cs="Times New Roman"/>
                <w:sz w:val="20"/>
                <w:szCs w:val="20"/>
                <w:lang w:eastAsia="sk-SK"/>
              </w:rPr>
            </w:pPr>
          </w:p>
          <w:p w14:paraId="5094AE96" w14:textId="77777777" w:rsidR="00D312DE" w:rsidRDefault="00D312DE" w:rsidP="00774DA8">
            <w:pPr>
              <w:jc w:val="both"/>
              <w:rPr>
                <w:rFonts w:ascii="Times New Roman" w:eastAsia="Times New Roman" w:hAnsi="Times New Roman" w:cs="Times New Roman"/>
                <w:sz w:val="20"/>
                <w:szCs w:val="20"/>
                <w:lang w:eastAsia="sk-SK"/>
              </w:rPr>
            </w:pPr>
            <w:r w:rsidRPr="003C0484">
              <w:rPr>
                <w:rFonts w:ascii="Times New Roman" w:eastAsia="Times New Roman" w:hAnsi="Times New Roman" w:cs="Times New Roman"/>
                <w:sz w:val="20"/>
                <w:szCs w:val="20"/>
                <w:lang w:eastAsia="sk-SK"/>
              </w:rPr>
              <w:t>Predmetný návrh zákona predpokladá negatívny vp</w:t>
            </w:r>
            <w:r>
              <w:rPr>
                <w:rFonts w:ascii="Times New Roman" w:eastAsia="Times New Roman" w:hAnsi="Times New Roman" w:cs="Times New Roman"/>
                <w:sz w:val="20"/>
                <w:szCs w:val="20"/>
                <w:lang w:eastAsia="sk-SK"/>
              </w:rPr>
              <w:t xml:space="preserve">lyv na rozpočet verejnej správy. Vzhľadom na skutočnosť, že verejné prostriedky na nový účel nie sú zabezpečené v rámci stanovených limitov ministerstva, </w:t>
            </w:r>
            <w:r w:rsidRPr="003C0484">
              <w:rPr>
                <w:rFonts w:ascii="Times New Roman" w:eastAsia="Times New Roman" w:hAnsi="Times New Roman" w:cs="Times New Roman"/>
                <w:bCs/>
                <w:sz w:val="20"/>
                <w:szCs w:val="20"/>
                <w:lang w:eastAsia="sk-SK"/>
              </w:rPr>
              <w:t xml:space="preserve">zvýšené nároky budú </w:t>
            </w:r>
            <w:r>
              <w:rPr>
                <w:rFonts w:ascii="Times New Roman" w:eastAsia="Times New Roman" w:hAnsi="Times New Roman" w:cs="Times New Roman"/>
                <w:bCs/>
                <w:sz w:val="20"/>
                <w:szCs w:val="20"/>
                <w:lang w:eastAsia="sk-SK"/>
              </w:rPr>
              <w:t>predmetom rokovaní medzi m</w:t>
            </w:r>
            <w:r w:rsidRPr="003C0484">
              <w:rPr>
                <w:rFonts w:ascii="Times New Roman" w:eastAsia="Times New Roman" w:hAnsi="Times New Roman" w:cs="Times New Roman"/>
                <w:bCs/>
                <w:sz w:val="20"/>
                <w:szCs w:val="20"/>
                <w:lang w:eastAsia="sk-SK"/>
              </w:rPr>
              <w:t>inisterstvom a Ministerstvom financií Slovenskej republiky v rámci prípravy návrhu rozpočtu verejnej správy na príslušné rozpočtové roky</w:t>
            </w:r>
            <w:r>
              <w:rPr>
                <w:rFonts w:ascii="Times New Roman" w:eastAsia="Times New Roman" w:hAnsi="Times New Roman" w:cs="Times New Roman"/>
                <w:bCs/>
                <w:sz w:val="20"/>
                <w:szCs w:val="20"/>
                <w:lang w:eastAsia="sk-SK"/>
              </w:rPr>
              <w:t>.</w:t>
            </w:r>
          </w:p>
          <w:p w14:paraId="72FA8383" w14:textId="77777777" w:rsidR="00D312DE" w:rsidRDefault="00D312DE" w:rsidP="00774DA8">
            <w:pPr>
              <w:jc w:val="both"/>
              <w:rPr>
                <w:rFonts w:ascii="Times New Roman" w:eastAsia="Times New Roman" w:hAnsi="Times New Roman" w:cs="Times New Roman"/>
                <w:sz w:val="20"/>
                <w:szCs w:val="20"/>
                <w:lang w:eastAsia="sk-SK"/>
              </w:rPr>
            </w:pPr>
          </w:p>
          <w:p w14:paraId="0F941C53" w14:textId="77777777" w:rsidR="00D312DE" w:rsidRPr="00612E08" w:rsidRDefault="00D312DE" w:rsidP="00774DA8">
            <w:pPr>
              <w:jc w:val="both"/>
              <w:rPr>
                <w:rFonts w:ascii="Times New Roman" w:eastAsia="Times New Roman" w:hAnsi="Times New Roman" w:cs="Times New Roman"/>
                <w:i/>
                <w:sz w:val="20"/>
                <w:szCs w:val="20"/>
                <w:lang w:eastAsia="sk-SK"/>
              </w:rPr>
            </w:pPr>
            <w:r w:rsidRPr="003400EA">
              <w:rPr>
                <w:rFonts w:ascii="Times New Roman" w:eastAsia="Times New Roman" w:hAnsi="Times New Roman" w:cs="Times New Roman"/>
                <w:sz w:val="20"/>
                <w:szCs w:val="20"/>
                <w:lang w:eastAsia="sk-SK"/>
              </w:rPr>
              <w:t>Návrhom zákona nie je možné jednoznačne kvantifikovať charakter a </w:t>
            </w:r>
            <w:r>
              <w:rPr>
                <w:rFonts w:ascii="Times New Roman" w:eastAsia="Times New Roman" w:hAnsi="Times New Roman" w:cs="Times New Roman"/>
                <w:sz w:val="20"/>
                <w:szCs w:val="20"/>
                <w:lang w:eastAsia="sk-SK"/>
              </w:rPr>
              <w:t xml:space="preserve">rozsah celkových </w:t>
            </w:r>
            <w:r w:rsidRPr="003400EA">
              <w:rPr>
                <w:rFonts w:ascii="Times New Roman" w:eastAsia="Times New Roman" w:hAnsi="Times New Roman" w:cs="Times New Roman"/>
                <w:sz w:val="20"/>
                <w:szCs w:val="20"/>
                <w:lang w:eastAsia="sk-SK"/>
              </w:rPr>
              <w:t xml:space="preserve">prínosov, keďže nie je možné konkrétne určiť počet </w:t>
            </w:r>
            <w:r>
              <w:rPr>
                <w:rFonts w:ascii="Times New Roman" w:eastAsia="Times New Roman" w:hAnsi="Times New Roman" w:cs="Times New Roman"/>
                <w:sz w:val="20"/>
                <w:szCs w:val="20"/>
                <w:lang w:eastAsia="sk-SK"/>
              </w:rPr>
              <w:t>leteckých dopravcov a počet leteckých spojení, ktoré bude možné podporiť poskytnutím príspevku v civilnom letectve na navrhovaný účel.</w:t>
            </w:r>
            <w:r w:rsidRPr="003400EA">
              <w:rPr>
                <w:rFonts w:ascii="Times New Roman" w:eastAsia="Times New Roman" w:hAnsi="Times New Roman" w:cs="Times New Roman"/>
                <w:sz w:val="20"/>
                <w:szCs w:val="20"/>
                <w:lang w:eastAsia="sk-SK"/>
              </w:rPr>
              <w:t xml:space="preserve"> </w:t>
            </w:r>
          </w:p>
          <w:p w14:paraId="400F46A3" w14:textId="77777777" w:rsidR="00D312DE" w:rsidRPr="00612E08" w:rsidRDefault="00D312DE" w:rsidP="00774DA8">
            <w:pPr>
              <w:contextualSpacing/>
              <w:rPr>
                <w:rFonts w:ascii="Times New Roman" w:eastAsia="Calibri" w:hAnsi="Times New Roman" w:cs="Times New Roman"/>
                <w:b/>
              </w:rPr>
            </w:pPr>
          </w:p>
        </w:tc>
      </w:tr>
      <w:tr w:rsidR="00D312DE" w:rsidRPr="00612E08" w14:paraId="2E9CF96A" w14:textId="77777777" w:rsidTr="00774DA8">
        <w:tc>
          <w:tcPr>
            <w:tcW w:w="9176" w:type="dxa"/>
            <w:tcBorders>
              <w:top w:val="single" w:sz="4" w:space="0" w:color="auto"/>
              <w:left w:val="single" w:sz="4" w:space="0" w:color="auto"/>
              <w:bottom w:val="single" w:sz="4" w:space="0" w:color="FFFFFF"/>
              <w:right w:val="single" w:sz="4" w:space="0" w:color="auto"/>
            </w:tcBorders>
            <w:shd w:val="clear" w:color="auto" w:fill="E2E2E2"/>
          </w:tcPr>
          <w:p w14:paraId="4CC14C67" w14:textId="77777777" w:rsidR="00D312DE" w:rsidRPr="00612E08" w:rsidRDefault="00D312DE" w:rsidP="00D312DE">
            <w:pPr>
              <w:widowControl/>
              <w:numPr>
                <w:ilvl w:val="0"/>
                <w:numId w:val="20"/>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D312DE" w:rsidRPr="00612E08" w14:paraId="654BD8CF" w14:textId="77777777" w:rsidTr="00774DA8">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71923DC" w14:textId="77777777" w:rsidR="00D312DE" w:rsidRDefault="00D312DE" w:rsidP="00774DA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Uveďte údaje na kontaktnú osobu, ktorú je možné kontaktovať v súvislosti s posúdením vybraných vplyvov.</w:t>
            </w:r>
          </w:p>
          <w:p w14:paraId="7A818C47" w14:textId="77777777" w:rsidR="00D312DE" w:rsidRDefault="00D312DE" w:rsidP="00774DA8">
            <w:pPr>
              <w:rPr>
                <w:rFonts w:ascii="Times New Roman" w:eastAsia="Times New Roman" w:hAnsi="Times New Roman" w:cs="Times New Roman"/>
                <w:i/>
                <w:sz w:val="20"/>
                <w:szCs w:val="20"/>
                <w:lang w:eastAsia="sk-SK"/>
              </w:rPr>
            </w:pPr>
          </w:p>
          <w:p w14:paraId="56EF8C6F" w14:textId="77777777" w:rsidR="00D312DE" w:rsidRPr="00EB4B65" w:rsidRDefault="00D312DE" w:rsidP="00774DA8">
            <w:pPr>
              <w:rPr>
                <w:rFonts w:ascii="Times New Roman" w:eastAsia="Times New Roman" w:hAnsi="Times New Roman" w:cs="Times New Roman"/>
                <w:sz w:val="20"/>
                <w:szCs w:val="20"/>
                <w:lang w:eastAsia="sk-SK"/>
              </w:rPr>
            </w:pPr>
            <w:r w:rsidRPr="00EB4B65">
              <w:rPr>
                <w:rFonts w:ascii="Times New Roman" w:eastAsia="Times New Roman" w:hAnsi="Times New Roman" w:cs="Times New Roman"/>
                <w:sz w:val="20"/>
                <w:szCs w:val="20"/>
                <w:lang w:eastAsia="sk-SK"/>
              </w:rPr>
              <w:t xml:space="preserve">Michal Hýsek, </w:t>
            </w:r>
            <w:r>
              <w:rPr>
                <w:rFonts w:ascii="Times New Roman" w:eastAsia="Times New Roman" w:hAnsi="Times New Roman" w:cs="Times New Roman"/>
                <w:sz w:val="20"/>
                <w:szCs w:val="20"/>
                <w:lang w:eastAsia="sk-SK"/>
              </w:rPr>
              <w:t>odbor</w:t>
            </w:r>
            <w:r w:rsidRPr="00EB4B65">
              <w:rPr>
                <w:rFonts w:ascii="Times New Roman" w:eastAsia="Times New Roman" w:hAnsi="Times New Roman" w:cs="Times New Roman"/>
                <w:sz w:val="20"/>
                <w:szCs w:val="20"/>
                <w:lang w:eastAsia="sk-SK"/>
              </w:rPr>
              <w:t xml:space="preserve"> civilného letectva, Ministerstvo dopravy Slovenskej republiky, 02/59494617, </w:t>
            </w:r>
            <w:hyperlink r:id="rId8" w:history="1">
              <w:r w:rsidRPr="00EB4B65">
                <w:rPr>
                  <w:rStyle w:val="Hypertextovprepojenie"/>
                  <w:rFonts w:ascii="Times New Roman" w:eastAsia="Times New Roman" w:hAnsi="Times New Roman" w:cs="Times New Roman"/>
                  <w:sz w:val="20"/>
                  <w:szCs w:val="20"/>
                  <w:lang w:eastAsia="sk-SK"/>
                </w:rPr>
                <w:t>michal.hysek@mindop.sk</w:t>
              </w:r>
            </w:hyperlink>
          </w:p>
          <w:p w14:paraId="3EEB55EA" w14:textId="77777777" w:rsidR="00D312DE" w:rsidRPr="003C0484" w:rsidRDefault="00D312DE" w:rsidP="00774DA8">
            <w:pPr>
              <w:rPr>
                <w:rFonts w:ascii="Times New Roman" w:eastAsia="Times New Roman" w:hAnsi="Times New Roman" w:cs="Times New Roman"/>
                <w:sz w:val="20"/>
                <w:szCs w:val="20"/>
                <w:lang w:eastAsia="sk-SK"/>
              </w:rPr>
            </w:pPr>
          </w:p>
        </w:tc>
      </w:tr>
      <w:tr w:rsidR="00D312DE" w:rsidRPr="00612E08" w14:paraId="2D535E57" w14:textId="77777777" w:rsidTr="00774DA8">
        <w:tc>
          <w:tcPr>
            <w:tcW w:w="9176" w:type="dxa"/>
            <w:tcBorders>
              <w:top w:val="single" w:sz="4" w:space="0" w:color="auto"/>
              <w:left w:val="single" w:sz="4" w:space="0" w:color="auto"/>
              <w:bottom w:val="single" w:sz="4" w:space="0" w:color="FFFFFF"/>
              <w:right w:val="single" w:sz="4" w:space="0" w:color="auto"/>
            </w:tcBorders>
            <w:shd w:val="clear" w:color="auto" w:fill="E2E2E2"/>
          </w:tcPr>
          <w:p w14:paraId="29C95F22" w14:textId="77777777" w:rsidR="00D312DE" w:rsidRPr="00612E08" w:rsidRDefault="00D312DE" w:rsidP="00D312DE">
            <w:pPr>
              <w:widowControl/>
              <w:numPr>
                <w:ilvl w:val="0"/>
                <w:numId w:val="20"/>
              </w:numPr>
              <w:autoSpaceDE/>
              <w:autoSpaceDN/>
              <w:adjustRightInd/>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D312DE" w:rsidRPr="00612E08" w14:paraId="7427B8E7" w14:textId="77777777" w:rsidTr="00774DA8">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256F1EA" w14:textId="77777777" w:rsidR="00D312DE" w:rsidRPr="00612E08" w:rsidRDefault="00D312DE" w:rsidP="00774DA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14:paraId="0C8B94B3" w14:textId="77777777" w:rsidR="00D312DE" w:rsidRDefault="00D312DE" w:rsidP="00774DA8">
            <w:pPr>
              <w:rPr>
                <w:rFonts w:ascii="Times New Roman" w:eastAsia="Times New Roman" w:hAnsi="Times New Roman" w:cs="Times New Roman"/>
                <w:i/>
                <w:sz w:val="20"/>
                <w:szCs w:val="20"/>
                <w:lang w:eastAsia="sk-SK"/>
              </w:rPr>
            </w:pPr>
          </w:p>
          <w:p w14:paraId="61D43FB6" w14:textId="77777777" w:rsidR="00D312DE" w:rsidRPr="00EB4B65" w:rsidRDefault="00D312DE" w:rsidP="00774DA8">
            <w:pPr>
              <w:jc w:val="both"/>
              <w:rPr>
                <w:rFonts w:ascii="Times New Roman" w:eastAsia="Times New Roman" w:hAnsi="Times New Roman" w:cs="Times New Roman"/>
                <w:sz w:val="20"/>
                <w:szCs w:val="20"/>
                <w:lang w:eastAsia="sk-SK"/>
              </w:rPr>
            </w:pPr>
            <w:r w:rsidRPr="00EB4B65">
              <w:rPr>
                <w:rFonts w:ascii="Times New Roman" w:eastAsia="Times New Roman" w:hAnsi="Times New Roman" w:cs="Times New Roman"/>
                <w:sz w:val="20"/>
                <w:szCs w:val="20"/>
                <w:lang w:eastAsia="sk-SK"/>
              </w:rPr>
              <w:t>Pri výpočte výdavkov v rámci vplyvov na rozpočet verejnej správy - poskytovanie príspevku v civilnom letectve na</w:t>
            </w:r>
            <w:r>
              <w:rPr>
                <w:rFonts w:ascii="Times New Roman" w:eastAsia="Times New Roman" w:hAnsi="Times New Roman" w:cs="Times New Roman"/>
                <w:sz w:val="20"/>
                <w:szCs w:val="20"/>
                <w:lang w:eastAsia="sk-SK"/>
              </w:rPr>
              <w:t xml:space="preserve"> navrhovaný</w:t>
            </w:r>
            <w:r w:rsidRPr="00EB4B65">
              <w:rPr>
                <w:rFonts w:ascii="Times New Roman" w:eastAsia="Times New Roman" w:hAnsi="Times New Roman" w:cs="Times New Roman"/>
                <w:sz w:val="20"/>
                <w:szCs w:val="20"/>
                <w:lang w:eastAsia="sk-SK"/>
              </w:rPr>
              <w:t xml:space="preserve"> účel boli zohľadnené </w:t>
            </w:r>
            <w:r>
              <w:rPr>
                <w:rFonts w:ascii="Times New Roman" w:eastAsia="Times New Roman" w:hAnsi="Times New Roman" w:cs="Times New Roman"/>
                <w:sz w:val="20"/>
                <w:szCs w:val="20"/>
                <w:lang w:eastAsia="sk-SK"/>
              </w:rPr>
              <w:t>informácie od letiskových spoločností vyplývajúce z návrhov podnikateľských plánov za posledné roky, ako aj na základe realizácie nových leteckých spojení.</w:t>
            </w:r>
          </w:p>
          <w:p w14:paraId="269D1B29" w14:textId="77777777" w:rsidR="00D312DE" w:rsidRPr="00612E08" w:rsidRDefault="00D312DE" w:rsidP="00774DA8">
            <w:pPr>
              <w:rPr>
                <w:rFonts w:ascii="Times New Roman" w:eastAsia="Times New Roman" w:hAnsi="Times New Roman" w:cs="Times New Roman"/>
                <w:b/>
                <w:sz w:val="20"/>
                <w:szCs w:val="20"/>
                <w:lang w:eastAsia="sk-SK"/>
              </w:rPr>
            </w:pPr>
          </w:p>
        </w:tc>
      </w:tr>
      <w:tr w:rsidR="00D312DE" w:rsidRPr="00612E08" w14:paraId="00C407E8" w14:textId="77777777" w:rsidTr="00774DA8">
        <w:tc>
          <w:tcPr>
            <w:tcW w:w="9176" w:type="dxa"/>
            <w:tcBorders>
              <w:top w:val="single" w:sz="4" w:space="0" w:color="auto"/>
              <w:left w:val="single" w:sz="4" w:space="0" w:color="auto"/>
              <w:bottom w:val="single" w:sz="4" w:space="0" w:color="FFFFFF"/>
              <w:right w:val="single" w:sz="4" w:space="0" w:color="auto"/>
            </w:tcBorders>
            <w:shd w:val="clear" w:color="auto" w:fill="E2E2E2"/>
          </w:tcPr>
          <w:p w14:paraId="32ED5AEC" w14:textId="77777777" w:rsidR="00D312DE" w:rsidRPr="00612E08" w:rsidRDefault="00D312DE" w:rsidP="00D312DE">
            <w:pPr>
              <w:widowControl/>
              <w:numPr>
                <w:ilvl w:val="0"/>
                <w:numId w:val="20"/>
              </w:numPr>
              <w:autoSpaceDE/>
              <w:autoSpaceDN/>
              <w:adjustRightInd/>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56C5E3E1" w14:textId="77777777" w:rsidR="00D312DE" w:rsidRPr="00612E08" w:rsidRDefault="00D312DE" w:rsidP="00774DA8">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D312DE" w:rsidRPr="00612E08" w14:paraId="7C0BCC72" w14:textId="77777777" w:rsidTr="00774DA8">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B700899" w14:textId="77777777" w:rsidR="00D312DE" w:rsidRPr="00612E08" w:rsidRDefault="00D312DE" w:rsidP="00774DA8">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D312DE" w:rsidRPr="00612E08" w14:paraId="3C7FEF06" w14:textId="77777777" w:rsidTr="00774DA8">
              <w:trPr>
                <w:trHeight w:val="396"/>
              </w:trPr>
              <w:tc>
                <w:tcPr>
                  <w:tcW w:w="2552" w:type="dxa"/>
                </w:tcPr>
                <w:p w14:paraId="1406D411" w14:textId="77777777" w:rsidR="00D312DE" w:rsidRPr="00612E08" w:rsidRDefault="00685F21" w:rsidP="00774DA8">
                  <w:pPr>
                    <w:rPr>
                      <w:rFonts w:ascii="Times New Roman" w:eastAsia="Times New Roman" w:hAnsi="Times New Roman" w:cs="Times New Roman"/>
                      <w:b/>
                      <w:sz w:val="20"/>
                      <w:szCs w:val="20"/>
                      <w:lang w:eastAsia="sk-SK"/>
                    </w:rPr>
                  </w:pPr>
                  <w:sdt>
                    <w:sdtPr>
                      <w:rPr>
                        <w:b/>
                      </w:rPr>
                      <w:id w:val="-1874910888"/>
                      <w14:checkbox>
                        <w14:checked w14:val="0"/>
                        <w14:checkedState w14:val="2612" w14:font="MS Gothic"/>
                        <w14:uncheckedState w14:val="2610" w14:font="MS Gothic"/>
                      </w14:checkbox>
                    </w:sdtPr>
                    <w:sdtEndPr/>
                    <w:sdtContent>
                      <w:r w:rsidR="00D312DE" w:rsidRPr="00612E08">
                        <w:rPr>
                          <w:rFonts w:ascii="MS Gothic" w:eastAsia="MS Gothic" w:hAnsi="MS Gothic" w:cs="Times New Roman" w:hint="eastAsia"/>
                          <w:b/>
                          <w:sz w:val="20"/>
                          <w:szCs w:val="20"/>
                          <w:lang w:eastAsia="sk-SK"/>
                        </w:rPr>
                        <w:t>☐</w:t>
                      </w:r>
                    </w:sdtContent>
                  </w:sdt>
                  <w:r w:rsidR="00D312DE" w:rsidRPr="00612E08">
                    <w:rPr>
                      <w:rFonts w:ascii="Times New Roman" w:eastAsia="Times New Roman" w:hAnsi="Times New Roman" w:cs="Times New Roman"/>
                      <w:b/>
                      <w:sz w:val="20"/>
                      <w:szCs w:val="20"/>
                      <w:lang w:eastAsia="sk-SK"/>
                    </w:rPr>
                    <w:t xml:space="preserve">  Súhlasné </w:t>
                  </w:r>
                </w:p>
              </w:tc>
              <w:tc>
                <w:tcPr>
                  <w:tcW w:w="3827" w:type="dxa"/>
                </w:tcPr>
                <w:p w14:paraId="65024034" w14:textId="77777777" w:rsidR="00D312DE" w:rsidRPr="00612E08" w:rsidRDefault="00685F21" w:rsidP="00774DA8">
                  <w:pPr>
                    <w:rPr>
                      <w:rFonts w:ascii="Times New Roman" w:eastAsia="Times New Roman" w:hAnsi="Times New Roman" w:cs="Times New Roman"/>
                      <w:b/>
                      <w:sz w:val="20"/>
                      <w:szCs w:val="20"/>
                      <w:lang w:eastAsia="sk-SK"/>
                    </w:rPr>
                  </w:pPr>
                  <w:sdt>
                    <w:sdtPr>
                      <w:rPr>
                        <w:b/>
                      </w:rPr>
                      <w:id w:val="1697888127"/>
                      <w14:checkbox>
                        <w14:checked w14:val="0"/>
                        <w14:checkedState w14:val="2612" w14:font="MS Gothic"/>
                        <w14:uncheckedState w14:val="2610" w14:font="MS Gothic"/>
                      </w14:checkbox>
                    </w:sdtPr>
                    <w:sdtEndPr/>
                    <w:sdtContent>
                      <w:r w:rsidR="00D312DE" w:rsidRPr="00612E08">
                        <w:rPr>
                          <w:rFonts w:ascii="MS Gothic" w:eastAsia="MS Gothic" w:hAnsi="MS Gothic" w:cs="Times New Roman" w:hint="eastAsia"/>
                          <w:b/>
                          <w:sz w:val="20"/>
                          <w:szCs w:val="20"/>
                          <w:lang w:eastAsia="sk-SK"/>
                        </w:rPr>
                        <w:t>☐</w:t>
                      </w:r>
                    </w:sdtContent>
                  </w:sdt>
                  <w:r w:rsidR="00D312DE"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2265F54A" w14:textId="77777777" w:rsidR="00D312DE" w:rsidRPr="00612E08" w:rsidRDefault="00685F21" w:rsidP="00774DA8">
                  <w:pPr>
                    <w:ind w:right="459"/>
                    <w:rPr>
                      <w:rFonts w:ascii="Times New Roman" w:eastAsia="Times New Roman" w:hAnsi="Times New Roman" w:cs="Times New Roman"/>
                      <w:b/>
                      <w:sz w:val="20"/>
                      <w:szCs w:val="20"/>
                      <w:lang w:eastAsia="sk-SK"/>
                    </w:rPr>
                  </w:pPr>
                  <w:sdt>
                    <w:sdtPr>
                      <w:rPr>
                        <w:b/>
                      </w:rPr>
                      <w:id w:val="-647822913"/>
                      <w14:checkbox>
                        <w14:checked w14:val="0"/>
                        <w14:checkedState w14:val="2612" w14:font="MS Gothic"/>
                        <w14:uncheckedState w14:val="2610" w14:font="MS Gothic"/>
                      </w14:checkbox>
                    </w:sdtPr>
                    <w:sdtEndPr/>
                    <w:sdtContent>
                      <w:r w:rsidR="00D312DE" w:rsidRPr="00612E08">
                        <w:rPr>
                          <w:rFonts w:ascii="MS Gothic" w:eastAsia="MS Gothic" w:hAnsi="MS Gothic" w:cs="Times New Roman" w:hint="eastAsia"/>
                          <w:b/>
                          <w:sz w:val="20"/>
                          <w:szCs w:val="20"/>
                          <w:lang w:eastAsia="sk-SK"/>
                        </w:rPr>
                        <w:t>☐</w:t>
                      </w:r>
                    </w:sdtContent>
                  </w:sdt>
                  <w:r w:rsidR="00D312DE" w:rsidRPr="00612E08">
                    <w:rPr>
                      <w:rFonts w:ascii="Times New Roman" w:eastAsia="Times New Roman" w:hAnsi="Times New Roman" w:cs="Times New Roman"/>
                      <w:b/>
                      <w:sz w:val="20"/>
                      <w:szCs w:val="20"/>
                      <w:lang w:eastAsia="sk-SK"/>
                    </w:rPr>
                    <w:t xml:space="preserve">  Nesúhlasné</w:t>
                  </w:r>
                </w:p>
              </w:tc>
            </w:tr>
          </w:tbl>
          <w:p w14:paraId="13019C8A" w14:textId="77777777" w:rsidR="00D312DE" w:rsidRPr="00612E08" w:rsidRDefault="00D312DE" w:rsidP="00774DA8">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3FDF0810" w14:textId="77777777" w:rsidR="00D312DE" w:rsidRPr="00612E08" w:rsidRDefault="00D312DE" w:rsidP="00774DA8">
            <w:pPr>
              <w:rPr>
                <w:rFonts w:ascii="Times New Roman" w:eastAsia="Times New Roman" w:hAnsi="Times New Roman" w:cs="Times New Roman"/>
                <w:b/>
                <w:sz w:val="20"/>
                <w:szCs w:val="20"/>
                <w:lang w:eastAsia="sk-SK"/>
              </w:rPr>
            </w:pPr>
          </w:p>
          <w:p w14:paraId="6A4534E9" w14:textId="77777777" w:rsidR="00D312DE" w:rsidRPr="00612E08" w:rsidRDefault="00D312DE" w:rsidP="00774DA8">
            <w:pPr>
              <w:rPr>
                <w:rFonts w:ascii="Times New Roman" w:eastAsia="Times New Roman" w:hAnsi="Times New Roman" w:cs="Times New Roman"/>
                <w:b/>
                <w:sz w:val="20"/>
                <w:szCs w:val="20"/>
                <w:lang w:eastAsia="sk-SK"/>
              </w:rPr>
            </w:pPr>
          </w:p>
        </w:tc>
      </w:tr>
      <w:tr w:rsidR="00D312DE" w:rsidRPr="00612E08" w14:paraId="3AE9EDE7" w14:textId="77777777" w:rsidTr="00774DA8">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BAF30A4" w14:textId="77777777" w:rsidR="00D312DE" w:rsidRPr="00612E08" w:rsidRDefault="00D312DE" w:rsidP="00D312DE">
            <w:pPr>
              <w:widowControl/>
              <w:numPr>
                <w:ilvl w:val="0"/>
                <w:numId w:val="20"/>
              </w:numPr>
              <w:autoSpaceDE/>
              <w:autoSpaceDN/>
              <w:adjustRightInd/>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D312DE" w:rsidRPr="00612E08" w14:paraId="212CE884" w14:textId="77777777" w:rsidTr="00774DA8">
        <w:tblPrEx>
          <w:tblBorders>
            <w:insideH w:val="single" w:sz="4" w:space="0" w:color="FFFFFF"/>
            <w:insideV w:val="single" w:sz="4" w:space="0" w:color="FFFFFF"/>
          </w:tblBorders>
        </w:tblPrEx>
        <w:tc>
          <w:tcPr>
            <w:tcW w:w="9176" w:type="dxa"/>
            <w:shd w:val="clear" w:color="auto" w:fill="FFFFFF"/>
          </w:tcPr>
          <w:p w14:paraId="3B58872B" w14:textId="77777777" w:rsidR="00D312DE" w:rsidRPr="00612E08" w:rsidRDefault="00D312DE" w:rsidP="00774DA8">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D312DE" w:rsidRPr="00612E08" w14:paraId="0EB4DBDA" w14:textId="77777777" w:rsidTr="00774DA8">
              <w:trPr>
                <w:trHeight w:val="396"/>
              </w:trPr>
              <w:tc>
                <w:tcPr>
                  <w:tcW w:w="2552" w:type="dxa"/>
                </w:tcPr>
                <w:p w14:paraId="4E4644B4" w14:textId="77777777" w:rsidR="00D312DE" w:rsidRPr="00612E08" w:rsidRDefault="00685F21" w:rsidP="00774DA8">
                  <w:pPr>
                    <w:rPr>
                      <w:rFonts w:ascii="Times New Roman" w:eastAsia="Times New Roman" w:hAnsi="Times New Roman" w:cs="Times New Roman"/>
                      <w:b/>
                      <w:sz w:val="20"/>
                      <w:szCs w:val="20"/>
                      <w:lang w:eastAsia="sk-SK"/>
                    </w:rPr>
                  </w:pPr>
                  <w:sdt>
                    <w:sdtPr>
                      <w:rPr>
                        <w:b/>
                      </w:rPr>
                      <w:id w:val="888232876"/>
                      <w14:checkbox>
                        <w14:checked w14:val="0"/>
                        <w14:checkedState w14:val="2612" w14:font="MS Gothic"/>
                        <w14:uncheckedState w14:val="2610" w14:font="MS Gothic"/>
                      </w14:checkbox>
                    </w:sdtPr>
                    <w:sdtEndPr/>
                    <w:sdtContent>
                      <w:r w:rsidR="00D312DE" w:rsidRPr="00612E08">
                        <w:rPr>
                          <w:rFonts w:ascii="MS Gothic" w:eastAsia="MS Gothic" w:hAnsi="MS Gothic" w:cs="Times New Roman" w:hint="eastAsia"/>
                          <w:b/>
                          <w:sz w:val="20"/>
                          <w:szCs w:val="20"/>
                          <w:lang w:eastAsia="sk-SK"/>
                        </w:rPr>
                        <w:t>☐</w:t>
                      </w:r>
                    </w:sdtContent>
                  </w:sdt>
                  <w:r w:rsidR="00D312DE" w:rsidRPr="00612E08">
                    <w:rPr>
                      <w:rFonts w:ascii="Times New Roman" w:eastAsia="Times New Roman" w:hAnsi="Times New Roman" w:cs="Times New Roman"/>
                      <w:b/>
                      <w:sz w:val="20"/>
                      <w:szCs w:val="20"/>
                      <w:lang w:eastAsia="sk-SK"/>
                    </w:rPr>
                    <w:t xml:space="preserve">   Súhlasné </w:t>
                  </w:r>
                </w:p>
              </w:tc>
              <w:tc>
                <w:tcPr>
                  <w:tcW w:w="3827" w:type="dxa"/>
                </w:tcPr>
                <w:p w14:paraId="78C67D30" w14:textId="77777777" w:rsidR="00D312DE" w:rsidRPr="00612E08" w:rsidRDefault="00685F21" w:rsidP="00774DA8">
                  <w:pPr>
                    <w:rPr>
                      <w:rFonts w:ascii="Times New Roman" w:eastAsia="Times New Roman" w:hAnsi="Times New Roman" w:cs="Times New Roman"/>
                      <w:b/>
                      <w:sz w:val="20"/>
                      <w:szCs w:val="20"/>
                      <w:lang w:eastAsia="sk-SK"/>
                    </w:rPr>
                  </w:pPr>
                  <w:sdt>
                    <w:sdtPr>
                      <w:rPr>
                        <w:b/>
                      </w:rPr>
                      <w:id w:val="953831761"/>
                      <w14:checkbox>
                        <w14:checked w14:val="0"/>
                        <w14:checkedState w14:val="2612" w14:font="MS Gothic"/>
                        <w14:uncheckedState w14:val="2610" w14:font="MS Gothic"/>
                      </w14:checkbox>
                    </w:sdtPr>
                    <w:sdtEndPr/>
                    <w:sdtContent>
                      <w:r w:rsidR="00D312DE" w:rsidRPr="00612E08">
                        <w:rPr>
                          <w:rFonts w:ascii="MS Gothic" w:eastAsia="MS Gothic" w:hAnsi="MS Gothic" w:cs="Times New Roman" w:hint="eastAsia"/>
                          <w:b/>
                          <w:sz w:val="20"/>
                          <w:szCs w:val="20"/>
                          <w:lang w:eastAsia="sk-SK"/>
                        </w:rPr>
                        <w:t>☐</w:t>
                      </w:r>
                    </w:sdtContent>
                  </w:sdt>
                  <w:r w:rsidR="00D312DE"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71BD856F" w14:textId="77777777" w:rsidR="00D312DE" w:rsidRPr="00612E08" w:rsidRDefault="00685F21" w:rsidP="00774DA8">
                  <w:pPr>
                    <w:ind w:right="459"/>
                    <w:rPr>
                      <w:rFonts w:ascii="Times New Roman" w:eastAsia="Times New Roman" w:hAnsi="Times New Roman" w:cs="Times New Roman"/>
                      <w:b/>
                      <w:sz w:val="20"/>
                      <w:szCs w:val="20"/>
                      <w:lang w:eastAsia="sk-SK"/>
                    </w:rPr>
                  </w:pPr>
                  <w:sdt>
                    <w:sdtPr>
                      <w:rPr>
                        <w:b/>
                      </w:rPr>
                      <w:id w:val="-361740452"/>
                      <w14:checkbox>
                        <w14:checked w14:val="0"/>
                        <w14:checkedState w14:val="2612" w14:font="MS Gothic"/>
                        <w14:uncheckedState w14:val="2610" w14:font="MS Gothic"/>
                      </w14:checkbox>
                    </w:sdtPr>
                    <w:sdtEndPr/>
                    <w:sdtContent>
                      <w:r w:rsidR="00D312DE" w:rsidRPr="00612E08">
                        <w:rPr>
                          <w:rFonts w:ascii="MS Gothic" w:eastAsia="MS Gothic" w:hAnsi="MS Gothic" w:cs="Times New Roman" w:hint="eastAsia"/>
                          <w:b/>
                          <w:sz w:val="20"/>
                          <w:szCs w:val="20"/>
                          <w:lang w:eastAsia="sk-SK"/>
                        </w:rPr>
                        <w:t>☐</w:t>
                      </w:r>
                    </w:sdtContent>
                  </w:sdt>
                  <w:r w:rsidR="00D312DE" w:rsidRPr="00612E08">
                    <w:rPr>
                      <w:rFonts w:ascii="Times New Roman" w:eastAsia="Times New Roman" w:hAnsi="Times New Roman" w:cs="Times New Roman"/>
                      <w:b/>
                      <w:sz w:val="20"/>
                      <w:szCs w:val="20"/>
                      <w:lang w:eastAsia="sk-SK"/>
                    </w:rPr>
                    <w:t xml:space="preserve">  Nesúhlasné</w:t>
                  </w:r>
                </w:p>
              </w:tc>
            </w:tr>
          </w:tbl>
          <w:p w14:paraId="4B62FCA8" w14:textId="77777777" w:rsidR="00D312DE" w:rsidRPr="00612E08" w:rsidRDefault="00D312DE" w:rsidP="00774DA8">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2F83974B" w14:textId="77777777" w:rsidR="00D312DE" w:rsidRPr="00612E08" w:rsidRDefault="00D312DE" w:rsidP="00774DA8">
            <w:pPr>
              <w:rPr>
                <w:rFonts w:ascii="Times New Roman" w:eastAsia="Times New Roman" w:hAnsi="Times New Roman" w:cs="Times New Roman"/>
                <w:b/>
                <w:sz w:val="20"/>
                <w:szCs w:val="20"/>
                <w:lang w:eastAsia="sk-SK"/>
              </w:rPr>
            </w:pPr>
          </w:p>
          <w:p w14:paraId="664FDF0D" w14:textId="77777777" w:rsidR="00D312DE" w:rsidRPr="00612E08" w:rsidRDefault="00D312DE" w:rsidP="00774DA8">
            <w:pPr>
              <w:rPr>
                <w:rFonts w:ascii="Times New Roman" w:eastAsia="Times New Roman" w:hAnsi="Times New Roman" w:cs="Times New Roman"/>
                <w:b/>
                <w:sz w:val="20"/>
                <w:szCs w:val="20"/>
                <w:lang w:eastAsia="sk-SK"/>
              </w:rPr>
            </w:pPr>
          </w:p>
        </w:tc>
      </w:tr>
    </w:tbl>
    <w:p w14:paraId="52E0CDEB" w14:textId="77777777" w:rsidR="00D312DE" w:rsidRPr="00612E08" w:rsidRDefault="00D312DE" w:rsidP="00D312DE"/>
    <w:p w14:paraId="0B58C2A9" w14:textId="27C9D22D" w:rsidR="00D312DE" w:rsidRDefault="00D312DE">
      <w:pPr>
        <w:widowControl/>
        <w:autoSpaceDE/>
        <w:autoSpaceDN/>
        <w:adjustRightInd/>
        <w:rPr>
          <w:b/>
          <w:bCs/>
          <w:sz w:val="24"/>
          <w:szCs w:val="24"/>
        </w:rPr>
      </w:pPr>
      <w:r>
        <w:rPr>
          <w:b/>
          <w:bCs/>
          <w:sz w:val="24"/>
          <w:szCs w:val="24"/>
        </w:rPr>
        <w:br w:type="page"/>
      </w:r>
    </w:p>
    <w:p w14:paraId="64EB9735" w14:textId="77777777" w:rsidR="00D312DE" w:rsidRPr="007B7470" w:rsidRDefault="00D312DE" w:rsidP="00D312DE">
      <w:pPr>
        <w:jc w:val="center"/>
        <w:rPr>
          <w:b/>
          <w:bCs/>
          <w:sz w:val="28"/>
          <w:szCs w:val="28"/>
        </w:rPr>
      </w:pPr>
      <w:r w:rsidRPr="007B7470">
        <w:rPr>
          <w:b/>
          <w:bCs/>
          <w:sz w:val="28"/>
          <w:szCs w:val="28"/>
        </w:rPr>
        <w:lastRenderedPageBreak/>
        <w:t>Analýza vplyvov na rozpočet verejnej správy,</w:t>
      </w:r>
    </w:p>
    <w:p w14:paraId="3D14A74B" w14:textId="77777777" w:rsidR="00D312DE" w:rsidRPr="007B7470" w:rsidRDefault="00D312DE" w:rsidP="00D312DE">
      <w:pPr>
        <w:jc w:val="center"/>
        <w:rPr>
          <w:b/>
          <w:bCs/>
          <w:sz w:val="28"/>
          <w:szCs w:val="28"/>
        </w:rPr>
      </w:pPr>
      <w:r w:rsidRPr="007B7470">
        <w:rPr>
          <w:b/>
          <w:bCs/>
          <w:sz w:val="28"/>
          <w:szCs w:val="28"/>
        </w:rPr>
        <w:t>na zamestnanosť vo verejnej správe a financovanie návrhu</w:t>
      </w:r>
    </w:p>
    <w:p w14:paraId="5C62B652" w14:textId="77777777" w:rsidR="00D312DE" w:rsidRPr="007B7470" w:rsidRDefault="00D312DE" w:rsidP="00D312DE">
      <w:pPr>
        <w:jc w:val="right"/>
        <w:rPr>
          <w:b/>
          <w:bCs/>
          <w:sz w:val="24"/>
          <w:szCs w:val="24"/>
        </w:rPr>
      </w:pPr>
    </w:p>
    <w:p w14:paraId="51F94BF8" w14:textId="77777777" w:rsidR="00D312DE" w:rsidRPr="007B7470" w:rsidRDefault="00D312DE" w:rsidP="00D312DE">
      <w:pPr>
        <w:jc w:val="right"/>
        <w:rPr>
          <w:b/>
          <w:bCs/>
          <w:sz w:val="24"/>
          <w:szCs w:val="24"/>
        </w:rPr>
      </w:pPr>
    </w:p>
    <w:p w14:paraId="63E43D50" w14:textId="77777777" w:rsidR="00D312DE" w:rsidRPr="007B7470" w:rsidRDefault="00D312DE" w:rsidP="00D312DE">
      <w:pPr>
        <w:rPr>
          <w:b/>
          <w:bCs/>
          <w:sz w:val="24"/>
          <w:szCs w:val="24"/>
        </w:rPr>
      </w:pPr>
      <w:r w:rsidRPr="007B7470">
        <w:rPr>
          <w:b/>
          <w:bCs/>
          <w:sz w:val="24"/>
          <w:szCs w:val="24"/>
        </w:rPr>
        <w:t>2.1 Zhrnutie vplyvov na rozpočet verejnej správy v návrhu</w:t>
      </w:r>
    </w:p>
    <w:p w14:paraId="46110632" w14:textId="77777777" w:rsidR="00D312DE" w:rsidRPr="007B7470" w:rsidRDefault="00D312DE" w:rsidP="00D312DE">
      <w:pPr>
        <w:jc w:val="right"/>
      </w:pPr>
      <w:r w:rsidRPr="007B7470">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D312DE" w:rsidRPr="007B7470" w14:paraId="50DE0425" w14:textId="77777777" w:rsidTr="00774DA8">
        <w:trPr>
          <w:cantSplit/>
          <w:trHeight w:val="194"/>
          <w:jc w:val="center"/>
        </w:trPr>
        <w:tc>
          <w:tcPr>
            <w:tcW w:w="4661" w:type="dxa"/>
            <w:vMerge w:val="restart"/>
            <w:shd w:val="clear" w:color="auto" w:fill="BFBFBF" w:themeFill="background1" w:themeFillShade="BF"/>
            <w:vAlign w:val="center"/>
          </w:tcPr>
          <w:p w14:paraId="162787BB" w14:textId="77777777" w:rsidR="00D312DE" w:rsidRPr="007B7470" w:rsidRDefault="00D312DE" w:rsidP="00774DA8">
            <w:pPr>
              <w:jc w:val="center"/>
              <w:rPr>
                <w:b/>
                <w:bCs/>
                <w:sz w:val="24"/>
                <w:szCs w:val="24"/>
              </w:rPr>
            </w:pPr>
            <w:bookmarkStart w:id="0" w:name="OLE_LINK1"/>
            <w:r w:rsidRPr="007B7470">
              <w:rPr>
                <w:b/>
                <w:bCs/>
                <w:sz w:val="24"/>
                <w:szCs w:val="24"/>
              </w:rPr>
              <w:t>Vplyvy na rozpočet verejnej správy</w:t>
            </w:r>
          </w:p>
        </w:tc>
        <w:tc>
          <w:tcPr>
            <w:tcW w:w="5068" w:type="dxa"/>
            <w:gridSpan w:val="4"/>
            <w:shd w:val="clear" w:color="auto" w:fill="BFBFBF" w:themeFill="background1" w:themeFillShade="BF"/>
            <w:vAlign w:val="center"/>
          </w:tcPr>
          <w:p w14:paraId="058EC311" w14:textId="77777777" w:rsidR="00D312DE" w:rsidRPr="007B7470" w:rsidRDefault="00D312DE" w:rsidP="00774DA8">
            <w:pPr>
              <w:jc w:val="center"/>
              <w:rPr>
                <w:b/>
                <w:bCs/>
                <w:sz w:val="24"/>
                <w:szCs w:val="24"/>
              </w:rPr>
            </w:pPr>
            <w:r w:rsidRPr="007B7470">
              <w:rPr>
                <w:b/>
                <w:bCs/>
                <w:sz w:val="24"/>
                <w:szCs w:val="24"/>
              </w:rPr>
              <w:t>Vplyv na rozpočet verejnej správy (v eurách)</w:t>
            </w:r>
          </w:p>
        </w:tc>
      </w:tr>
      <w:tr w:rsidR="00D312DE" w:rsidRPr="007B7470" w14:paraId="224128E3" w14:textId="77777777" w:rsidTr="00774DA8">
        <w:trPr>
          <w:cantSplit/>
          <w:trHeight w:val="70"/>
          <w:jc w:val="center"/>
        </w:trPr>
        <w:tc>
          <w:tcPr>
            <w:tcW w:w="4661" w:type="dxa"/>
            <w:vMerge/>
            <w:shd w:val="clear" w:color="auto" w:fill="BFBFBF" w:themeFill="background1" w:themeFillShade="BF"/>
            <w:vAlign w:val="center"/>
          </w:tcPr>
          <w:p w14:paraId="7051D648" w14:textId="77777777" w:rsidR="00D312DE" w:rsidRPr="007B7470" w:rsidRDefault="00D312DE" w:rsidP="00774DA8">
            <w:pPr>
              <w:jc w:val="center"/>
              <w:rPr>
                <w:b/>
                <w:bCs/>
                <w:sz w:val="24"/>
                <w:szCs w:val="24"/>
              </w:rPr>
            </w:pPr>
          </w:p>
        </w:tc>
        <w:tc>
          <w:tcPr>
            <w:tcW w:w="1267" w:type="dxa"/>
            <w:shd w:val="clear" w:color="auto" w:fill="BFBFBF" w:themeFill="background1" w:themeFillShade="BF"/>
            <w:vAlign w:val="center"/>
          </w:tcPr>
          <w:p w14:paraId="0E967601" w14:textId="77777777" w:rsidR="00D312DE" w:rsidRPr="007B7470" w:rsidRDefault="00D312DE" w:rsidP="00774DA8">
            <w:pPr>
              <w:jc w:val="center"/>
              <w:rPr>
                <w:b/>
                <w:bCs/>
                <w:sz w:val="24"/>
                <w:szCs w:val="24"/>
              </w:rPr>
            </w:pPr>
            <w:r>
              <w:rPr>
                <w:b/>
                <w:bCs/>
                <w:sz w:val="24"/>
                <w:szCs w:val="24"/>
              </w:rPr>
              <w:t>2024</w:t>
            </w:r>
          </w:p>
        </w:tc>
        <w:tc>
          <w:tcPr>
            <w:tcW w:w="1267" w:type="dxa"/>
            <w:shd w:val="clear" w:color="auto" w:fill="BFBFBF" w:themeFill="background1" w:themeFillShade="BF"/>
            <w:vAlign w:val="center"/>
          </w:tcPr>
          <w:p w14:paraId="3D39C2EE" w14:textId="77777777" w:rsidR="00D312DE" w:rsidRPr="007B7470" w:rsidRDefault="00D312DE" w:rsidP="00774DA8">
            <w:pPr>
              <w:jc w:val="center"/>
              <w:rPr>
                <w:b/>
                <w:bCs/>
                <w:sz w:val="24"/>
                <w:szCs w:val="24"/>
              </w:rPr>
            </w:pPr>
            <w:r>
              <w:rPr>
                <w:b/>
                <w:bCs/>
                <w:sz w:val="24"/>
                <w:szCs w:val="24"/>
              </w:rPr>
              <w:t>2025</w:t>
            </w:r>
          </w:p>
        </w:tc>
        <w:tc>
          <w:tcPr>
            <w:tcW w:w="1267" w:type="dxa"/>
            <w:shd w:val="clear" w:color="auto" w:fill="BFBFBF" w:themeFill="background1" w:themeFillShade="BF"/>
            <w:vAlign w:val="center"/>
          </w:tcPr>
          <w:p w14:paraId="6BF7F1A2" w14:textId="77777777" w:rsidR="00D312DE" w:rsidRPr="007B7470" w:rsidRDefault="00D312DE" w:rsidP="00774DA8">
            <w:pPr>
              <w:jc w:val="center"/>
              <w:rPr>
                <w:b/>
                <w:bCs/>
                <w:sz w:val="24"/>
                <w:szCs w:val="24"/>
              </w:rPr>
            </w:pPr>
            <w:r>
              <w:rPr>
                <w:b/>
                <w:bCs/>
                <w:sz w:val="24"/>
                <w:szCs w:val="24"/>
              </w:rPr>
              <w:t>2026</w:t>
            </w:r>
          </w:p>
        </w:tc>
        <w:tc>
          <w:tcPr>
            <w:tcW w:w="1267" w:type="dxa"/>
            <w:shd w:val="clear" w:color="auto" w:fill="BFBFBF" w:themeFill="background1" w:themeFillShade="BF"/>
            <w:vAlign w:val="center"/>
          </w:tcPr>
          <w:p w14:paraId="21FDD781" w14:textId="77777777" w:rsidR="00D312DE" w:rsidRPr="007B7470" w:rsidRDefault="00D312DE" w:rsidP="00774DA8">
            <w:pPr>
              <w:jc w:val="center"/>
              <w:rPr>
                <w:b/>
                <w:bCs/>
                <w:sz w:val="24"/>
                <w:szCs w:val="24"/>
              </w:rPr>
            </w:pPr>
            <w:r>
              <w:rPr>
                <w:b/>
                <w:bCs/>
                <w:sz w:val="24"/>
                <w:szCs w:val="24"/>
              </w:rPr>
              <w:t>2027</w:t>
            </w:r>
          </w:p>
        </w:tc>
      </w:tr>
      <w:tr w:rsidR="00D312DE" w:rsidRPr="007B7470" w14:paraId="3518B72C" w14:textId="77777777" w:rsidTr="00774DA8">
        <w:trPr>
          <w:trHeight w:val="70"/>
          <w:jc w:val="center"/>
        </w:trPr>
        <w:tc>
          <w:tcPr>
            <w:tcW w:w="4661" w:type="dxa"/>
            <w:shd w:val="clear" w:color="auto" w:fill="C0C0C0"/>
            <w:noWrap/>
            <w:vAlign w:val="center"/>
          </w:tcPr>
          <w:p w14:paraId="38CA48B5" w14:textId="77777777" w:rsidR="00D312DE" w:rsidRPr="007B7470" w:rsidRDefault="00D312DE" w:rsidP="00774DA8">
            <w:pPr>
              <w:rPr>
                <w:sz w:val="24"/>
                <w:szCs w:val="24"/>
              </w:rPr>
            </w:pPr>
            <w:r w:rsidRPr="007B7470">
              <w:rPr>
                <w:b/>
                <w:bCs/>
                <w:sz w:val="24"/>
                <w:szCs w:val="24"/>
              </w:rPr>
              <w:t>Príjmy verejnej správy celkom</w:t>
            </w:r>
          </w:p>
        </w:tc>
        <w:tc>
          <w:tcPr>
            <w:tcW w:w="1267" w:type="dxa"/>
            <w:shd w:val="clear" w:color="auto" w:fill="C0C0C0"/>
            <w:vAlign w:val="center"/>
          </w:tcPr>
          <w:p w14:paraId="43542317"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C0C0C0"/>
            <w:vAlign w:val="center"/>
          </w:tcPr>
          <w:p w14:paraId="0DD3134F"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C0C0C0"/>
            <w:vAlign w:val="center"/>
          </w:tcPr>
          <w:p w14:paraId="75986B07"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C0C0C0"/>
            <w:vAlign w:val="center"/>
          </w:tcPr>
          <w:p w14:paraId="734EE79F" w14:textId="77777777" w:rsidR="00D312DE" w:rsidRPr="00821494" w:rsidRDefault="00D312DE" w:rsidP="00774DA8">
            <w:pPr>
              <w:jc w:val="right"/>
              <w:rPr>
                <w:b/>
                <w:bCs/>
                <w:sz w:val="18"/>
                <w:szCs w:val="18"/>
              </w:rPr>
            </w:pPr>
            <w:r w:rsidRPr="00821494">
              <w:rPr>
                <w:b/>
                <w:bCs/>
                <w:sz w:val="18"/>
                <w:szCs w:val="18"/>
              </w:rPr>
              <w:t>0</w:t>
            </w:r>
          </w:p>
        </w:tc>
      </w:tr>
      <w:tr w:rsidR="00D312DE" w:rsidRPr="007B7470" w14:paraId="48B19136" w14:textId="77777777" w:rsidTr="00774DA8">
        <w:trPr>
          <w:trHeight w:val="132"/>
          <w:jc w:val="center"/>
        </w:trPr>
        <w:tc>
          <w:tcPr>
            <w:tcW w:w="4661" w:type="dxa"/>
            <w:noWrap/>
            <w:vAlign w:val="center"/>
          </w:tcPr>
          <w:p w14:paraId="1037E8EE" w14:textId="77777777" w:rsidR="00D312DE" w:rsidRPr="007B7470" w:rsidRDefault="00D312DE" w:rsidP="00774DA8">
            <w:pPr>
              <w:rPr>
                <w:sz w:val="24"/>
                <w:szCs w:val="24"/>
              </w:rPr>
            </w:pPr>
            <w:r w:rsidRPr="007B7470">
              <w:rPr>
                <w:sz w:val="24"/>
                <w:szCs w:val="24"/>
              </w:rPr>
              <w:t>v tom: za každý subjekt verejnej správy zvlášť</w:t>
            </w:r>
          </w:p>
        </w:tc>
        <w:tc>
          <w:tcPr>
            <w:tcW w:w="1267" w:type="dxa"/>
            <w:noWrap/>
            <w:vAlign w:val="center"/>
          </w:tcPr>
          <w:p w14:paraId="4BEFB30C"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45B4C33A"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42B2692D"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5179CCC5" w14:textId="77777777" w:rsidR="00D312DE" w:rsidRPr="00821494" w:rsidRDefault="00D312DE" w:rsidP="00774DA8">
            <w:pPr>
              <w:jc w:val="right"/>
              <w:rPr>
                <w:sz w:val="18"/>
                <w:szCs w:val="18"/>
              </w:rPr>
            </w:pPr>
            <w:r w:rsidRPr="00821494">
              <w:rPr>
                <w:sz w:val="18"/>
                <w:szCs w:val="18"/>
              </w:rPr>
              <w:t>0</w:t>
            </w:r>
          </w:p>
        </w:tc>
      </w:tr>
      <w:tr w:rsidR="00D312DE" w:rsidRPr="007B7470" w14:paraId="5F0B0259" w14:textId="77777777" w:rsidTr="00774DA8">
        <w:trPr>
          <w:trHeight w:val="70"/>
          <w:jc w:val="center"/>
        </w:trPr>
        <w:tc>
          <w:tcPr>
            <w:tcW w:w="4661" w:type="dxa"/>
            <w:noWrap/>
            <w:vAlign w:val="center"/>
          </w:tcPr>
          <w:p w14:paraId="5F1C90D1" w14:textId="77777777" w:rsidR="00D312DE" w:rsidRPr="007B7470" w:rsidRDefault="00D312DE" w:rsidP="00774DA8">
            <w:pPr>
              <w:rPr>
                <w:b/>
                <w:bCs/>
                <w:i/>
                <w:iCs/>
                <w:sz w:val="24"/>
                <w:szCs w:val="24"/>
              </w:rPr>
            </w:pPr>
            <w:r w:rsidRPr="007B7470">
              <w:rPr>
                <w:b/>
                <w:bCs/>
                <w:i/>
                <w:iCs/>
                <w:sz w:val="24"/>
                <w:szCs w:val="24"/>
              </w:rPr>
              <w:t xml:space="preserve">z toho:  </w:t>
            </w:r>
          </w:p>
        </w:tc>
        <w:tc>
          <w:tcPr>
            <w:tcW w:w="1267" w:type="dxa"/>
            <w:noWrap/>
            <w:vAlign w:val="center"/>
          </w:tcPr>
          <w:p w14:paraId="65EC97B6" w14:textId="77777777" w:rsidR="00D312DE" w:rsidRPr="00821494" w:rsidRDefault="00D312DE" w:rsidP="00774DA8">
            <w:pPr>
              <w:jc w:val="right"/>
              <w:rPr>
                <w:b/>
                <w:bCs/>
                <w:iCs/>
                <w:sz w:val="18"/>
                <w:szCs w:val="18"/>
              </w:rPr>
            </w:pPr>
          </w:p>
        </w:tc>
        <w:tc>
          <w:tcPr>
            <w:tcW w:w="1267" w:type="dxa"/>
            <w:noWrap/>
            <w:vAlign w:val="center"/>
          </w:tcPr>
          <w:p w14:paraId="40850FA3" w14:textId="77777777" w:rsidR="00D312DE" w:rsidRPr="00821494" w:rsidRDefault="00D312DE" w:rsidP="00774DA8">
            <w:pPr>
              <w:jc w:val="right"/>
              <w:rPr>
                <w:b/>
                <w:bCs/>
                <w:iCs/>
                <w:sz w:val="18"/>
                <w:szCs w:val="18"/>
              </w:rPr>
            </w:pPr>
          </w:p>
        </w:tc>
        <w:tc>
          <w:tcPr>
            <w:tcW w:w="1267" w:type="dxa"/>
            <w:noWrap/>
            <w:vAlign w:val="center"/>
          </w:tcPr>
          <w:p w14:paraId="4BB5B6FB" w14:textId="77777777" w:rsidR="00D312DE" w:rsidRPr="00821494" w:rsidRDefault="00D312DE" w:rsidP="00774DA8">
            <w:pPr>
              <w:jc w:val="right"/>
              <w:rPr>
                <w:b/>
                <w:bCs/>
                <w:iCs/>
                <w:sz w:val="18"/>
                <w:szCs w:val="18"/>
              </w:rPr>
            </w:pPr>
          </w:p>
        </w:tc>
        <w:tc>
          <w:tcPr>
            <w:tcW w:w="1267" w:type="dxa"/>
            <w:noWrap/>
            <w:vAlign w:val="center"/>
          </w:tcPr>
          <w:p w14:paraId="1539A210" w14:textId="77777777" w:rsidR="00D312DE" w:rsidRPr="00821494" w:rsidRDefault="00D312DE" w:rsidP="00774DA8">
            <w:pPr>
              <w:jc w:val="right"/>
              <w:rPr>
                <w:b/>
                <w:bCs/>
                <w:iCs/>
                <w:sz w:val="18"/>
                <w:szCs w:val="18"/>
              </w:rPr>
            </w:pPr>
          </w:p>
        </w:tc>
      </w:tr>
      <w:tr w:rsidR="00D312DE" w:rsidRPr="007B7470" w14:paraId="5A4DC984" w14:textId="77777777" w:rsidTr="00774DA8">
        <w:trPr>
          <w:trHeight w:val="125"/>
          <w:jc w:val="center"/>
        </w:trPr>
        <w:tc>
          <w:tcPr>
            <w:tcW w:w="4661" w:type="dxa"/>
            <w:noWrap/>
            <w:vAlign w:val="center"/>
          </w:tcPr>
          <w:p w14:paraId="4465F58F" w14:textId="77777777" w:rsidR="00D312DE" w:rsidRPr="007B7470" w:rsidRDefault="00D312DE" w:rsidP="00774DA8">
            <w:pPr>
              <w:rPr>
                <w:b/>
                <w:bCs/>
                <w:i/>
                <w:iCs/>
                <w:sz w:val="24"/>
                <w:szCs w:val="24"/>
              </w:rPr>
            </w:pPr>
            <w:r w:rsidRPr="007B7470">
              <w:rPr>
                <w:b/>
                <w:bCs/>
                <w:i/>
                <w:iCs/>
                <w:sz w:val="24"/>
                <w:szCs w:val="24"/>
              </w:rPr>
              <w:t>- vplyv na ŠR</w:t>
            </w:r>
          </w:p>
        </w:tc>
        <w:tc>
          <w:tcPr>
            <w:tcW w:w="1267" w:type="dxa"/>
            <w:noWrap/>
            <w:vAlign w:val="center"/>
          </w:tcPr>
          <w:p w14:paraId="168A5800"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545EC4CD"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52B0CD47"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63C010B5"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121A77F0" w14:textId="77777777" w:rsidTr="00774DA8">
        <w:trPr>
          <w:trHeight w:val="125"/>
          <w:jc w:val="center"/>
        </w:trPr>
        <w:tc>
          <w:tcPr>
            <w:tcW w:w="4661" w:type="dxa"/>
            <w:noWrap/>
            <w:vAlign w:val="center"/>
          </w:tcPr>
          <w:p w14:paraId="7538BE04" w14:textId="77777777" w:rsidR="00D312DE" w:rsidRPr="007B7470" w:rsidRDefault="00D312DE" w:rsidP="00774DA8">
            <w:pPr>
              <w:ind w:left="259"/>
              <w:rPr>
                <w:b/>
                <w:bCs/>
                <w:i/>
                <w:iCs/>
                <w:sz w:val="24"/>
                <w:szCs w:val="24"/>
              </w:rPr>
            </w:pPr>
            <w:r w:rsidRPr="007B7470">
              <w:rPr>
                <w:bCs/>
                <w:i/>
                <w:iCs/>
                <w:sz w:val="24"/>
                <w:szCs w:val="24"/>
              </w:rPr>
              <w:t>Rozpočtové prostriedky</w:t>
            </w:r>
          </w:p>
        </w:tc>
        <w:tc>
          <w:tcPr>
            <w:tcW w:w="1267" w:type="dxa"/>
            <w:noWrap/>
            <w:vAlign w:val="center"/>
          </w:tcPr>
          <w:p w14:paraId="1CDEA354"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242C9B5E"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5E51346C"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6C54F3D1"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6A13481E" w14:textId="77777777" w:rsidTr="00774DA8">
        <w:trPr>
          <w:trHeight w:val="125"/>
          <w:jc w:val="center"/>
        </w:trPr>
        <w:tc>
          <w:tcPr>
            <w:tcW w:w="4661" w:type="dxa"/>
            <w:noWrap/>
            <w:vAlign w:val="center"/>
          </w:tcPr>
          <w:p w14:paraId="1C77F1F4" w14:textId="77777777" w:rsidR="00D312DE" w:rsidRPr="007B7470" w:rsidRDefault="00D312DE" w:rsidP="00774DA8">
            <w:pPr>
              <w:ind w:left="259"/>
              <w:rPr>
                <w:bCs/>
                <w:i/>
                <w:iCs/>
                <w:sz w:val="24"/>
                <w:szCs w:val="24"/>
              </w:rPr>
            </w:pPr>
            <w:r w:rsidRPr="007B7470">
              <w:rPr>
                <w:bCs/>
                <w:i/>
                <w:iCs/>
                <w:sz w:val="24"/>
                <w:szCs w:val="24"/>
              </w:rPr>
              <w:t>EÚ zdroje</w:t>
            </w:r>
          </w:p>
        </w:tc>
        <w:tc>
          <w:tcPr>
            <w:tcW w:w="1267" w:type="dxa"/>
            <w:noWrap/>
            <w:vAlign w:val="center"/>
          </w:tcPr>
          <w:p w14:paraId="4089E738"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0578376C"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6FF2E92C"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54E82D00" w14:textId="77777777" w:rsidR="00D312DE" w:rsidRPr="00821494" w:rsidRDefault="00D312DE" w:rsidP="00774DA8">
            <w:pPr>
              <w:jc w:val="right"/>
              <w:rPr>
                <w:sz w:val="18"/>
                <w:szCs w:val="18"/>
              </w:rPr>
            </w:pPr>
            <w:r w:rsidRPr="00821494">
              <w:rPr>
                <w:sz w:val="18"/>
                <w:szCs w:val="18"/>
              </w:rPr>
              <w:t>0</w:t>
            </w:r>
          </w:p>
        </w:tc>
      </w:tr>
      <w:tr w:rsidR="00D312DE" w:rsidRPr="007B7470" w14:paraId="51CF2461" w14:textId="77777777" w:rsidTr="00774DA8">
        <w:trPr>
          <w:trHeight w:val="125"/>
          <w:jc w:val="center"/>
        </w:trPr>
        <w:tc>
          <w:tcPr>
            <w:tcW w:w="4661" w:type="dxa"/>
            <w:noWrap/>
            <w:vAlign w:val="center"/>
          </w:tcPr>
          <w:p w14:paraId="00C28F0E" w14:textId="77777777" w:rsidR="00D312DE" w:rsidRPr="007B7470" w:rsidRDefault="00D312DE" w:rsidP="00774DA8">
            <w:pPr>
              <w:rPr>
                <w:b/>
                <w:bCs/>
                <w:i/>
                <w:iCs/>
                <w:sz w:val="24"/>
                <w:szCs w:val="24"/>
              </w:rPr>
            </w:pPr>
            <w:r w:rsidRPr="007B7470">
              <w:rPr>
                <w:b/>
                <w:bCs/>
                <w:i/>
                <w:iCs/>
                <w:sz w:val="24"/>
                <w:szCs w:val="24"/>
              </w:rPr>
              <w:t>- vplyv na obce</w:t>
            </w:r>
          </w:p>
        </w:tc>
        <w:tc>
          <w:tcPr>
            <w:tcW w:w="1267" w:type="dxa"/>
            <w:noWrap/>
            <w:vAlign w:val="center"/>
          </w:tcPr>
          <w:p w14:paraId="42F6ABA2"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0C232B64"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3C44497C"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22C3EFB1"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0D586856" w14:textId="77777777" w:rsidTr="00774DA8">
        <w:trPr>
          <w:trHeight w:val="125"/>
          <w:jc w:val="center"/>
        </w:trPr>
        <w:tc>
          <w:tcPr>
            <w:tcW w:w="4661" w:type="dxa"/>
            <w:noWrap/>
            <w:vAlign w:val="center"/>
          </w:tcPr>
          <w:p w14:paraId="12B3773B" w14:textId="77777777" w:rsidR="00D312DE" w:rsidRPr="007B7470" w:rsidRDefault="00D312DE" w:rsidP="00774DA8">
            <w:pPr>
              <w:rPr>
                <w:b/>
                <w:bCs/>
                <w:i/>
                <w:iCs/>
                <w:sz w:val="24"/>
                <w:szCs w:val="24"/>
              </w:rPr>
            </w:pPr>
            <w:r w:rsidRPr="007B7470">
              <w:rPr>
                <w:b/>
                <w:bCs/>
                <w:i/>
                <w:iCs/>
                <w:sz w:val="24"/>
                <w:szCs w:val="24"/>
              </w:rPr>
              <w:t>- vplyv na vyššie územné celky</w:t>
            </w:r>
          </w:p>
        </w:tc>
        <w:tc>
          <w:tcPr>
            <w:tcW w:w="1267" w:type="dxa"/>
            <w:noWrap/>
            <w:vAlign w:val="center"/>
          </w:tcPr>
          <w:p w14:paraId="09F1CBAF"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1C1FA35C"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04CACF66"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738340C3"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4B7367E0" w14:textId="77777777" w:rsidTr="00774DA8">
        <w:trPr>
          <w:trHeight w:val="125"/>
          <w:jc w:val="center"/>
        </w:trPr>
        <w:tc>
          <w:tcPr>
            <w:tcW w:w="4661" w:type="dxa"/>
            <w:noWrap/>
            <w:vAlign w:val="center"/>
          </w:tcPr>
          <w:p w14:paraId="13A76983" w14:textId="77777777" w:rsidR="00D312DE" w:rsidRPr="007B7470" w:rsidRDefault="00D312DE" w:rsidP="00774DA8">
            <w:pPr>
              <w:rPr>
                <w:b/>
                <w:bCs/>
                <w:i/>
                <w:iCs/>
                <w:sz w:val="24"/>
                <w:szCs w:val="24"/>
              </w:rPr>
            </w:pPr>
            <w:r w:rsidRPr="007B7470">
              <w:rPr>
                <w:b/>
                <w:bCs/>
                <w:i/>
                <w:iCs/>
                <w:sz w:val="24"/>
                <w:szCs w:val="24"/>
              </w:rPr>
              <w:t>- vplyv na ostatné subjekty verejnej správy</w:t>
            </w:r>
          </w:p>
        </w:tc>
        <w:tc>
          <w:tcPr>
            <w:tcW w:w="1267" w:type="dxa"/>
            <w:noWrap/>
            <w:vAlign w:val="center"/>
          </w:tcPr>
          <w:p w14:paraId="188777E5"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200F539A"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0706F265"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308DD00E"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355F2960" w14:textId="77777777" w:rsidTr="00774DA8">
        <w:trPr>
          <w:trHeight w:val="125"/>
          <w:jc w:val="center"/>
        </w:trPr>
        <w:tc>
          <w:tcPr>
            <w:tcW w:w="4661" w:type="dxa"/>
            <w:shd w:val="clear" w:color="auto" w:fill="C0C0C0"/>
            <w:noWrap/>
            <w:vAlign w:val="center"/>
          </w:tcPr>
          <w:p w14:paraId="2564DE75" w14:textId="77777777" w:rsidR="00D312DE" w:rsidRPr="007B7470" w:rsidRDefault="00D312DE" w:rsidP="00774DA8">
            <w:pPr>
              <w:rPr>
                <w:b/>
                <w:bCs/>
                <w:sz w:val="24"/>
                <w:szCs w:val="24"/>
              </w:rPr>
            </w:pPr>
            <w:r w:rsidRPr="007B7470">
              <w:rPr>
                <w:b/>
                <w:bCs/>
                <w:sz w:val="24"/>
                <w:szCs w:val="24"/>
              </w:rPr>
              <w:t>Výdavky verejnej správy celkom</w:t>
            </w:r>
          </w:p>
        </w:tc>
        <w:tc>
          <w:tcPr>
            <w:tcW w:w="1267" w:type="dxa"/>
            <w:shd w:val="clear" w:color="auto" w:fill="C0C0C0"/>
            <w:noWrap/>
            <w:vAlign w:val="center"/>
          </w:tcPr>
          <w:p w14:paraId="29B6FF6E"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C0C0C0"/>
            <w:noWrap/>
            <w:vAlign w:val="center"/>
          </w:tcPr>
          <w:p w14:paraId="6C71D907"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C0C0C0"/>
            <w:noWrap/>
            <w:vAlign w:val="center"/>
          </w:tcPr>
          <w:p w14:paraId="669FD8FA"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C0C0C0"/>
            <w:noWrap/>
            <w:vAlign w:val="center"/>
          </w:tcPr>
          <w:p w14:paraId="1D53DD58" w14:textId="77777777" w:rsidR="00D312DE" w:rsidRPr="00821494" w:rsidRDefault="00D312DE" w:rsidP="00774DA8">
            <w:pPr>
              <w:jc w:val="right"/>
              <w:rPr>
                <w:b/>
                <w:bCs/>
                <w:sz w:val="18"/>
                <w:szCs w:val="18"/>
              </w:rPr>
            </w:pPr>
            <w:r w:rsidRPr="00821494">
              <w:rPr>
                <w:b/>
                <w:bCs/>
                <w:sz w:val="18"/>
                <w:szCs w:val="18"/>
              </w:rPr>
              <w:t xml:space="preserve">0   </w:t>
            </w:r>
          </w:p>
        </w:tc>
      </w:tr>
      <w:tr w:rsidR="00D312DE" w:rsidRPr="007B7470" w14:paraId="6F22390B" w14:textId="77777777" w:rsidTr="00774DA8">
        <w:trPr>
          <w:trHeight w:val="70"/>
          <w:jc w:val="center"/>
        </w:trPr>
        <w:tc>
          <w:tcPr>
            <w:tcW w:w="4661" w:type="dxa"/>
            <w:noWrap/>
            <w:vAlign w:val="center"/>
          </w:tcPr>
          <w:p w14:paraId="1EC30864" w14:textId="77777777" w:rsidR="00D312DE" w:rsidRPr="007B7470" w:rsidRDefault="00D312DE" w:rsidP="00774DA8">
            <w:pPr>
              <w:rPr>
                <w:sz w:val="24"/>
                <w:szCs w:val="24"/>
              </w:rPr>
            </w:pPr>
            <w:r w:rsidRPr="007B7470">
              <w:rPr>
                <w:sz w:val="24"/>
                <w:szCs w:val="24"/>
              </w:rPr>
              <w:t xml:space="preserve">v tom: </w:t>
            </w:r>
            <w:r w:rsidRPr="00886476">
              <w:rPr>
                <w:sz w:val="24"/>
                <w:szCs w:val="24"/>
              </w:rPr>
              <w:t>MD SR/05501</w:t>
            </w:r>
          </w:p>
        </w:tc>
        <w:tc>
          <w:tcPr>
            <w:tcW w:w="1267" w:type="dxa"/>
            <w:noWrap/>
            <w:vAlign w:val="center"/>
          </w:tcPr>
          <w:p w14:paraId="3B25A6DD" w14:textId="77777777" w:rsidR="00D312DE" w:rsidRPr="00821494" w:rsidRDefault="00D312DE" w:rsidP="00774DA8">
            <w:pPr>
              <w:jc w:val="right"/>
              <w:rPr>
                <w:sz w:val="18"/>
                <w:szCs w:val="18"/>
              </w:rPr>
            </w:pPr>
            <w:r w:rsidRPr="00821494">
              <w:rPr>
                <w:sz w:val="18"/>
                <w:szCs w:val="18"/>
              </w:rPr>
              <w:t>1 200</w:t>
            </w:r>
            <w:r>
              <w:rPr>
                <w:sz w:val="18"/>
                <w:szCs w:val="18"/>
              </w:rPr>
              <w:t> </w:t>
            </w:r>
            <w:r w:rsidRPr="00821494">
              <w:rPr>
                <w:sz w:val="18"/>
                <w:szCs w:val="18"/>
              </w:rPr>
              <w:t>000</w:t>
            </w:r>
            <w:r>
              <w:rPr>
                <w:sz w:val="18"/>
                <w:szCs w:val="18"/>
              </w:rPr>
              <w:t>,00</w:t>
            </w:r>
          </w:p>
        </w:tc>
        <w:tc>
          <w:tcPr>
            <w:tcW w:w="1267" w:type="dxa"/>
            <w:noWrap/>
            <w:vAlign w:val="center"/>
          </w:tcPr>
          <w:p w14:paraId="2E7F5184" w14:textId="77777777" w:rsidR="00D312DE" w:rsidRPr="00821494" w:rsidRDefault="00D312DE" w:rsidP="00774DA8">
            <w:pPr>
              <w:jc w:val="right"/>
              <w:rPr>
                <w:sz w:val="18"/>
                <w:szCs w:val="18"/>
              </w:rPr>
            </w:pPr>
            <w:r w:rsidRPr="00821494">
              <w:rPr>
                <w:sz w:val="18"/>
                <w:szCs w:val="18"/>
              </w:rPr>
              <w:t>1 0</w:t>
            </w:r>
            <w:r>
              <w:rPr>
                <w:sz w:val="18"/>
                <w:szCs w:val="18"/>
              </w:rPr>
              <w:t>19 168,61</w:t>
            </w:r>
          </w:p>
        </w:tc>
        <w:tc>
          <w:tcPr>
            <w:tcW w:w="1267" w:type="dxa"/>
            <w:noWrap/>
            <w:vAlign w:val="center"/>
          </w:tcPr>
          <w:p w14:paraId="6566F7A3" w14:textId="77777777" w:rsidR="00D312DE" w:rsidRPr="00821494" w:rsidRDefault="00D312DE" w:rsidP="00774DA8">
            <w:pPr>
              <w:jc w:val="right"/>
              <w:rPr>
                <w:sz w:val="18"/>
                <w:szCs w:val="18"/>
              </w:rPr>
            </w:pPr>
            <w:r w:rsidRPr="00821494">
              <w:rPr>
                <w:sz w:val="18"/>
                <w:szCs w:val="18"/>
              </w:rPr>
              <w:t>1 02</w:t>
            </w:r>
            <w:r>
              <w:rPr>
                <w:sz w:val="18"/>
                <w:szCs w:val="18"/>
              </w:rPr>
              <w:t>5 558,14</w:t>
            </w:r>
          </w:p>
        </w:tc>
        <w:tc>
          <w:tcPr>
            <w:tcW w:w="1267" w:type="dxa"/>
            <w:noWrap/>
            <w:vAlign w:val="center"/>
          </w:tcPr>
          <w:p w14:paraId="3A371B61" w14:textId="77777777" w:rsidR="00D312DE" w:rsidRPr="00821494" w:rsidRDefault="00D312DE" w:rsidP="00774DA8">
            <w:pPr>
              <w:jc w:val="right"/>
              <w:rPr>
                <w:sz w:val="18"/>
                <w:szCs w:val="18"/>
              </w:rPr>
            </w:pPr>
            <w:r w:rsidRPr="00821494">
              <w:rPr>
                <w:sz w:val="18"/>
                <w:szCs w:val="18"/>
              </w:rPr>
              <w:t>406</w:t>
            </w:r>
            <w:r>
              <w:rPr>
                <w:sz w:val="18"/>
                <w:szCs w:val="18"/>
              </w:rPr>
              <w:t> 389,54</w:t>
            </w:r>
          </w:p>
        </w:tc>
      </w:tr>
      <w:tr w:rsidR="00D312DE" w:rsidRPr="007B7470" w14:paraId="0068D1F0" w14:textId="77777777" w:rsidTr="00774DA8">
        <w:trPr>
          <w:trHeight w:val="70"/>
          <w:jc w:val="center"/>
        </w:trPr>
        <w:tc>
          <w:tcPr>
            <w:tcW w:w="4661" w:type="dxa"/>
            <w:noWrap/>
            <w:vAlign w:val="center"/>
          </w:tcPr>
          <w:p w14:paraId="0EF34EEA" w14:textId="77777777" w:rsidR="00D312DE" w:rsidRPr="007B7470" w:rsidRDefault="00D312DE" w:rsidP="00774DA8">
            <w:pPr>
              <w:rPr>
                <w:b/>
                <w:bCs/>
                <w:i/>
                <w:iCs/>
                <w:sz w:val="24"/>
                <w:szCs w:val="24"/>
              </w:rPr>
            </w:pPr>
            <w:r w:rsidRPr="007B7470">
              <w:rPr>
                <w:b/>
                <w:bCs/>
                <w:i/>
                <w:iCs/>
                <w:sz w:val="24"/>
                <w:szCs w:val="24"/>
              </w:rPr>
              <w:t xml:space="preserve">z toho: </w:t>
            </w:r>
          </w:p>
        </w:tc>
        <w:tc>
          <w:tcPr>
            <w:tcW w:w="1267" w:type="dxa"/>
            <w:noWrap/>
            <w:vAlign w:val="center"/>
          </w:tcPr>
          <w:p w14:paraId="27271A7C" w14:textId="77777777" w:rsidR="00D312DE" w:rsidRPr="00821494" w:rsidRDefault="00D312DE" w:rsidP="00774DA8">
            <w:pPr>
              <w:jc w:val="right"/>
              <w:rPr>
                <w:b/>
                <w:bCs/>
                <w:iCs/>
                <w:sz w:val="18"/>
                <w:szCs w:val="18"/>
              </w:rPr>
            </w:pPr>
          </w:p>
        </w:tc>
        <w:tc>
          <w:tcPr>
            <w:tcW w:w="1267" w:type="dxa"/>
            <w:noWrap/>
            <w:vAlign w:val="center"/>
          </w:tcPr>
          <w:p w14:paraId="222FD8B9" w14:textId="77777777" w:rsidR="00D312DE" w:rsidRPr="00821494" w:rsidRDefault="00D312DE" w:rsidP="00774DA8">
            <w:pPr>
              <w:jc w:val="right"/>
              <w:rPr>
                <w:b/>
                <w:bCs/>
                <w:iCs/>
                <w:sz w:val="18"/>
                <w:szCs w:val="18"/>
              </w:rPr>
            </w:pPr>
          </w:p>
        </w:tc>
        <w:tc>
          <w:tcPr>
            <w:tcW w:w="1267" w:type="dxa"/>
            <w:noWrap/>
            <w:vAlign w:val="center"/>
          </w:tcPr>
          <w:p w14:paraId="2099E43C" w14:textId="77777777" w:rsidR="00D312DE" w:rsidRPr="00821494" w:rsidRDefault="00D312DE" w:rsidP="00774DA8">
            <w:pPr>
              <w:jc w:val="right"/>
              <w:rPr>
                <w:b/>
                <w:bCs/>
                <w:iCs/>
                <w:sz w:val="18"/>
                <w:szCs w:val="18"/>
              </w:rPr>
            </w:pPr>
          </w:p>
        </w:tc>
        <w:tc>
          <w:tcPr>
            <w:tcW w:w="1267" w:type="dxa"/>
            <w:noWrap/>
            <w:vAlign w:val="center"/>
          </w:tcPr>
          <w:p w14:paraId="4AD5A006" w14:textId="77777777" w:rsidR="00D312DE" w:rsidRPr="00821494" w:rsidRDefault="00D312DE" w:rsidP="00774DA8">
            <w:pPr>
              <w:jc w:val="right"/>
              <w:rPr>
                <w:b/>
                <w:bCs/>
                <w:iCs/>
                <w:sz w:val="18"/>
                <w:szCs w:val="18"/>
              </w:rPr>
            </w:pPr>
          </w:p>
        </w:tc>
      </w:tr>
      <w:tr w:rsidR="00D312DE" w:rsidRPr="007B7470" w14:paraId="60AD02A0" w14:textId="77777777" w:rsidTr="00774DA8">
        <w:trPr>
          <w:trHeight w:val="70"/>
          <w:jc w:val="center"/>
        </w:trPr>
        <w:tc>
          <w:tcPr>
            <w:tcW w:w="4661" w:type="dxa"/>
            <w:noWrap/>
            <w:vAlign w:val="center"/>
          </w:tcPr>
          <w:p w14:paraId="504A89CD" w14:textId="77777777" w:rsidR="00D312DE" w:rsidRPr="007B7470" w:rsidRDefault="00D312DE" w:rsidP="00774DA8">
            <w:pPr>
              <w:rPr>
                <w:b/>
                <w:bCs/>
                <w:i/>
                <w:iCs/>
                <w:sz w:val="24"/>
                <w:szCs w:val="24"/>
              </w:rPr>
            </w:pPr>
            <w:r w:rsidRPr="007B7470">
              <w:rPr>
                <w:b/>
                <w:bCs/>
                <w:i/>
                <w:iCs/>
                <w:sz w:val="24"/>
                <w:szCs w:val="24"/>
              </w:rPr>
              <w:t>- vplyv na ŠR</w:t>
            </w:r>
          </w:p>
        </w:tc>
        <w:tc>
          <w:tcPr>
            <w:tcW w:w="1267" w:type="dxa"/>
            <w:noWrap/>
            <w:vAlign w:val="center"/>
          </w:tcPr>
          <w:p w14:paraId="56955E5B" w14:textId="77777777" w:rsidR="00D312DE" w:rsidRPr="00821494" w:rsidRDefault="00D312DE" w:rsidP="00774DA8">
            <w:pPr>
              <w:jc w:val="right"/>
              <w:rPr>
                <w:b/>
                <w:sz w:val="18"/>
                <w:szCs w:val="18"/>
              </w:rPr>
            </w:pPr>
            <w:r w:rsidRPr="00821494">
              <w:rPr>
                <w:b/>
                <w:sz w:val="18"/>
                <w:szCs w:val="18"/>
              </w:rPr>
              <w:t>1 200</w:t>
            </w:r>
            <w:r>
              <w:rPr>
                <w:b/>
                <w:sz w:val="18"/>
                <w:szCs w:val="18"/>
              </w:rPr>
              <w:t> </w:t>
            </w:r>
            <w:r w:rsidRPr="00821494">
              <w:rPr>
                <w:b/>
                <w:sz w:val="18"/>
                <w:szCs w:val="18"/>
              </w:rPr>
              <w:t>000</w:t>
            </w:r>
            <w:r>
              <w:rPr>
                <w:b/>
                <w:sz w:val="18"/>
                <w:szCs w:val="18"/>
              </w:rPr>
              <w:t>,00</w:t>
            </w:r>
          </w:p>
        </w:tc>
        <w:tc>
          <w:tcPr>
            <w:tcW w:w="1267" w:type="dxa"/>
            <w:noWrap/>
            <w:vAlign w:val="center"/>
          </w:tcPr>
          <w:p w14:paraId="3B51ABF7" w14:textId="77777777" w:rsidR="00D312DE" w:rsidRPr="00DD3550" w:rsidRDefault="00D312DE" w:rsidP="00774DA8">
            <w:pPr>
              <w:jc w:val="right"/>
              <w:rPr>
                <w:b/>
                <w:sz w:val="18"/>
                <w:szCs w:val="18"/>
              </w:rPr>
            </w:pPr>
            <w:r w:rsidRPr="00DD3550">
              <w:rPr>
                <w:b/>
                <w:sz w:val="18"/>
                <w:szCs w:val="18"/>
              </w:rPr>
              <w:t>1 019 168,</w:t>
            </w:r>
            <w:r>
              <w:rPr>
                <w:b/>
                <w:sz w:val="18"/>
                <w:szCs w:val="18"/>
              </w:rPr>
              <w:t>61</w:t>
            </w:r>
          </w:p>
        </w:tc>
        <w:tc>
          <w:tcPr>
            <w:tcW w:w="1267" w:type="dxa"/>
            <w:noWrap/>
            <w:vAlign w:val="center"/>
          </w:tcPr>
          <w:p w14:paraId="473EF394" w14:textId="77777777" w:rsidR="00D312DE" w:rsidRPr="00DD3550" w:rsidRDefault="00D312DE" w:rsidP="00774DA8">
            <w:pPr>
              <w:jc w:val="right"/>
              <w:rPr>
                <w:b/>
                <w:sz w:val="18"/>
                <w:szCs w:val="18"/>
              </w:rPr>
            </w:pPr>
            <w:r w:rsidRPr="00DD3550">
              <w:rPr>
                <w:b/>
                <w:sz w:val="18"/>
                <w:szCs w:val="18"/>
              </w:rPr>
              <w:t>1 025 558,14</w:t>
            </w:r>
          </w:p>
        </w:tc>
        <w:tc>
          <w:tcPr>
            <w:tcW w:w="1267" w:type="dxa"/>
            <w:noWrap/>
            <w:vAlign w:val="center"/>
          </w:tcPr>
          <w:p w14:paraId="55134E3B" w14:textId="77777777" w:rsidR="00D312DE" w:rsidRPr="00821494" w:rsidRDefault="00D312DE" w:rsidP="00774DA8">
            <w:pPr>
              <w:jc w:val="right"/>
              <w:rPr>
                <w:b/>
                <w:sz w:val="18"/>
                <w:szCs w:val="18"/>
              </w:rPr>
            </w:pPr>
            <w:r w:rsidRPr="00821494">
              <w:rPr>
                <w:b/>
                <w:sz w:val="18"/>
                <w:szCs w:val="18"/>
              </w:rPr>
              <w:t>406</w:t>
            </w:r>
            <w:r>
              <w:rPr>
                <w:b/>
                <w:sz w:val="18"/>
                <w:szCs w:val="18"/>
              </w:rPr>
              <w:t> 389,54</w:t>
            </w:r>
          </w:p>
        </w:tc>
      </w:tr>
      <w:tr w:rsidR="00D312DE" w:rsidRPr="007B7470" w14:paraId="72F91481" w14:textId="77777777" w:rsidTr="00774DA8">
        <w:trPr>
          <w:trHeight w:val="70"/>
          <w:jc w:val="center"/>
        </w:trPr>
        <w:tc>
          <w:tcPr>
            <w:tcW w:w="4661" w:type="dxa"/>
            <w:noWrap/>
            <w:vAlign w:val="center"/>
          </w:tcPr>
          <w:p w14:paraId="684AA21E" w14:textId="77777777" w:rsidR="00D312DE" w:rsidRPr="007B7470" w:rsidRDefault="00D312DE" w:rsidP="00774DA8">
            <w:pPr>
              <w:ind w:left="259"/>
              <w:rPr>
                <w:b/>
                <w:bCs/>
                <w:i/>
                <w:iCs/>
                <w:sz w:val="24"/>
                <w:szCs w:val="24"/>
              </w:rPr>
            </w:pPr>
            <w:r w:rsidRPr="007B7470">
              <w:rPr>
                <w:bCs/>
                <w:i/>
                <w:iCs/>
                <w:sz w:val="24"/>
                <w:szCs w:val="24"/>
              </w:rPr>
              <w:t>Rozpočtové prostriedky</w:t>
            </w:r>
          </w:p>
        </w:tc>
        <w:tc>
          <w:tcPr>
            <w:tcW w:w="1267" w:type="dxa"/>
            <w:noWrap/>
            <w:vAlign w:val="center"/>
          </w:tcPr>
          <w:p w14:paraId="123A4B9E" w14:textId="77777777" w:rsidR="00D312DE" w:rsidRPr="00821494" w:rsidRDefault="00D312DE" w:rsidP="00774DA8">
            <w:pPr>
              <w:jc w:val="right"/>
              <w:rPr>
                <w:b/>
                <w:sz w:val="18"/>
                <w:szCs w:val="18"/>
              </w:rPr>
            </w:pPr>
            <w:r w:rsidRPr="00821494">
              <w:rPr>
                <w:b/>
                <w:sz w:val="18"/>
                <w:szCs w:val="18"/>
              </w:rPr>
              <w:t>1 200</w:t>
            </w:r>
            <w:r>
              <w:rPr>
                <w:b/>
                <w:sz w:val="18"/>
                <w:szCs w:val="18"/>
              </w:rPr>
              <w:t> </w:t>
            </w:r>
            <w:r w:rsidRPr="00821494">
              <w:rPr>
                <w:b/>
                <w:sz w:val="18"/>
                <w:szCs w:val="18"/>
              </w:rPr>
              <w:t>000</w:t>
            </w:r>
            <w:r>
              <w:rPr>
                <w:b/>
                <w:sz w:val="18"/>
                <w:szCs w:val="18"/>
              </w:rPr>
              <w:t>,00</w:t>
            </w:r>
          </w:p>
        </w:tc>
        <w:tc>
          <w:tcPr>
            <w:tcW w:w="1267" w:type="dxa"/>
            <w:noWrap/>
            <w:vAlign w:val="center"/>
          </w:tcPr>
          <w:p w14:paraId="6173A365" w14:textId="77777777" w:rsidR="00D312DE" w:rsidRPr="00DD3550" w:rsidRDefault="00D312DE" w:rsidP="00774DA8">
            <w:pPr>
              <w:jc w:val="right"/>
              <w:rPr>
                <w:b/>
                <w:sz w:val="18"/>
                <w:szCs w:val="18"/>
              </w:rPr>
            </w:pPr>
            <w:r w:rsidRPr="00DD3550">
              <w:rPr>
                <w:b/>
                <w:sz w:val="18"/>
                <w:szCs w:val="18"/>
              </w:rPr>
              <w:t>1 019 168,6</w:t>
            </w:r>
            <w:r>
              <w:rPr>
                <w:b/>
                <w:sz w:val="18"/>
                <w:szCs w:val="18"/>
              </w:rPr>
              <w:t>1</w:t>
            </w:r>
          </w:p>
        </w:tc>
        <w:tc>
          <w:tcPr>
            <w:tcW w:w="1267" w:type="dxa"/>
            <w:noWrap/>
            <w:vAlign w:val="center"/>
          </w:tcPr>
          <w:p w14:paraId="2C503FF8" w14:textId="77777777" w:rsidR="00D312DE" w:rsidRPr="00DD3550" w:rsidRDefault="00D312DE" w:rsidP="00774DA8">
            <w:pPr>
              <w:jc w:val="right"/>
              <w:rPr>
                <w:b/>
                <w:sz w:val="18"/>
                <w:szCs w:val="18"/>
              </w:rPr>
            </w:pPr>
            <w:r w:rsidRPr="00DD3550">
              <w:rPr>
                <w:b/>
                <w:sz w:val="18"/>
                <w:szCs w:val="18"/>
              </w:rPr>
              <w:t>1 025 558,14</w:t>
            </w:r>
          </w:p>
        </w:tc>
        <w:tc>
          <w:tcPr>
            <w:tcW w:w="1267" w:type="dxa"/>
            <w:noWrap/>
            <w:vAlign w:val="center"/>
          </w:tcPr>
          <w:p w14:paraId="1DB2E49D" w14:textId="77777777" w:rsidR="00D312DE" w:rsidRPr="00821494" w:rsidRDefault="00D312DE" w:rsidP="00774DA8">
            <w:pPr>
              <w:jc w:val="right"/>
              <w:rPr>
                <w:b/>
                <w:sz w:val="18"/>
                <w:szCs w:val="18"/>
              </w:rPr>
            </w:pPr>
            <w:r w:rsidRPr="00821494">
              <w:rPr>
                <w:b/>
                <w:sz w:val="18"/>
                <w:szCs w:val="18"/>
              </w:rPr>
              <w:t>406</w:t>
            </w:r>
            <w:r>
              <w:rPr>
                <w:b/>
                <w:sz w:val="18"/>
                <w:szCs w:val="18"/>
              </w:rPr>
              <w:t> 389,54</w:t>
            </w:r>
          </w:p>
        </w:tc>
      </w:tr>
      <w:tr w:rsidR="00D312DE" w:rsidRPr="007B7470" w14:paraId="33BC9E22" w14:textId="77777777" w:rsidTr="00774DA8">
        <w:trPr>
          <w:trHeight w:val="70"/>
          <w:jc w:val="center"/>
        </w:trPr>
        <w:tc>
          <w:tcPr>
            <w:tcW w:w="4661" w:type="dxa"/>
            <w:noWrap/>
            <w:vAlign w:val="center"/>
          </w:tcPr>
          <w:p w14:paraId="58947EEA" w14:textId="77777777" w:rsidR="00D312DE" w:rsidRPr="007B7470" w:rsidRDefault="00D312DE" w:rsidP="00774DA8">
            <w:pPr>
              <w:rPr>
                <w:bCs/>
                <w:i/>
                <w:iCs/>
                <w:sz w:val="24"/>
                <w:szCs w:val="24"/>
              </w:rPr>
            </w:pPr>
            <w:r w:rsidRPr="007B7470">
              <w:rPr>
                <w:bCs/>
                <w:i/>
                <w:iCs/>
                <w:sz w:val="24"/>
                <w:szCs w:val="24"/>
              </w:rPr>
              <w:t xml:space="preserve">    EÚ zdroje</w:t>
            </w:r>
          </w:p>
        </w:tc>
        <w:tc>
          <w:tcPr>
            <w:tcW w:w="1267" w:type="dxa"/>
            <w:noWrap/>
            <w:vAlign w:val="center"/>
          </w:tcPr>
          <w:p w14:paraId="53D5C022"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4A38AC1F"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7B2FFDF2"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7B2E2133" w14:textId="77777777" w:rsidR="00D312DE" w:rsidRPr="00821494" w:rsidRDefault="00D312DE" w:rsidP="00774DA8">
            <w:pPr>
              <w:jc w:val="right"/>
              <w:rPr>
                <w:sz w:val="18"/>
                <w:szCs w:val="18"/>
              </w:rPr>
            </w:pPr>
            <w:r w:rsidRPr="00821494">
              <w:rPr>
                <w:sz w:val="18"/>
                <w:szCs w:val="18"/>
              </w:rPr>
              <w:t>0</w:t>
            </w:r>
          </w:p>
        </w:tc>
      </w:tr>
      <w:tr w:rsidR="00D312DE" w:rsidRPr="007B7470" w14:paraId="3B4FFF00" w14:textId="77777777" w:rsidTr="00774DA8">
        <w:trPr>
          <w:trHeight w:val="70"/>
          <w:jc w:val="center"/>
        </w:trPr>
        <w:tc>
          <w:tcPr>
            <w:tcW w:w="4661" w:type="dxa"/>
            <w:noWrap/>
            <w:vAlign w:val="center"/>
          </w:tcPr>
          <w:p w14:paraId="660B5AE3" w14:textId="77777777" w:rsidR="00D312DE" w:rsidRPr="007B7470" w:rsidRDefault="00D312DE" w:rsidP="00774DA8">
            <w:pPr>
              <w:rPr>
                <w:bCs/>
                <w:i/>
                <w:iCs/>
                <w:sz w:val="24"/>
                <w:szCs w:val="24"/>
              </w:rPr>
            </w:pPr>
            <w:r w:rsidRPr="007B7470">
              <w:rPr>
                <w:bCs/>
                <w:i/>
                <w:iCs/>
                <w:sz w:val="24"/>
                <w:szCs w:val="24"/>
              </w:rPr>
              <w:t xml:space="preserve">    spolufinancovanie</w:t>
            </w:r>
          </w:p>
        </w:tc>
        <w:tc>
          <w:tcPr>
            <w:tcW w:w="1267" w:type="dxa"/>
            <w:noWrap/>
            <w:vAlign w:val="center"/>
          </w:tcPr>
          <w:p w14:paraId="5CAA9CD1"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184EDC6A"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246A83DC"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25514EFD" w14:textId="77777777" w:rsidR="00D312DE" w:rsidRPr="00821494" w:rsidRDefault="00D312DE" w:rsidP="00774DA8">
            <w:pPr>
              <w:jc w:val="right"/>
              <w:rPr>
                <w:sz w:val="18"/>
                <w:szCs w:val="18"/>
              </w:rPr>
            </w:pPr>
            <w:r w:rsidRPr="00821494">
              <w:rPr>
                <w:sz w:val="18"/>
                <w:szCs w:val="18"/>
              </w:rPr>
              <w:t>0</w:t>
            </w:r>
          </w:p>
        </w:tc>
      </w:tr>
      <w:tr w:rsidR="00D312DE" w:rsidRPr="007B7470" w14:paraId="486194DB" w14:textId="77777777" w:rsidTr="00774DA8">
        <w:trPr>
          <w:trHeight w:val="125"/>
          <w:jc w:val="center"/>
        </w:trPr>
        <w:tc>
          <w:tcPr>
            <w:tcW w:w="4661" w:type="dxa"/>
            <w:noWrap/>
            <w:vAlign w:val="center"/>
          </w:tcPr>
          <w:p w14:paraId="06F67A98" w14:textId="77777777" w:rsidR="00D312DE" w:rsidRPr="007B7470" w:rsidRDefault="00D312DE" w:rsidP="00774DA8">
            <w:pPr>
              <w:rPr>
                <w:b/>
                <w:bCs/>
                <w:i/>
                <w:iCs/>
                <w:sz w:val="24"/>
                <w:szCs w:val="24"/>
              </w:rPr>
            </w:pPr>
            <w:r w:rsidRPr="007B7470">
              <w:rPr>
                <w:b/>
                <w:bCs/>
                <w:i/>
                <w:iCs/>
                <w:sz w:val="24"/>
                <w:szCs w:val="24"/>
              </w:rPr>
              <w:t>- vplyv na obce</w:t>
            </w:r>
          </w:p>
        </w:tc>
        <w:tc>
          <w:tcPr>
            <w:tcW w:w="1267" w:type="dxa"/>
            <w:noWrap/>
            <w:vAlign w:val="center"/>
          </w:tcPr>
          <w:p w14:paraId="38C9D9A8"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32AFE3F7"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20C93DB8"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63517E27"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138AB2F8" w14:textId="77777777" w:rsidTr="00774DA8">
        <w:trPr>
          <w:trHeight w:val="125"/>
          <w:jc w:val="center"/>
        </w:trPr>
        <w:tc>
          <w:tcPr>
            <w:tcW w:w="4661" w:type="dxa"/>
            <w:noWrap/>
            <w:vAlign w:val="center"/>
          </w:tcPr>
          <w:p w14:paraId="6298649B" w14:textId="77777777" w:rsidR="00D312DE" w:rsidRPr="007B7470" w:rsidRDefault="00D312DE" w:rsidP="00774DA8">
            <w:pPr>
              <w:ind w:left="203"/>
              <w:rPr>
                <w:bCs/>
                <w:i/>
                <w:iCs/>
                <w:sz w:val="24"/>
                <w:szCs w:val="24"/>
              </w:rPr>
            </w:pPr>
            <w:r w:rsidRPr="007B7470">
              <w:rPr>
                <w:bCs/>
                <w:i/>
                <w:iCs/>
                <w:sz w:val="24"/>
                <w:szCs w:val="24"/>
              </w:rPr>
              <w:t xml:space="preserve">z toho vplyv nových úloh v zmysle ods. 2 Čl. 6 ústavného zákona č. 493/2011 Z. z. </w:t>
            </w:r>
          </w:p>
          <w:p w14:paraId="0B58805A" w14:textId="77777777" w:rsidR="00D312DE" w:rsidRPr="007B7470" w:rsidRDefault="00D312DE" w:rsidP="00774DA8">
            <w:pPr>
              <w:ind w:left="203"/>
              <w:rPr>
                <w:b/>
                <w:bCs/>
                <w:i/>
                <w:iCs/>
                <w:sz w:val="24"/>
                <w:szCs w:val="24"/>
              </w:rPr>
            </w:pPr>
            <w:r w:rsidRPr="007B7470">
              <w:rPr>
                <w:bCs/>
                <w:i/>
                <w:iCs/>
                <w:sz w:val="24"/>
                <w:szCs w:val="24"/>
              </w:rPr>
              <w:t>o rozpočtovej zodpovednosti</w:t>
            </w:r>
          </w:p>
        </w:tc>
        <w:tc>
          <w:tcPr>
            <w:tcW w:w="1267" w:type="dxa"/>
            <w:noWrap/>
            <w:vAlign w:val="center"/>
          </w:tcPr>
          <w:p w14:paraId="5D40C1B4"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1853FB66"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68E025D5"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7A185BE7" w14:textId="77777777" w:rsidR="00D312DE" w:rsidRPr="00821494" w:rsidRDefault="00D312DE" w:rsidP="00774DA8">
            <w:pPr>
              <w:jc w:val="right"/>
              <w:rPr>
                <w:sz w:val="18"/>
                <w:szCs w:val="18"/>
              </w:rPr>
            </w:pPr>
            <w:r w:rsidRPr="00821494">
              <w:rPr>
                <w:sz w:val="18"/>
                <w:szCs w:val="18"/>
              </w:rPr>
              <w:t>0</w:t>
            </w:r>
          </w:p>
        </w:tc>
      </w:tr>
      <w:tr w:rsidR="00D312DE" w:rsidRPr="007B7470" w14:paraId="1D21591F" w14:textId="77777777" w:rsidTr="00774DA8">
        <w:trPr>
          <w:trHeight w:val="125"/>
          <w:jc w:val="center"/>
        </w:trPr>
        <w:tc>
          <w:tcPr>
            <w:tcW w:w="4661" w:type="dxa"/>
            <w:noWrap/>
            <w:vAlign w:val="center"/>
          </w:tcPr>
          <w:p w14:paraId="4B0085EC" w14:textId="77777777" w:rsidR="00D312DE" w:rsidRPr="007B7470" w:rsidRDefault="00D312DE" w:rsidP="00774DA8">
            <w:pPr>
              <w:rPr>
                <w:b/>
                <w:bCs/>
                <w:i/>
                <w:iCs/>
                <w:sz w:val="24"/>
                <w:szCs w:val="24"/>
              </w:rPr>
            </w:pPr>
            <w:r w:rsidRPr="007B7470">
              <w:rPr>
                <w:b/>
                <w:bCs/>
                <w:i/>
                <w:iCs/>
                <w:sz w:val="24"/>
                <w:szCs w:val="24"/>
              </w:rPr>
              <w:t>- vplyv na vyššie územné celky</w:t>
            </w:r>
          </w:p>
        </w:tc>
        <w:tc>
          <w:tcPr>
            <w:tcW w:w="1267" w:type="dxa"/>
            <w:noWrap/>
            <w:vAlign w:val="center"/>
          </w:tcPr>
          <w:p w14:paraId="6E1E808E"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2336AEEA"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03E10D12"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6BBF18A5"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7895ED35" w14:textId="77777777" w:rsidTr="00774DA8">
        <w:trPr>
          <w:trHeight w:val="125"/>
          <w:jc w:val="center"/>
        </w:trPr>
        <w:tc>
          <w:tcPr>
            <w:tcW w:w="4661" w:type="dxa"/>
            <w:noWrap/>
            <w:vAlign w:val="center"/>
          </w:tcPr>
          <w:p w14:paraId="2364B263" w14:textId="77777777" w:rsidR="00D312DE" w:rsidRPr="007B7470" w:rsidRDefault="00D312DE" w:rsidP="00774DA8">
            <w:pPr>
              <w:ind w:left="203"/>
              <w:rPr>
                <w:bCs/>
                <w:i/>
                <w:iCs/>
                <w:sz w:val="24"/>
                <w:szCs w:val="24"/>
              </w:rPr>
            </w:pPr>
            <w:r w:rsidRPr="007B7470">
              <w:rPr>
                <w:bCs/>
                <w:i/>
                <w:iCs/>
                <w:sz w:val="24"/>
                <w:szCs w:val="24"/>
              </w:rPr>
              <w:t xml:space="preserve">z toho vplyv nových úloh v zmysle ods. 2 Čl. 6 ústavného zákona č. 493/2011 Z. z. </w:t>
            </w:r>
          </w:p>
          <w:p w14:paraId="691C3550" w14:textId="77777777" w:rsidR="00D312DE" w:rsidRPr="007B7470" w:rsidRDefault="00D312DE" w:rsidP="00774DA8">
            <w:pPr>
              <w:ind w:left="203"/>
              <w:rPr>
                <w:b/>
                <w:bCs/>
                <w:i/>
                <w:iCs/>
                <w:sz w:val="24"/>
                <w:szCs w:val="24"/>
              </w:rPr>
            </w:pPr>
            <w:r w:rsidRPr="007B7470">
              <w:rPr>
                <w:bCs/>
                <w:i/>
                <w:iCs/>
                <w:sz w:val="24"/>
                <w:szCs w:val="24"/>
              </w:rPr>
              <w:t>o rozpočtovej zodpovednosti</w:t>
            </w:r>
          </w:p>
        </w:tc>
        <w:tc>
          <w:tcPr>
            <w:tcW w:w="1267" w:type="dxa"/>
            <w:noWrap/>
            <w:vAlign w:val="center"/>
          </w:tcPr>
          <w:p w14:paraId="7A36247C"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0A22B4DE"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70815A06"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2D678CEB" w14:textId="77777777" w:rsidR="00D312DE" w:rsidRPr="00821494" w:rsidRDefault="00D312DE" w:rsidP="00774DA8">
            <w:pPr>
              <w:jc w:val="right"/>
              <w:rPr>
                <w:sz w:val="18"/>
                <w:szCs w:val="18"/>
              </w:rPr>
            </w:pPr>
            <w:r w:rsidRPr="00821494">
              <w:rPr>
                <w:sz w:val="18"/>
                <w:szCs w:val="18"/>
              </w:rPr>
              <w:t>0</w:t>
            </w:r>
          </w:p>
        </w:tc>
      </w:tr>
      <w:tr w:rsidR="00D312DE" w:rsidRPr="007B7470" w14:paraId="1582C143" w14:textId="77777777" w:rsidTr="00774DA8">
        <w:trPr>
          <w:trHeight w:val="70"/>
          <w:jc w:val="center"/>
        </w:trPr>
        <w:tc>
          <w:tcPr>
            <w:tcW w:w="4661" w:type="dxa"/>
            <w:noWrap/>
            <w:vAlign w:val="center"/>
          </w:tcPr>
          <w:p w14:paraId="2ABA024A" w14:textId="77777777" w:rsidR="00D312DE" w:rsidRPr="007B7470" w:rsidRDefault="00D312DE" w:rsidP="00774DA8">
            <w:pPr>
              <w:rPr>
                <w:b/>
                <w:bCs/>
                <w:sz w:val="24"/>
                <w:szCs w:val="24"/>
              </w:rPr>
            </w:pPr>
            <w:r w:rsidRPr="007B7470">
              <w:rPr>
                <w:b/>
                <w:bCs/>
                <w:i/>
                <w:iCs/>
                <w:sz w:val="24"/>
                <w:szCs w:val="24"/>
              </w:rPr>
              <w:t>- vplyv na ostatné subjekty verejnej správy</w:t>
            </w:r>
          </w:p>
        </w:tc>
        <w:tc>
          <w:tcPr>
            <w:tcW w:w="1267" w:type="dxa"/>
            <w:noWrap/>
            <w:vAlign w:val="center"/>
          </w:tcPr>
          <w:p w14:paraId="3CF6AA6C"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5DF4CD65"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13788591"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11A8D868"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01E787B2" w14:textId="77777777" w:rsidTr="00774DA8">
        <w:trPr>
          <w:trHeight w:val="70"/>
          <w:jc w:val="center"/>
        </w:trPr>
        <w:tc>
          <w:tcPr>
            <w:tcW w:w="4661" w:type="dxa"/>
            <w:shd w:val="clear" w:color="auto" w:fill="BFBFBF" w:themeFill="background1" w:themeFillShade="BF"/>
            <w:noWrap/>
            <w:vAlign w:val="center"/>
          </w:tcPr>
          <w:p w14:paraId="543CD2A6" w14:textId="77777777" w:rsidR="00D312DE" w:rsidRPr="007B7470" w:rsidRDefault="00D312DE" w:rsidP="00774DA8">
            <w:pPr>
              <w:rPr>
                <w:b/>
                <w:bCs/>
                <w:sz w:val="24"/>
                <w:szCs w:val="24"/>
              </w:rPr>
            </w:pPr>
            <w:r w:rsidRPr="007B7470">
              <w:rPr>
                <w:b/>
                <w:bCs/>
                <w:sz w:val="24"/>
                <w:szCs w:val="24"/>
              </w:rPr>
              <w:t xml:space="preserve">Vplyv na počet zamestnancov </w:t>
            </w:r>
          </w:p>
        </w:tc>
        <w:tc>
          <w:tcPr>
            <w:tcW w:w="1267" w:type="dxa"/>
            <w:shd w:val="clear" w:color="auto" w:fill="BFBFBF" w:themeFill="background1" w:themeFillShade="BF"/>
            <w:noWrap/>
            <w:vAlign w:val="center"/>
          </w:tcPr>
          <w:p w14:paraId="3C6A03B2"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BFBFBF" w:themeFill="background1" w:themeFillShade="BF"/>
            <w:noWrap/>
            <w:vAlign w:val="center"/>
          </w:tcPr>
          <w:p w14:paraId="4A1C91E4"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BFBFBF" w:themeFill="background1" w:themeFillShade="BF"/>
            <w:noWrap/>
            <w:vAlign w:val="center"/>
          </w:tcPr>
          <w:p w14:paraId="4515A395"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BFBFBF" w:themeFill="background1" w:themeFillShade="BF"/>
            <w:noWrap/>
            <w:vAlign w:val="center"/>
          </w:tcPr>
          <w:p w14:paraId="6A31571B" w14:textId="77777777" w:rsidR="00D312DE" w:rsidRPr="00821494" w:rsidRDefault="00D312DE" w:rsidP="00774DA8">
            <w:pPr>
              <w:jc w:val="right"/>
              <w:rPr>
                <w:b/>
                <w:bCs/>
                <w:sz w:val="18"/>
                <w:szCs w:val="18"/>
              </w:rPr>
            </w:pPr>
            <w:r w:rsidRPr="00821494">
              <w:rPr>
                <w:b/>
                <w:bCs/>
                <w:sz w:val="18"/>
                <w:szCs w:val="18"/>
              </w:rPr>
              <w:t>0</w:t>
            </w:r>
          </w:p>
        </w:tc>
      </w:tr>
      <w:tr w:rsidR="00D312DE" w:rsidRPr="007B7470" w14:paraId="269C9F1E" w14:textId="77777777" w:rsidTr="00774DA8">
        <w:trPr>
          <w:trHeight w:val="70"/>
          <w:jc w:val="center"/>
        </w:trPr>
        <w:tc>
          <w:tcPr>
            <w:tcW w:w="4661" w:type="dxa"/>
            <w:noWrap/>
            <w:vAlign w:val="center"/>
          </w:tcPr>
          <w:p w14:paraId="2A4D65D2" w14:textId="77777777" w:rsidR="00D312DE" w:rsidRPr="007B7470" w:rsidRDefault="00D312DE" w:rsidP="00774DA8">
            <w:pPr>
              <w:rPr>
                <w:b/>
                <w:bCs/>
                <w:i/>
                <w:iCs/>
                <w:sz w:val="24"/>
                <w:szCs w:val="24"/>
              </w:rPr>
            </w:pPr>
            <w:r w:rsidRPr="007B7470">
              <w:rPr>
                <w:b/>
                <w:bCs/>
                <w:i/>
                <w:iCs/>
                <w:sz w:val="24"/>
                <w:szCs w:val="24"/>
              </w:rPr>
              <w:t>- vplyv na ŠR</w:t>
            </w:r>
          </w:p>
        </w:tc>
        <w:tc>
          <w:tcPr>
            <w:tcW w:w="1267" w:type="dxa"/>
            <w:noWrap/>
            <w:vAlign w:val="center"/>
          </w:tcPr>
          <w:p w14:paraId="7647FEEE"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430BF8E8"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3D58AD47"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0DFC6433"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337489C7" w14:textId="77777777" w:rsidTr="00774DA8">
        <w:trPr>
          <w:trHeight w:val="70"/>
          <w:jc w:val="center"/>
        </w:trPr>
        <w:tc>
          <w:tcPr>
            <w:tcW w:w="4661" w:type="dxa"/>
            <w:noWrap/>
            <w:vAlign w:val="center"/>
          </w:tcPr>
          <w:p w14:paraId="61910A47" w14:textId="77777777" w:rsidR="00D312DE" w:rsidRPr="007B7470" w:rsidRDefault="00D312DE" w:rsidP="00774DA8">
            <w:pPr>
              <w:rPr>
                <w:b/>
                <w:bCs/>
                <w:i/>
                <w:iCs/>
                <w:sz w:val="24"/>
                <w:szCs w:val="24"/>
              </w:rPr>
            </w:pPr>
            <w:r w:rsidRPr="007B7470">
              <w:rPr>
                <w:b/>
                <w:bCs/>
                <w:i/>
                <w:iCs/>
                <w:sz w:val="24"/>
                <w:szCs w:val="24"/>
              </w:rPr>
              <w:t>- vplyv na obce</w:t>
            </w:r>
          </w:p>
        </w:tc>
        <w:tc>
          <w:tcPr>
            <w:tcW w:w="1267" w:type="dxa"/>
            <w:noWrap/>
            <w:vAlign w:val="center"/>
          </w:tcPr>
          <w:p w14:paraId="14443178"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172A7CBF"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54006F0C"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2FB0FA06"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3B149DAD" w14:textId="77777777" w:rsidTr="00774DA8">
        <w:trPr>
          <w:trHeight w:val="70"/>
          <w:jc w:val="center"/>
        </w:trPr>
        <w:tc>
          <w:tcPr>
            <w:tcW w:w="4661" w:type="dxa"/>
            <w:noWrap/>
            <w:vAlign w:val="center"/>
          </w:tcPr>
          <w:p w14:paraId="18D669B8" w14:textId="77777777" w:rsidR="00D312DE" w:rsidRPr="007B7470" w:rsidRDefault="00D312DE" w:rsidP="00774DA8">
            <w:pPr>
              <w:rPr>
                <w:b/>
                <w:bCs/>
                <w:i/>
                <w:iCs/>
                <w:sz w:val="24"/>
                <w:szCs w:val="24"/>
              </w:rPr>
            </w:pPr>
            <w:r w:rsidRPr="007B7470">
              <w:rPr>
                <w:b/>
                <w:bCs/>
                <w:i/>
                <w:iCs/>
                <w:sz w:val="24"/>
                <w:szCs w:val="24"/>
              </w:rPr>
              <w:t>- vplyv na vyššie územné celky</w:t>
            </w:r>
          </w:p>
        </w:tc>
        <w:tc>
          <w:tcPr>
            <w:tcW w:w="1267" w:type="dxa"/>
            <w:noWrap/>
            <w:vAlign w:val="center"/>
          </w:tcPr>
          <w:p w14:paraId="74A263D3"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14DC8765"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6B42FD56"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03FDCFAC"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0CA4ACC3" w14:textId="77777777" w:rsidTr="00774DA8">
        <w:trPr>
          <w:trHeight w:val="70"/>
          <w:jc w:val="center"/>
        </w:trPr>
        <w:tc>
          <w:tcPr>
            <w:tcW w:w="4661" w:type="dxa"/>
            <w:noWrap/>
            <w:vAlign w:val="center"/>
          </w:tcPr>
          <w:p w14:paraId="20F1C56C" w14:textId="77777777" w:rsidR="00D312DE" w:rsidRPr="007B7470" w:rsidRDefault="00D312DE" w:rsidP="00774DA8">
            <w:pPr>
              <w:rPr>
                <w:b/>
                <w:bCs/>
                <w:i/>
                <w:iCs/>
                <w:sz w:val="24"/>
                <w:szCs w:val="24"/>
              </w:rPr>
            </w:pPr>
            <w:r w:rsidRPr="007B7470">
              <w:rPr>
                <w:b/>
                <w:bCs/>
                <w:i/>
                <w:iCs/>
                <w:sz w:val="24"/>
                <w:szCs w:val="24"/>
              </w:rPr>
              <w:t>- vplyv na ostatné subjekty verejnej správy</w:t>
            </w:r>
          </w:p>
        </w:tc>
        <w:tc>
          <w:tcPr>
            <w:tcW w:w="1267" w:type="dxa"/>
            <w:noWrap/>
            <w:vAlign w:val="center"/>
          </w:tcPr>
          <w:p w14:paraId="762F9653"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1AA6E30B"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0F60DE43"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123B6BD6"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6DAA2352" w14:textId="77777777" w:rsidTr="00774DA8">
        <w:trPr>
          <w:trHeight w:val="70"/>
          <w:jc w:val="center"/>
        </w:trPr>
        <w:tc>
          <w:tcPr>
            <w:tcW w:w="4661" w:type="dxa"/>
            <w:shd w:val="clear" w:color="auto" w:fill="BFBFBF" w:themeFill="background1" w:themeFillShade="BF"/>
            <w:noWrap/>
            <w:vAlign w:val="center"/>
          </w:tcPr>
          <w:p w14:paraId="24847B46" w14:textId="77777777" w:rsidR="00D312DE" w:rsidRPr="007B7470" w:rsidRDefault="00D312DE" w:rsidP="00774DA8">
            <w:pPr>
              <w:rPr>
                <w:b/>
                <w:sz w:val="24"/>
                <w:szCs w:val="24"/>
              </w:rPr>
            </w:pPr>
            <w:r w:rsidRPr="007B7470">
              <w:rPr>
                <w:b/>
                <w:sz w:val="24"/>
                <w:szCs w:val="24"/>
              </w:rPr>
              <w:t>Vplyv na mzdové výdavky</w:t>
            </w:r>
          </w:p>
        </w:tc>
        <w:tc>
          <w:tcPr>
            <w:tcW w:w="1267" w:type="dxa"/>
            <w:shd w:val="clear" w:color="auto" w:fill="BFBFBF" w:themeFill="background1" w:themeFillShade="BF"/>
            <w:noWrap/>
            <w:vAlign w:val="center"/>
          </w:tcPr>
          <w:p w14:paraId="0979FC62" w14:textId="77777777" w:rsidR="00D312DE" w:rsidRPr="00821494" w:rsidRDefault="00D312DE" w:rsidP="00774DA8">
            <w:pPr>
              <w:jc w:val="right"/>
              <w:rPr>
                <w:b/>
                <w:sz w:val="18"/>
                <w:szCs w:val="18"/>
              </w:rPr>
            </w:pPr>
            <w:r w:rsidRPr="00821494">
              <w:rPr>
                <w:b/>
                <w:sz w:val="18"/>
                <w:szCs w:val="18"/>
              </w:rPr>
              <w:t>0</w:t>
            </w:r>
          </w:p>
        </w:tc>
        <w:tc>
          <w:tcPr>
            <w:tcW w:w="1267" w:type="dxa"/>
            <w:shd w:val="clear" w:color="auto" w:fill="BFBFBF" w:themeFill="background1" w:themeFillShade="BF"/>
            <w:noWrap/>
            <w:vAlign w:val="center"/>
          </w:tcPr>
          <w:p w14:paraId="27D3E7D0" w14:textId="77777777" w:rsidR="00D312DE" w:rsidRPr="00821494" w:rsidRDefault="00D312DE" w:rsidP="00774DA8">
            <w:pPr>
              <w:jc w:val="right"/>
              <w:rPr>
                <w:b/>
                <w:sz w:val="18"/>
                <w:szCs w:val="18"/>
              </w:rPr>
            </w:pPr>
            <w:r w:rsidRPr="00821494">
              <w:rPr>
                <w:b/>
                <w:sz w:val="18"/>
                <w:szCs w:val="18"/>
              </w:rPr>
              <w:t>0</w:t>
            </w:r>
          </w:p>
        </w:tc>
        <w:tc>
          <w:tcPr>
            <w:tcW w:w="1267" w:type="dxa"/>
            <w:shd w:val="clear" w:color="auto" w:fill="BFBFBF" w:themeFill="background1" w:themeFillShade="BF"/>
            <w:noWrap/>
            <w:vAlign w:val="center"/>
          </w:tcPr>
          <w:p w14:paraId="0770D07C" w14:textId="77777777" w:rsidR="00D312DE" w:rsidRPr="00821494" w:rsidRDefault="00D312DE" w:rsidP="00774DA8">
            <w:pPr>
              <w:jc w:val="right"/>
              <w:rPr>
                <w:b/>
                <w:sz w:val="18"/>
                <w:szCs w:val="18"/>
              </w:rPr>
            </w:pPr>
            <w:r w:rsidRPr="00821494">
              <w:rPr>
                <w:b/>
                <w:sz w:val="18"/>
                <w:szCs w:val="18"/>
              </w:rPr>
              <w:t>0</w:t>
            </w:r>
          </w:p>
        </w:tc>
        <w:tc>
          <w:tcPr>
            <w:tcW w:w="1267" w:type="dxa"/>
            <w:shd w:val="clear" w:color="auto" w:fill="BFBFBF" w:themeFill="background1" w:themeFillShade="BF"/>
            <w:noWrap/>
            <w:vAlign w:val="center"/>
          </w:tcPr>
          <w:p w14:paraId="0DFAE830" w14:textId="77777777" w:rsidR="00D312DE" w:rsidRPr="00821494" w:rsidRDefault="00D312DE" w:rsidP="00774DA8">
            <w:pPr>
              <w:jc w:val="right"/>
              <w:rPr>
                <w:b/>
                <w:sz w:val="18"/>
                <w:szCs w:val="18"/>
              </w:rPr>
            </w:pPr>
            <w:r w:rsidRPr="00821494">
              <w:rPr>
                <w:b/>
                <w:sz w:val="18"/>
                <w:szCs w:val="18"/>
              </w:rPr>
              <w:t>0</w:t>
            </w:r>
          </w:p>
        </w:tc>
      </w:tr>
      <w:tr w:rsidR="00D312DE" w:rsidRPr="007B7470" w14:paraId="76632610" w14:textId="77777777" w:rsidTr="00774DA8">
        <w:trPr>
          <w:trHeight w:val="70"/>
          <w:jc w:val="center"/>
        </w:trPr>
        <w:tc>
          <w:tcPr>
            <w:tcW w:w="4661" w:type="dxa"/>
            <w:noWrap/>
            <w:vAlign w:val="center"/>
          </w:tcPr>
          <w:p w14:paraId="3319EF3C" w14:textId="77777777" w:rsidR="00D312DE" w:rsidRPr="007B7470" w:rsidRDefault="00D312DE" w:rsidP="00774DA8">
            <w:pPr>
              <w:rPr>
                <w:b/>
                <w:bCs/>
                <w:i/>
                <w:iCs/>
                <w:sz w:val="24"/>
                <w:szCs w:val="24"/>
              </w:rPr>
            </w:pPr>
            <w:r w:rsidRPr="007B7470">
              <w:rPr>
                <w:b/>
                <w:bCs/>
                <w:i/>
                <w:iCs/>
                <w:sz w:val="24"/>
                <w:szCs w:val="24"/>
              </w:rPr>
              <w:t>- vplyv na ŠR</w:t>
            </w:r>
          </w:p>
        </w:tc>
        <w:tc>
          <w:tcPr>
            <w:tcW w:w="1267" w:type="dxa"/>
            <w:noWrap/>
            <w:vAlign w:val="center"/>
          </w:tcPr>
          <w:p w14:paraId="04FBA0C0"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445291F5"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2EB6444A"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21668E05"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7764CA9E" w14:textId="77777777" w:rsidTr="00774DA8">
        <w:trPr>
          <w:trHeight w:val="70"/>
          <w:jc w:val="center"/>
        </w:trPr>
        <w:tc>
          <w:tcPr>
            <w:tcW w:w="4661" w:type="dxa"/>
            <w:noWrap/>
            <w:vAlign w:val="center"/>
          </w:tcPr>
          <w:p w14:paraId="54B82242" w14:textId="77777777" w:rsidR="00D312DE" w:rsidRPr="007B7470" w:rsidRDefault="00D312DE" w:rsidP="00774DA8">
            <w:pPr>
              <w:rPr>
                <w:b/>
                <w:bCs/>
                <w:i/>
                <w:iCs/>
                <w:sz w:val="24"/>
                <w:szCs w:val="24"/>
              </w:rPr>
            </w:pPr>
            <w:r w:rsidRPr="007B7470">
              <w:rPr>
                <w:b/>
                <w:bCs/>
                <w:i/>
                <w:iCs/>
                <w:sz w:val="24"/>
                <w:szCs w:val="24"/>
              </w:rPr>
              <w:t>- vplyv na obce</w:t>
            </w:r>
          </w:p>
        </w:tc>
        <w:tc>
          <w:tcPr>
            <w:tcW w:w="1267" w:type="dxa"/>
            <w:noWrap/>
            <w:vAlign w:val="center"/>
          </w:tcPr>
          <w:p w14:paraId="37070DED"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24AE0FAC"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449BF367"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2DD59FEB"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0F538CB1" w14:textId="77777777" w:rsidTr="00774DA8">
        <w:trPr>
          <w:trHeight w:val="70"/>
          <w:jc w:val="center"/>
        </w:trPr>
        <w:tc>
          <w:tcPr>
            <w:tcW w:w="4661" w:type="dxa"/>
            <w:noWrap/>
            <w:vAlign w:val="center"/>
          </w:tcPr>
          <w:p w14:paraId="70BDFDD7" w14:textId="77777777" w:rsidR="00D312DE" w:rsidRPr="007B7470" w:rsidRDefault="00D312DE" w:rsidP="00774DA8">
            <w:pPr>
              <w:rPr>
                <w:b/>
                <w:bCs/>
                <w:i/>
                <w:iCs/>
                <w:sz w:val="24"/>
                <w:szCs w:val="24"/>
              </w:rPr>
            </w:pPr>
            <w:r w:rsidRPr="007B7470">
              <w:rPr>
                <w:b/>
                <w:bCs/>
                <w:i/>
                <w:iCs/>
                <w:sz w:val="24"/>
                <w:szCs w:val="24"/>
              </w:rPr>
              <w:t>- vplyv na vyššie územné celky</w:t>
            </w:r>
          </w:p>
        </w:tc>
        <w:tc>
          <w:tcPr>
            <w:tcW w:w="1267" w:type="dxa"/>
            <w:noWrap/>
            <w:vAlign w:val="center"/>
          </w:tcPr>
          <w:p w14:paraId="43C0176B"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3B4F3685"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68EB4D34"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25FDA945"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219F42CC" w14:textId="77777777" w:rsidTr="00774DA8">
        <w:trPr>
          <w:trHeight w:val="70"/>
          <w:jc w:val="center"/>
        </w:trPr>
        <w:tc>
          <w:tcPr>
            <w:tcW w:w="4661" w:type="dxa"/>
            <w:noWrap/>
            <w:vAlign w:val="center"/>
          </w:tcPr>
          <w:p w14:paraId="134926DD" w14:textId="77777777" w:rsidR="00D312DE" w:rsidRPr="007B7470" w:rsidRDefault="00D312DE" w:rsidP="00774DA8">
            <w:pPr>
              <w:rPr>
                <w:b/>
                <w:bCs/>
                <w:sz w:val="24"/>
                <w:szCs w:val="24"/>
              </w:rPr>
            </w:pPr>
            <w:r w:rsidRPr="007B7470">
              <w:rPr>
                <w:b/>
                <w:bCs/>
                <w:i/>
                <w:iCs/>
                <w:sz w:val="24"/>
                <w:szCs w:val="24"/>
              </w:rPr>
              <w:t>- vplyv na ostatné subjekty verejnej správy</w:t>
            </w:r>
          </w:p>
        </w:tc>
        <w:tc>
          <w:tcPr>
            <w:tcW w:w="1267" w:type="dxa"/>
            <w:noWrap/>
            <w:vAlign w:val="center"/>
          </w:tcPr>
          <w:p w14:paraId="7864A77A"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4879E031"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069A8ECC" w14:textId="77777777" w:rsidR="00D312DE" w:rsidRPr="00821494" w:rsidRDefault="00D312DE" w:rsidP="00774DA8">
            <w:pPr>
              <w:jc w:val="right"/>
              <w:rPr>
                <w:b/>
                <w:bCs/>
                <w:iCs/>
                <w:sz w:val="18"/>
                <w:szCs w:val="18"/>
              </w:rPr>
            </w:pPr>
            <w:r w:rsidRPr="00821494">
              <w:rPr>
                <w:b/>
                <w:bCs/>
                <w:iCs/>
                <w:sz w:val="18"/>
                <w:szCs w:val="18"/>
              </w:rPr>
              <w:t>0</w:t>
            </w:r>
          </w:p>
        </w:tc>
        <w:tc>
          <w:tcPr>
            <w:tcW w:w="1267" w:type="dxa"/>
            <w:noWrap/>
            <w:vAlign w:val="center"/>
          </w:tcPr>
          <w:p w14:paraId="7264D729" w14:textId="77777777" w:rsidR="00D312DE" w:rsidRPr="00821494" w:rsidRDefault="00D312DE" w:rsidP="00774DA8">
            <w:pPr>
              <w:jc w:val="right"/>
              <w:rPr>
                <w:b/>
                <w:bCs/>
                <w:iCs/>
                <w:sz w:val="18"/>
                <w:szCs w:val="18"/>
              </w:rPr>
            </w:pPr>
            <w:r w:rsidRPr="00821494">
              <w:rPr>
                <w:b/>
                <w:bCs/>
                <w:iCs/>
                <w:sz w:val="18"/>
                <w:szCs w:val="18"/>
              </w:rPr>
              <w:t>0</w:t>
            </w:r>
          </w:p>
        </w:tc>
      </w:tr>
      <w:tr w:rsidR="00D312DE" w:rsidRPr="007B7470" w14:paraId="2F5B83A3" w14:textId="77777777" w:rsidTr="00774DA8">
        <w:trPr>
          <w:trHeight w:val="70"/>
          <w:jc w:val="center"/>
        </w:trPr>
        <w:tc>
          <w:tcPr>
            <w:tcW w:w="4661" w:type="dxa"/>
            <w:shd w:val="clear" w:color="auto" w:fill="C0C0C0"/>
            <w:noWrap/>
            <w:vAlign w:val="center"/>
          </w:tcPr>
          <w:p w14:paraId="75D24C2C" w14:textId="77777777" w:rsidR="00D312DE" w:rsidRPr="007B7470" w:rsidRDefault="00D312DE" w:rsidP="00774DA8">
            <w:pPr>
              <w:rPr>
                <w:b/>
                <w:bCs/>
                <w:sz w:val="24"/>
                <w:szCs w:val="24"/>
              </w:rPr>
            </w:pPr>
            <w:r w:rsidRPr="007B7470">
              <w:rPr>
                <w:b/>
                <w:bCs/>
                <w:sz w:val="24"/>
                <w:szCs w:val="24"/>
              </w:rPr>
              <w:t>Financovanie zabezpečené v rozpočte</w:t>
            </w:r>
          </w:p>
        </w:tc>
        <w:tc>
          <w:tcPr>
            <w:tcW w:w="1267" w:type="dxa"/>
            <w:shd w:val="clear" w:color="auto" w:fill="C0C0C0"/>
            <w:noWrap/>
            <w:vAlign w:val="center"/>
          </w:tcPr>
          <w:p w14:paraId="1FC11971"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C0C0C0"/>
            <w:noWrap/>
            <w:vAlign w:val="center"/>
          </w:tcPr>
          <w:p w14:paraId="4DF9B56E"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C0C0C0"/>
            <w:noWrap/>
            <w:vAlign w:val="center"/>
          </w:tcPr>
          <w:p w14:paraId="7FB20B55"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C0C0C0"/>
            <w:noWrap/>
            <w:vAlign w:val="center"/>
          </w:tcPr>
          <w:p w14:paraId="6C69BBEE" w14:textId="77777777" w:rsidR="00D312DE" w:rsidRPr="00821494" w:rsidRDefault="00D312DE" w:rsidP="00774DA8">
            <w:pPr>
              <w:jc w:val="right"/>
              <w:rPr>
                <w:b/>
                <w:bCs/>
                <w:sz w:val="18"/>
                <w:szCs w:val="18"/>
              </w:rPr>
            </w:pPr>
            <w:r w:rsidRPr="00821494">
              <w:rPr>
                <w:b/>
                <w:bCs/>
                <w:sz w:val="18"/>
                <w:szCs w:val="18"/>
              </w:rPr>
              <w:t>0</w:t>
            </w:r>
          </w:p>
        </w:tc>
      </w:tr>
      <w:tr w:rsidR="00D312DE" w:rsidRPr="007B7470" w14:paraId="62C9293B" w14:textId="77777777" w:rsidTr="00774DA8">
        <w:trPr>
          <w:trHeight w:val="70"/>
          <w:jc w:val="center"/>
        </w:trPr>
        <w:tc>
          <w:tcPr>
            <w:tcW w:w="4661" w:type="dxa"/>
            <w:noWrap/>
            <w:vAlign w:val="center"/>
          </w:tcPr>
          <w:p w14:paraId="64D5C686" w14:textId="77777777" w:rsidR="00D312DE" w:rsidRPr="007B7470" w:rsidRDefault="00D312DE" w:rsidP="00774DA8">
            <w:pPr>
              <w:rPr>
                <w:sz w:val="24"/>
                <w:szCs w:val="24"/>
              </w:rPr>
            </w:pPr>
            <w:r w:rsidRPr="007B7470">
              <w:rPr>
                <w:sz w:val="24"/>
                <w:szCs w:val="24"/>
              </w:rPr>
              <w:t>v tom: za každý subjekt verejnej správy / program zvlášť</w:t>
            </w:r>
          </w:p>
        </w:tc>
        <w:tc>
          <w:tcPr>
            <w:tcW w:w="1267" w:type="dxa"/>
            <w:noWrap/>
            <w:vAlign w:val="center"/>
          </w:tcPr>
          <w:p w14:paraId="782DF95D"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16C45A33"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05C52249" w14:textId="77777777" w:rsidR="00D312DE" w:rsidRPr="00821494" w:rsidRDefault="00D312DE" w:rsidP="00774DA8">
            <w:pPr>
              <w:jc w:val="right"/>
              <w:rPr>
                <w:sz w:val="18"/>
                <w:szCs w:val="18"/>
              </w:rPr>
            </w:pPr>
            <w:r w:rsidRPr="00821494">
              <w:rPr>
                <w:sz w:val="18"/>
                <w:szCs w:val="18"/>
              </w:rPr>
              <w:t>0</w:t>
            </w:r>
          </w:p>
        </w:tc>
        <w:tc>
          <w:tcPr>
            <w:tcW w:w="1267" w:type="dxa"/>
            <w:noWrap/>
            <w:vAlign w:val="center"/>
          </w:tcPr>
          <w:p w14:paraId="76C0F021" w14:textId="77777777" w:rsidR="00D312DE" w:rsidRPr="00821494" w:rsidRDefault="00D312DE" w:rsidP="00774DA8">
            <w:pPr>
              <w:jc w:val="right"/>
              <w:rPr>
                <w:sz w:val="18"/>
                <w:szCs w:val="18"/>
              </w:rPr>
            </w:pPr>
            <w:r w:rsidRPr="00821494">
              <w:rPr>
                <w:sz w:val="18"/>
                <w:szCs w:val="18"/>
              </w:rPr>
              <w:t>0</w:t>
            </w:r>
          </w:p>
        </w:tc>
      </w:tr>
      <w:tr w:rsidR="00D312DE" w:rsidRPr="007B7470" w14:paraId="06B90076" w14:textId="77777777" w:rsidTr="00774DA8">
        <w:trPr>
          <w:trHeight w:val="70"/>
          <w:jc w:val="center"/>
        </w:trPr>
        <w:tc>
          <w:tcPr>
            <w:tcW w:w="4661" w:type="dxa"/>
            <w:shd w:val="clear" w:color="auto" w:fill="BFBFBF" w:themeFill="background1" w:themeFillShade="BF"/>
            <w:noWrap/>
            <w:vAlign w:val="center"/>
          </w:tcPr>
          <w:p w14:paraId="5A3FB764" w14:textId="77777777" w:rsidR="00D312DE" w:rsidRPr="007B7470" w:rsidRDefault="00D312DE" w:rsidP="00774DA8">
            <w:pPr>
              <w:rPr>
                <w:b/>
                <w:sz w:val="24"/>
                <w:szCs w:val="24"/>
              </w:rPr>
            </w:pPr>
            <w:r w:rsidRPr="007B7470">
              <w:rPr>
                <w:b/>
                <w:sz w:val="24"/>
                <w:szCs w:val="24"/>
              </w:rPr>
              <w:t>Iné ako rozpočtové zdroje</w:t>
            </w:r>
          </w:p>
        </w:tc>
        <w:tc>
          <w:tcPr>
            <w:tcW w:w="1267" w:type="dxa"/>
            <w:shd w:val="clear" w:color="auto" w:fill="BFBFBF" w:themeFill="background1" w:themeFillShade="BF"/>
            <w:noWrap/>
            <w:vAlign w:val="center"/>
          </w:tcPr>
          <w:p w14:paraId="596B53F0"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BFBFBF" w:themeFill="background1" w:themeFillShade="BF"/>
            <w:noWrap/>
            <w:vAlign w:val="center"/>
          </w:tcPr>
          <w:p w14:paraId="05800B83"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BFBFBF" w:themeFill="background1" w:themeFillShade="BF"/>
            <w:noWrap/>
            <w:vAlign w:val="center"/>
          </w:tcPr>
          <w:p w14:paraId="1C465498" w14:textId="77777777" w:rsidR="00D312DE" w:rsidRPr="00821494" w:rsidRDefault="00D312DE" w:rsidP="00774DA8">
            <w:pPr>
              <w:jc w:val="right"/>
              <w:rPr>
                <w:b/>
                <w:bCs/>
                <w:sz w:val="18"/>
                <w:szCs w:val="18"/>
              </w:rPr>
            </w:pPr>
            <w:r w:rsidRPr="00821494">
              <w:rPr>
                <w:b/>
                <w:bCs/>
                <w:sz w:val="18"/>
                <w:szCs w:val="18"/>
              </w:rPr>
              <w:t>0</w:t>
            </w:r>
          </w:p>
        </w:tc>
        <w:tc>
          <w:tcPr>
            <w:tcW w:w="1267" w:type="dxa"/>
            <w:shd w:val="clear" w:color="auto" w:fill="BFBFBF" w:themeFill="background1" w:themeFillShade="BF"/>
            <w:noWrap/>
            <w:vAlign w:val="center"/>
          </w:tcPr>
          <w:p w14:paraId="512800F1" w14:textId="77777777" w:rsidR="00D312DE" w:rsidRPr="00821494" w:rsidRDefault="00D312DE" w:rsidP="00774DA8">
            <w:pPr>
              <w:jc w:val="right"/>
              <w:rPr>
                <w:b/>
                <w:bCs/>
                <w:sz w:val="18"/>
                <w:szCs w:val="18"/>
              </w:rPr>
            </w:pPr>
            <w:r w:rsidRPr="00821494">
              <w:rPr>
                <w:b/>
                <w:bCs/>
                <w:sz w:val="18"/>
                <w:szCs w:val="18"/>
              </w:rPr>
              <w:t>0</w:t>
            </w:r>
          </w:p>
        </w:tc>
      </w:tr>
      <w:tr w:rsidR="00D312DE" w:rsidRPr="007B7470" w14:paraId="3F184022" w14:textId="77777777" w:rsidTr="00774DA8">
        <w:trPr>
          <w:trHeight w:val="70"/>
          <w:jc w:val="center"/>
        </w:trPr>
        <w:tc>
          <w:tcPr>
            <w:tcW w:w="4661" w:type="dxa"/>
            <w:shd w:val="clear" w:color="auto" w:fill="A6A6A6" w:themeFill="background1" w:themeFillShade="A6"/>
            <w:noWrap/>
            <w:vAlign w:val="center"/>
          </w:tcPr>
          <w:p w14:paraId="0253595B" w14:textId="77777777" w:rsidR="00D312DE" w:rsidRPr="007B7470" w:rsidRDefault="00D312DE" w:rsidP="00774DA8">
            <w:pPr>
              <w:rPr>
                <w:b/>
                <w:bCs/>
                <w:sz w:val="24"/>
                <w:szCs w:val="24"/>
              </w:rPr>
            </w:pPr>
            <w:r w:rsidRPr="007B7470">
              <w:rPr>
                <w:b/>
                <w:bCs/>
                <w:sz w:val="24"/>
                <w:szCs w:val="24"/>
              </w:rPr>
              <w:t xml:space="preserve">Rozpočtovo </w:t>
            </w:r>
            <w:r w:rsidRPr="00821494">
              <w:rPr>
                <w:b/>
                <w:bCs/>
                <w:sz w:val="24"/>
                <w:szCs w:val="24"/>
                <w:u w:val="single"/>
              </w:rPr>
              <w:t>nekrytý vplyv</w:t>
            </w:r>
            <w:r w:rsidRPr="007B7470">
              <w:rPr>
                <w:b/>
                <w:bCs/>
                <w:sz w:val="24"/>
                <w:szCs w:val="24"/>
              </w:rPr>
              <w:t xml:space="preserve"> / úspora</w:t>
            </w:r>
          </w:p>
        </w:tc>
        <w:tc>
          <w:tcPr>
            <w:tcW w:w="1267" w:type="dxa"/>
            <w:shd w:val="clear" w:color="auto" w:fill="A6A6A6" w:themeFill="background1" w:themeFillShade="A6"/>
            <w:noWrap/>
            <w:vAlign w:val="center"/>
          </w:tcPr>
          <w:p w14:paraId="5297AB29" w14:textId="77777777" w:rsidR="00D312DE" w:rsidRPr="00821494" w:rsidRDefault="00D312DE" w:rsidP="00774DA8">
            <w:pPr>
              <w:jc w:val="right"/>
              <w:rPr>
                <w:b/>
                <w:sz w:val="18"/>
                <w:szCs w:val="18"/>
              </w:rPr>
            </w:pPr>
            <w:r w:rsidRPr="00821494">
              <w:rPr>
                <w:b/>
                <w:sz w:val="18"/>
                <w:szCs w:val="18"/>
              </w:rPr>
              <w:t>- 1 200</w:t>
            </w:r>
            <w:r>
              <w:rPr>
                <w:b/>
                <w:sz w:val="18"/>
                <w:szCs w:val="18"/>
              </w:rPr>
              <w:t> </w:t>
            </w:r>
            <w:r w:rsidRPr="00821494">
              <w:rPr>
                <w:b/>
                <w:sz w:val="18"/>
                <w:szCs w:val="18"/>
              </w:rPr>
              <w:t>000</w:t>
            </w:r>
            <w:r>
              <w:rPr>
                <w:b/>
                <w:sz w:val="18"/>
                <w:szCs w:val="18"/>
              </w:rPr>
              <w:t>,00</w:t>
            </w:r>
          </w:p>
        </w:tc>
        <w:tc>
          <w:tcPr>
            <w:tcW w:w="1267" w:type="dxa"/>
            <w:shd w:val="clear" w:color="auto" w:fill="A6A6A6" w:themeFill="background1" w:themeFillShade="A6"/>
            <w:noWrap/>
            <w:vAlign w:val="center"/>
          </w:tcPr>
          <w:p w14:paraId="1F8E1918" w14:textId="77777777" w:rsidR="00D312DE" w:rsidRPr="00DD3550" w:rsidRDefault="00D312DE" w:rsidP="00774DA8">
            <w:pPr>
              <w:jc w:val="right"/>
              <w:rPr>
                <w:b/>
                <w:sz w:val="18"/>
                <w:szCs w:val="18"/>
              </w:rPr>
            </w:pPr>
            <w:r>
              <w:rPr>
                <w:b/>
                <w:sz w:val="18"/>
                <w:szCs w:val="18"/>
              </w:rPr>
              <w:t xml:space="preserve">- </w:t>
            </w:r>
            <w:r w:rsidRPr="00DD3550">
              <w:rPr>
                <w:b/>
                <w:sz w:val="18"/>
                <w:szCs w:val="18"/>
              </w:rPr>
              <w:t>1 019 168,6</w:t>
            </w:r>
            <w:r>
              <w:rPr>
                <w:b/>
                <w:sz w:val="18"/>
                <w:szCs w:val="18"/>
              </w:rPr>
              <w:t>1</w:t>
            </w:r>
          </w:p>
        </w:tc>
        <w:tc>
          <w:tcPr>
            <w:tcW w:w="1267" w:type="dxa"/>
            <w:shd w:val="clear" w:color="auto" w:fill="A6A6A6" w:themeFill="background1" w:themeFillShade="A6"/>
            <w:noWrap/>
            <w:vAlign w:val="center"/>
          </w:tcPr>
          <w:p w14:paraId="296565FE" w14:textId="77777777" w:rsidR="00D312DE" w:rsidRPr="00821494" w:rsidRDefault="00D312DE" w:rsidP="00774DA8">
            <w:pPr>
              <w:jc w:val="right"/>
              <w:rPr>
                <w:b/>
                <w:sz w:val="18"/>
                <w:szCs w:val="18"/>
              </w:rPr>
            </w:pPr>
            <w:r w:rsidRPr="00821494">
              <w:rPr>
                <w:b/>
                <w:sz w:val="18"/>
                <w:szCs w:val="18"/>
              </w:rPr>
              <w:t xml:space="preserve">- </w:t>
            </w:r>
            <w:r w:rsidRPr="00DD3550">
              <w:rPr>
                <w:b/>
                <w:sz w:val="18"/>
                <w:szCs w:val="18"/>
              </w:rPr>
              <w:t>1 025 558,14</w:t>
            </w:r>
          </w:p>
        </w:tc>
        <w:tc>
          <w:tcPr>
            <w:tcW w:w="1267" w:type="dxa"/>
            <w:shd w:val="clear" w:color="auto" w:fill="A6A6A6" w:themeFill="background1" w:themeFillShade="A6"/>
            <w:noWrap/>
            <w:vAlign w:val="center"/>
          </w:tcPr>
          <w:p w14:paraId="3206848F" w14:textId="77777777" w:rsidR="00D312DE" w:rsidRPr="00821494" w:rsidRDefault="00D312DE" w:rsidP="00774DA8">
            <w:pPr>
              <w:jc w:val="right"/>
              <w:rPr>
                <w:b/>
                <w:sz w:val="18"/>
                <w:szCs w:val="18"/>
              </w:rPr>
            </w:pPr>
            <w:r w:rsidRPr="00821494">
              <w:rPr>
                <w:b/>
                <w:sz w:val="18"/>
                <w:szCs w:val="18"/>
              </w:rPr>
              <w:t>- 406</w:t>
            </w:r>
            <w:r>
              <w:rPr>
                <w:b/>
                <w:sz w:val="18"/>
                <w:szCs w:val="18"/>
              </w:rPr>
              <w:t> 389,54</w:t>
            </w:r>
          </w:p>
        </w:tc>
      </w:tr>
    </w:tbl>
    <w:bookmarkEnd w:id="0"/>
    <w:p w14:paraId="20613E8E" w14:textId="77777777" w:rsidR="00D312DE" w:rsidRPr="007B7470" w:rsidRDefault="00D312DE" w:rsidP="00D312DE">
      <w:pPr>
        <w:rPr>
          <w:bCs/>
        </w:rPr>
      </w:pPr>
      <w:r w:rsidRPr="007B7470">
        <w:rPr>
          <w:bCs/>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D312DE" w:rsidRPr="007B7470" w14:paraId="30340268" w14:textId="77777777" w:rsidTr="00774DA8">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DA99E22" w14:textId="77777777" w:rsidR="00D312DE" w:rsidRPr="007B7470" w:rsidRDefault="00D312DE" w:rsidP="00774DA8">
            <w:pPr>
              <w:rPr>
                <w:color w:val="000000"/>
                <w:sz w:val="24"/>
                <w:szCs w:val="24"/>
              </w:rPr>
            </w:pPr>
            <w:r w:rsidRPr="007B7470">
              <w:rPr>
                <w:color w:val="000000"/>
                <w:sz w:val="24"/>
                <w:szCs w:val="24"/>
              </w:rPr>
              <w:lastRenderedPageBreak/>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F24624D" w14:textId="77777777" w:rsidR="00D312DE" w:rsidRPr="007B7470" w:rsidRDefault="00D312DE" w:rsidP="00774DA8">
            <w:pPr>
              <w:jc w:val="center"/>
              <w:rPr>
                <w:b/>
                <w:bCs/>
                <w:sz w:val="24"/>
                <w:szCs w:val="24"/>
              </w:rPr>
            </w:pPr>
            <w:r>
              <w:rPr>
                <w:b/>
                <w:bCs/>
                <w:sz w:val="24"/>
                <w:szCs w:val="24"/>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1DC3004" w14:textId="77777777" w:rsidR="00D312DE" w:rsidRPr="007B7470" w:rsidRDefault="00D312DE" w:rsidP="00774DA8">
            <w:pPr>
              <w:jc w:val="center"/>
              <w:rPr>
                <w:b/>
                <w:bCs/>
                <w:sz w:val="24"/>
                <w:szCs w:val="24"/>
              </w:rPr>
            </w:pPr>
            <w:r>
              <w:rPr>
                <w:b/>
                <w:bCs/>
                <w:sz w:val="24"/>
                <w:szCs w:val="24"/>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72ACFA9" w14:textId="77777777" w:rsidR="00D312DE" w:rsidRPr="007B7470" w:rsidRDefault="00D312DE" w:rsidP="00774DA8">
            <w:pPr>
              <w:jc w:val="center"/>
              <w:rPr>
                <w:b/>
                <w:bCs/>
                <w:sz w:val="24"/>
                <w:szCs w:val="24"/>
              </w:rPr>
            </w:pPr>
            <w:r>
              <w:rPr>
                <w:b/>
                <w:bCs/>
                <w:sz w:val="24"/>
                <w:szCs w:val="24"/>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06D67CC" w14:textId="77777777" w:rsidR="00D312DE" w:rsidRPr="007B7470" w:rsidRDefault="00D312DE" w:rsidP="00774DA8">
            <w:pPr>
              <w:jc w:val="center"/>
              <w:rPr>
                <w:b/>
                <w:bCs/>
                <w:sz w:val="24"/>
                <w:szCs w:val="24"/>
              </w:rPr>
            </w:pPr>
            <w:r>
              <w:rPr>
                <w:b/>
                <w:bCs/>
                <w:sz w:val="24"/>
                <w:szCs w:val="24"/>
              </w:rPr>
              <w:t>2027</w:t>
            </w:r>
          </w:p>
        </w:tc>
      </w:tr>
      <w:tr w:rsidR="00D312DE" w:rsidRPr="007B7470" w14:paraId="7331128A" w14:textId="77777777" w:rsidTr="00774DA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64D2F04" w14:textId="77777777" w:rsidR="00D312DE" w:rsidRPr="007B7470" w:rsidRDefault="00D312DE" w:rsidP="00774DA8">
            <w:pPr>
              <w:rPr>
                <w:b/>
                <w:bCs/>
                <w:color w:val="000000" w:themeColor="text1"/>
                <w:sz w:val="24"/>
                <w:szCs w:val="24"/>
              </w:rPr>
            </w:pPr>
            <w:r w:rsidRPr="007B7470">
              <w:rPr>
                <w:b/>
                <w:bCs/>
                <w:color w:val="000000" w:themeColor="text1"/>
                <w:sz w:val="24"/>
                <w:szCs w:val="24"/>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6A11811F" w14:textId="77777777" w:rsidR="00D312DE" w:rsidRPr="007B7470" w:rsidRDefault="00D312DE" w:rsidP="00774DA8">
            <w:pPr>
              <w:jc w:val="center"/>
              <w:rPr>
                <w:b/>
                <w:color w:val="000000"/>
                <w:sz w:val="24"/>
                <w:szCs w:val="24"/>
              </w:rPr>
            </w:pPr>
            <w:r w:rsidRPr="007B7470">
              <w:rPr>
                <w:b/>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14:paraId="3C9365D8" w14:textId="77777777" w:rsidR="00D312DE" w:rsidRPr="007B7470" w:rsidRDefault="00D312DE" w:rsidP="00774DA8">
            <w:pPr>
              <w:jc w:val="center"/>
              <w:rPr>
                <w:b/>
                <w:color w:val="000000"/>
                <w:sz w:val="24"/>
                <w:szCs w:val="24"/>
              </w:rPr>
            </w:pPr>
            <w:r w:rsidRPr="007B7470">
              <w:rPr>
                <w:b/>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14:paraId="7DB6D24D" w14:textId="77777777" w:rsidR="00D312DE" w:rsidRPr="007B7470" w:rsidRDefault="00D312DE" w:rsidP="00774DA8">
            <w:pPr>
              <w:jc w:val="center"/>
              <w:rPr>
                <w:b/>
                <w:color w:val="000000"/>
                <w:sz w:val="24"/>
                <w:szCs w:val="24"/>
              </w:rPr>
            </w:pPr>
            <w:r w:rsidRPr="007B7470">
              <w:rPr>
                <w:b/>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14:paraId="69AED512" w14:textId="77777777" w:rsidR="00D312DE" w:rsidRPr="007B7470" w:rsidRDefault="00D312DE" w:rsidP="00774DA8">
            <w:pPr>
              <w:jc w:val="center"/>
              <w:rPr>
                <w:b/>
                <w:color w:val="000000"/>
                <w:sz w:val="24"/>
                <w:szCs w:val="24"/>
              </w:rPr>
            </w:pPr>
            <w:r w:rsidRPr="007B7470">
              <w:rPr>
                <w:b/>
                <w:color w:val="000000"/>
                <w:sz w:val="24"/>
                <w:szCs w:val="24"/>
              </w:rPr>
              <w:t>0</w:t>
            </w:r>
          </w:p>
        </w:tc>
      </w:tr>
      <w:tr w:rsidR="00D312DE" w:rsidRPr="007B7470" w14:paraId="51540211" w14:textId="77777777" w:rsidTr="00774DA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CA133C4" w14:textId="77777777" w:rsidR="00D312DE" w:rsidRPr="007B7470" w:rsidRDefault="00D312DE" w:rsidP="00774DA8">
            <w:pPr>
              <w:rPr>
                <w:color w:val="000000" w:themeColor="text1"/>
                <w:sz w:val="24"/>
                <w:szCs w:val="24"/>
              </w:rPr>
            </w:pPr>
            <w:r w:rsidRPr="007B7470">
              <w:rPr>
                <w:color w:val="000000" w:themeColor="text1"/>
                <w:sz w:val="24"/>
                <w:szCs w:val="24"/>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14:paraId="0F4BB4F5" w14:textId="77777777" w:rsidR="00D312DE" w:rsidRPr="007B7470" w:rsidRDefault="00D312DE" w:rsidP="00774DA8">
            <w:pPr>
              <w:jc w:val="center"/>
              <w:rPr>
                <w:color w:val="000000"/>
                <w:sz w:val="24"/>
                <w:szCs w:val="24"/>
              </w:rPr>
            </w:pPr>
            <w:r w:rsidRPr="007B7470">
              <w:rPr>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14:paraId="6669CACE" w14:textId="77777777" w:rsidR="00D312DE" w:rsidRPr="007B7470" w:rsidRDefault="00D312DE" w:rsidP="00774DA8">
            <w:pPr>
              <w:jc w:val="center"/>
              <w:rPr>
                <w:color w:val="000000"/>
                <w:sz w:val="24"/>
                <w:szCs w:val="24"/>
              </w:rPr>
            </w:pPr>
            <w:r w:rsidRPr="007B7470">
              <w:rPr>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14:paraId="03963CB2" w14:textId="77777777" w:rsidR="00D312DE" w:rsidRPr="007B7470" w:rsidRDefault="00D312DE" w:rsidP="00774DA8">
            <w:pPr>
              <w:jc w:val="center"/>
              <w:rPr>
                <w:color w:val="000000"/>
                <w:sz w:val="24"/>
                <w:szCs w:val="24"/>
              </w:rPr>
            </w:pPr>
            <w:r w:rsidRPr="007B7470">
              <w:rPr>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14:paraId="35A335CE" w14:textId="77777777" w:rsidR="00D312DE" w:rsidRPr="007B7470" w:rsidRDefault="00D312DE" w:rsidP="00774DA8">
            <w:pPr>
              <w:jc w:val="center"/>
              <w:rPr>
                <w:color w:val="000000"/>
                <w:sz w:val="24"/>
                <w:szCs w:val="24"/>
              </w:rPr>
            </w:pPr>
            <w:r w:rsidRPr="007B7470">
              <w:rPr>
                <w:color w:val="000000"/>
                <w:sz w:val="24"/>
                <w:szCs w:val="24"/>
              </w:rPr>
              <w:t>0</w:t>
            </w:r>
          </w:p>
        </w:tc>
      </w:tr>
      <w:tr w:rsidR="00D312DE" w:rsidRPr="007B7470" w14:paraId="43D80B97" w14:textId="77777777" w:rsidTr="00774DA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EE0250A" w14:textId="77777777" w:rsidR="00D312DE" w:rsidRPr="007B7470" w:rsidRDefault="00D312DE" w:rsidP="00774DA8">
            <w:pPr>
              <w:rPr>
                <w:b/>
                <w:color w:val="000000" w:themeColor="text1"/>
                <w:sz w:val="24"/>
                <w:szCs w:val="24"/>
              </w:rPr>
            </w:pPr>
            <w:r w:rsidRPr="007B7470">
              <w:rPr>
                <w:b/>
                <w:color w:val="000000" w:themeColor="text1"/>
                <w:sz w:val="24"/>
                <w:szCs w:val="24"/>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17F9A277" w14:textId="77777777" w:rsidR="00D312DE" w:rsidRPr="007B7470" w:rsidRDefault="00D312DE" w:rsidP="00774DA8">
            <w:pPr>
              <w:rPr>
                <w:color w:val="000000"/>
                <w:sz w:val="24"/>
                <w:szCs w:val="24"/>
              </w:rPr>
            </w:pPr>
            <w:r w:rsidRPr="007B7470">
              <w:rPr>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DA5AB0" w14:textId="77777777" w:rsidR="00D312DE" w:rsidRPr="007B7470" w:rsidRDefault="00D312DE" w:rsidP="00774DA8">
            <w:pPr>
              <w:rPr>
                <w:color w:val="000000"/>
                <w:sz w:val="24"/>
                <w:szCs w:val="24"/>
              </w:rPr>
            </w:pPr>
            <w:r w:rsidRPr="007B7470">
              <w:rPr>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D5F943" w14:textId="77777777" w:rsidR="00D312DE" w:rsidRPr="007B7470" w:rsidRDefault="00D312DE" w:rsidP="00774DA8">
            <w:pPr>
              <w:rPr>
                <w:color w:val="000000"/>
                <w:sz w:val="24"/>
                <w:szCs w:val="24"/>
              </w:rPr>
            </w:pPr>
            <w:r w:rsidRPr="007B7470">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20C86BB0" w14:textId="77777777" w:rsidR="00D312DE" w:rsidRPr="007B7470" w:rsidRDefault="00D312DE" w:rsidP="00774DA8">
            <w:pPr>
              <w:rPr>
                <w:color w:val="000000"/>
                <w:sz w:val="24"/>
                <w:szCs w:val="24"/>
              </w:rPr>
            </w:pPr>
            <w:r w:rsidRPr="007B7470">
              <w:rPr>
                <w:color w:val="000000"/>
                <w:sz w:val="24"/>
                <w:szCs w:val="24"/>
              </w:rPr>
              <w:t> </w:t>
            </w:r>
          </w:p>
        </w:tc>
      </w:tr>
      <w:tr w:rsidR="00D312DE" w:rsidRPr="007B7470" w14:paraId="3530E85E" w14:textId="77777777" w:rsidTr="00774DA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24172BA" w14:textId="77777777" w:rsidR="00D312DE" w:rsidRPr="007B7470" w:rsidRDefault="00D312DE" w:rsidP="00774DA8">
            <w:pPr>
              <w:rPr>
                <w:b/>
                <w:bCs/>
                <w:color w:val="000000" w:themeColor="text1"/>
                <w:sz w:val="24"/>
                <w:szCs w:val="24"/>
              </w:rPr>
            </w:pPr>
            <w:r w:rsidRPr="007B7470">
              <w:rPr>
                <w:b/>
                <w:bCs/>
                <w:color w:val="000000" w:themeColor="text1"/>
                <w:sz w:val="24"/>
                <w:szCs w:val="24"/>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33DB1F5D" w14:textId="77777777" w:rsidR="00D312DE" w:rsidRPr="007B7470" w:rsidRDefault="00D312DE" w:rsidP="00774DA8">
            <w:pPr>
              <w:jc w:val="center"/>
              <w:rPr>
                <w:b/>
                <w:color w:val="000000"/>
                <w:sz w:val="24"/>
                <w:szCs w:val="24"/>
              </w:rPr>
            </w:pPr>
            <w:r w:rsidRPr="007B7470">
              <w:rPr>
                <w:b/>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14:paraId="784F0BCC" w14:textId="77777777" w:rsidR="00D312DE" w:rsidRPr="007B7470" w:rsidRDefault="00D312DE" w:rsidP="00774DA8">
            <w:pPr>
              <w:jc w:val="center"/>
              <w:rPr>
                <w:b/>
                <w:color w:val="000000"/>
                <w:sz w:val="24"/>
                <w:szCs w:val="24"/>
              </w:rPr>
            </w:pPr>
            <w:r w:rsidRPr="007B7470">
              <w:rPr>
                <w:b/>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14:paraId="0B848939" w14:textId="77777777" w:rsidR="00D312DE" w:rsidRPr="007B7470" w:rsidRDefault="00D312DE" w:rsidP="00774DA8">
            <w:pPr>
              <w:jc w:val="center"/>
              <w:rPr>
                <w:b/>
                <w:color w:val="000000"/>
                <w:sz w:val="24"/>
                <w:szCs w:val="24"/>
              </w:rPr>
            </w:pPr>
            <w:r w:rsidRPr="007B7470">
              <w:rPr>
                <w:b/>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14:paraId="769109C6" w14:textId="77777777" w:rsidR="00D312DE" w:rsidRPr="007B7470" w:rsidRDefault="00D312DE" w:rsidP="00774DA8">
            <w:pPr>
              <w:jc w:val="center"/>
              <w:rPr>
                <w:b/>
                <w:color w:val="000000"/>
                <w:sz w:val="24"/>
                <w:szCs w:val="24"/>
              </w:rPr>
            </w:pPr>
            <w:r w:rsidRPr="007B7470">
              <w:rPr>
                <w:b/>
                <w:color w:val="000000"/>
                <w:sz w:val="24"/>
                <w:szCs w:val="24"/>
              </w:rPr>
              <w:t>0</w:t>
            </w:r>
          </w:p>
        </w:tc>
      </w:tr>
      <w:tr w:rsidR="00D312DE" w:rsidRPr="007B7470" w14:paraId="5080E84E" w14:textId="77777777" w:rsidTr="00774DA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04F264E" w14:textId="77777777" w:rsidR="00D312DE" w:rsidRPr="007B7470" w:rsidRDefault="00D312DE" w:rsidP="00774DA8">
            <w:pPr>
              <w:rPr>
                <w:b/>
                <w:bCs/>
                <w:color w:val="000000" w:themeColor="text1"/>
                <w:sz w:val="24"/>
                <w:szCs w:val="24"/>
              </w:rPr>
            </w:pPr>
            <w:r w:rsidRPr="007B7470">
              <w:rPr>
                <w:b/>
                <w:bCs/>
                <w:color w:val="000000" w:themeColor="text1"/>
                <w:sz w:val="24"/>
                <w:szCs w:val="24"/>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677D551A" w14:textId="77777777" w:rsidR="00D312DE" w:rsidRPr="007B7470" w:rsidRDefault="00D312DE" w:rsidP="00774DA8">
            <w:pPr>
              <w:jc w:val="center"/>
              <w:rPr>
                <w:b/>
                <w:color w:val="000000"/>
                <w:sz w:val="24"/>
                <w:szCs w:val="24"/>
              </w:rPr>
            </w:pPr>
            <w:r w:rsidRPr="007B7470">
              <w:rPr>
                <w:b/>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14:paraId="4E36AD52" w14:textId="77777777" w:rsidR="00D312DE" w:rsidRPr="007B7470" w:rsidRDefault="00D312DE" w:rsidP="00774DA8">
            <w:pPr>
              <w:jc w:val="center"/>
              <w:rPr>
                <w:b/>
                <w:color w:val="000000"/>
                <w:sz w:val="24"/>
                <w:szCs w:val="24"/>
              </w:rPr>
            </w:pPr>
            <w:r w:rsidRPr="007B7470">
              <w:rPr>
                <w:b/>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14:paraId="22A40BB1" w14:textId="77777777" w:rsidR="00D312DE" w:rsidRPr="007B7470" w:rsidRDefault="00D312DE" w:rsidP="00774DA8">
            <w:pPr>
              <w:jc w:val="center"/>
              <w:rPr>
                <w:b/>
                <w:color w:val="000000"/>
                <w:sz w:val="24"/>
                <w:szCs w:val="24"/>
              </w:rPr>
            </w:pPr>
            <w:r w:rsidRPr="007B7470">
              <w:rPr>
                <w:b/>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14:paraId="0A61442B" w14:textId="77777777" w:rsidR="00D312DE" w:rsidRPr="007B7470" w:rsidRDefault="00D312DE" w:rsidP="00774DA8">
            <w:pPr>
              <w:jc w:val="center"/>
              <w:rPr>
                <w:b/>
                <w:color w:val="000000"/>
                <w:sz w:val="24"/>
                <w:szCs w:val="24"/>
              </w:rPr>
            </w:pPr>
            <w:r w:rsidRPr="007B7470">
              <w:rPr>
                <w:b/>
                <w:color w:val="000000"/>
                <w:sz w:val="24"/>
                <w:szCs w:val="24"/>
              </w:rPr>
              <w:t>0</w:t>
            </w:r>
          </w:p>
        </w:tc>
      </w:tr>
      <w:tr w:rsidR="00D312DE" w:rsidRPr="007B7470" w14:paraId="083DEB1F" w14:textId="77777777" w:rsidTr="00774DA8">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C5CEB7F" w14:textId="77777777" w:rsidR="00D312DE" w:rsidRPr="007B7470" w:rsidRDefault="00D312DE" w:rsidP="00774DA8">
            <w:pPr>
              <w:rPr>
                <w:b/>
                <w:bCs/>
                <w:color w:val="000000" w:themeColor="text1"/>
                <w:sz w:val="24"/>
                <w:szCs w:val="24"/>
              </w:rPr>
            </w:pPr>
            <w:r w:rsidRPr="007B7470">
              <w:rPr>
                <w:b/>
                <w:bCs/>
                <w:color w:val="000000" w:themeColor="text1"/>
                <w:sz w:val="24"/>
                <w:szCs w:val="24"/>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C36E4F" w14:textId="77777777" w:rsidR="00D312DE" w:rsidRPr="007B7470" w:rsidRDefault="00D312DE" w:rsidP="00774DA8">
            <w:pPr>
              <w:jc w:val="center"/>
              <w:rPr>
                <w:b/>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B6B9A40" w14:textId="77777777" w:rsidR="00D312DE" w:rsidRPr="007B7470" w:rsidRDefault="00D312DE" w:rsidP="00774DA8">
            <w:pPr>
              <w:jc w:val="center"/>
              <w:rPr>
                <w:b/>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A096303" w14:textId="77777777" w:rsidR="00D312DE" w:rsidRPr="007B7470" w:rsidRDefault="00D312DE" w:rsidP="00774DA8">
            <w:pPr>
              <w:jc w:val="center"/>
              <w:rPr>
                <w:b/>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5285B28" w14:textId="77777777" w:rsidR="00D312DE" w:rsidRPr="007B7470" w:rsidRDefault="00D312DE" w:rsidP="00774DA8">
            <w:pPr>
              <w:jc w:val="center"/>
              <w:rPr>
                <w:b/>
                <w:color w:val="000000"/>
                <w:sz w:val="24"/>
                <w:szCs w:val="24"/>
              </w:rPr>
            </w:pPr>
          </w:p>
        </w:tc>
      </w:tr>
    </w:tbl>
    <w:p w14:paraId="4A71B2B8" w14:textId="77777777" w:rsidR="00D312DE" w:rsidRPr="007B7470" w:rsidRDefault="00D312DE" w:rsidP="00D312DE">
      <w:pPr>
        <w:rPr>
          <w:b/>
          <w:bCs/>
          <w:sz w:val="24"/>
          <w:szCs w:val="24"/>
        </w:rPr>
      </w:pPr>
    </w:p>
    <w:p w14:paraId="06E20800" w14:textId="77777777" w:rsidR="00D312DE" w:rsidRPr="007B7470" w:rsidRDefault="00D312DE" w:rsidP="00D312DE">
      <w:pPr>
        <w:rPr>
          <w:b/>
          <w:bCs/>
          <w:sz w:val="24"/>
          <w:szCs w:val="24"/>
        </w:rPr>
      </w:pPr>
      <w:r w:rsidRPr="007B7470">
        <w:rPr>
          <w:b/>
          <w:bCs/>
          <w:sz w:val="24"/>
          <w:szCs w:val="24"/>
        </w:rPr>
        <w:t>2.1.1. Financovanie návrhu - Návrh na riešenie úbytku príjmov alebo zvýšených výdavkov podľa § 33 ods. 1 zákona č. 523/2004 Z. z. o rozpočtových pravidlách verejnej správy:</w:t>
      </w:r>
    </w:p>
    <w:p w14:paraId="2859A298" w14:textId="77777777" w:rsidR="00D312DE" w:rsidRPr="007B7470" w:rsidRDefault="00D312DE" w:rsidP="00D312DE">
      <w:pPr>
        <w:jc w:val="both"/>
        <w:rPr>
          <w:b/>
          <w:bCs/>
          <w:sz w:val="12"/>
          <w:szCs w:val="24"/>
        </w:rPr>
      </w:pPr>
    </w:p>
    <w:p w14:paraId="11BF7CB6" w14:textId="77777777" w:rsidR="00D312DE" w:rsidRPr="0021203F" w:rsidRDefault="00D312DE" w:rsidP="00D312DE">
      <w:pPr>
        <w:pBdr>
          <w:top w:val="single" w:sz="4" w:space="1" w:color="auto"/>
          <w:left w:val="single" w:sz="4" w:space="4" w:color="auto"/>
          <w:bottom w:val="single" w:sz="4" w:space="0" w:color="auto"/>
          <w:right w:val="single" w:sz="4" w:space="4" w:color="auto"/>
        </w:pBdr>
        <w:jc w:val="both"/>
        <w:rPr>
          <w:bCs/>
          <w:sz w:val="24"/>
          <w:szCs w:val="24"/>
        </w:rPr>
      </w:pPr>
      <w:r w:rsidRPr="0021203F">
        <w:rPr>
          <w:bCs/>
          <w:sz w:val="24"/>
          <w:szCs w:val="24"/>
        </w:rPr>
        <w:t>Vzhľadom na skutočnosť, že ide o nový účel poskytovania príspevku v civilnom letectve z rozpočtovej kapitoly Ministerstva dopravy Slovenskej republiky, vyššieho územného celku alebo obce, možno predpokladať negatívny vplyv na rozpočet verejnej s</w:t>
      </w:r>
      <w:r>
        <w:rPr>
          <w:bCs/>
          <w:sz w:val="24"/>
          <w:szCs w:val="24"/>
        </w:rPr>
        <w:t>právy</w:t>
      </w:r>
      <w:r w:rsidRPr="0021203F">
        <w:rPr>
          <w:bCs/>
          <w:sz w:val="24"/>
          <w:szCs w:val="24"/>
        </w:rPr>
        <w:t xml:space="preserve">, ktorý </w:t>
      </w:r>
      <w:r>
        <w:rPr>
          <w:bCs/>
          <w:sz w:val="24"/>
          <w:szCs w:val="24"/>
        </w:rPr>
        <w:t xml:space="preserve">nie </w:t>
      </w:r>
      <w:r w:rsidRPr="0021203F">
        <w:rPr>
          <w:bCs/>
          <w:sz w:val="24"/>
          <w:szCs w:val="24"/>
        </w:rPr>
        <w:t>je, s</w:t>
      </w:r>
      <w:r>
        <w:rPr>
          <w:bCs/>
          <w:sz w:val="24"/>
          <w:szCs w:val="24"/>
        </w:rPr>
        <w:t> </w:t>
      </w:r>
      <w:r w:rsidRPr="0021203F">
        <w:rPr>
          <w:bCs/>
          <w:sz w:val="24"/>
          <w:szCs w:val="24"/>
        </w:rPr>
        <w:t>prihliadnutím na stanovené limity rozpočtu Ministerstva dopravy Slovenskej republiky aktuálne rozpočtovo krytý</w:t>
      </w:r>
      <w:r>
        <w:rPr>
          <w:bCs/>
          <w:sz w:val="24"/>
          <w:szCs w:val="24"/>
        </w:rPr>
        <w:t>.</w:t>
      </w:r>
    </w:p>
    <w:p w14:paraId="7A1FFD46" w14:textId="77777777" w:rsidR="00D312DE" w:rsidRDefault="00D312DE" w:rsidP="00D312DE">
      <w:pPr>
        <w:pBdr>
          <w:top w:val="single" w:sz="4" w:space="1" w:color="auto"/>
          <w:left w:val="single" w:sz="4" w:space="4" w:color="auto"/>
          <w:bottom w:val="single" w:sz="4" w:space="0" w:color="auto"/>
          <w:right w:val="single" w:sz="4" w:space="4" w:color="auto"/>
        </w:pBdr>
        <w:jc w:val="both"/>
        <w:rPr>
          <w:bCs/>
          <w:sz w:val="24"/>
          <w:szCs w:val="24"/>
        </w:rPr>
      </w:pPr>
    </w:p>
    <w:p w14:paraId="3844583F" w14:textId="77777777" w:rsidR="00D312DE" w:rsidRPr="0021203F" w:rsidRDefault="00D312DE" w:rsidP="00D312DE">
      <w:pPr>
        <w:pBdr>
          <w:top w:val="single" w:sz="4" w:space="1" w:color="auto"/>
          <w:left w:val="single" w:sz="4" w:space="4" w:color="auto"/>
          <w:bottom w:val="single" w:sz="4" w:space="0" w:color="auto"/>
          <w:right w:val="single" w:sz="4" w:space="4" w:color="auto"/>
        </w:pBdr>
        <w:jc w:val="both"/>
        <w:rPr>
          <w:bCs/>
          <w:sz w:val="24"/>
          <w:szCs w:val="24"/>
        </w:rPr>
      </w:pPr>
      <w:r>
        <w:rPr>
          <w:bCs/>
          <w:sz w:val="24"/>
          <w:szCs w:val="24"/>
        </w:rPr>
        <w:t>U</w:t>
      </w:r>
      <w:r w:rsidRPr="0021203F">
        <w:rPr>
          <w:bCs/>
          <w:sz w:val="24"/>
          <w:szCs w:val="24"/>
        </w:rPr>
        <w:t xml:space="preserve">vedené </w:t>
      </w:r>
      <w:r>
        <w:rPr>
          <w:bCs/>
          <w:sz w:val="24"/>
          <w:szCs w:val="24"/>
        </w:rPr>
        <w:t xml:space="preserve">odhadované </w:t>
      </w:r>
      <w:r w:rsidRPr="0021203F">
        <w:rPr>
          <w:bCs/>
          <w:sz w:val="24"/>
          <w:szCs w:val="24"/>
        </w:rPr>
        <w:t>sumy predstavujú predpokladané náklady na podp</w:t>
      </w:r>
      <w:r>
        <w:rPr>
          <w:bCs/>
          <w:sz w:val="24"/>
          <w:szCs w:val="24"/>
        </w:rPr>
        <w:t>oru priamych leteckých spojení a </w:t>
      </w:r>
      <w:r w:rsidRPr="0021203F">
        <w:rPr>
          <w:bCs/>
          <w:sz w:val="24"/>
          <w:szCs w:val="24"/>
        </w:rPr>
        <w:t>budú predmetom rokovaní medzi Ministerstvom dopravy Slovenskej republiky a</w:t>
      </w:r>
      <w:r>
        <w:rPr>
          <w:bCs/>
          <w:sz w:val="24"/>
          <w:szCs w:val="24"/>
        </w:rPr>
        <w:t> </w:t>
      </w:r>
      <w:r w:rsidRPr="0021203F">
        <w:rPr>
          <w:bCs/>
          <w:sz w:val="24"/>
          <w:szCs w:val="24"/>
        </w:rPr>
        <w:t>Ministerstvom financií Slovenskej republiky v</w:t>
      </w:r>
      <w:r>
        <w:rPr>
          <w:bCs/>
          <w:sz w:val="24"/>
          <w:szCs w:val="24"/>
        </w:rPr>
        <w:t> </w:t>
      </w:r>
      <w:r w:rsidRPr="0021203F">
        <w:rPr>
          <w:bCs/>
          <w:sz w:val="24"/>
          <w:szCs w:val="24"/>
        </w:rPr>
        <w:t>rámci prípravy návrhu rozpočtu verejnej správy na príslušné rozpočtové roky</w:t>
      </w:r>
      <w:r>
        <w:rPr>
          <w:bCs/>
          <w:sz w:val="24"/>
          <w:szCs w:val="24"/>
        </w:rPr>
        <w:t xml:space="preserve"> zohľadňujúc povinnosti vyplývajúce z investičnej zmluvy</w:t>
      </w:r>
      <w:r w:rsidRPr="0021203F">
        <w:rPr>
          <w:bCs/>
          <w:sz w:val="24"/>
          <w:szCs w:val="24"/>
        </w:rPr>
        <w:t>.</w:t>
      </w:r>
    </w:p>
    <w:p w14:paraId="30FA3F6E" w14:textId="77777777" w:rsidR="00D312DE" w:rsidRPr="007B7470" w:rsidRDefault="00D312DE" w:rsidP="00D312DE">
      <w:pPr>
        <w:pBdr>
          <w:top w:val="single" w:sz="4" w:space="1" w:color="auto"/>
          <w:left w:val="single" w:sz="4" w:space="4" w:color="auto"/>
          <w:bottom w:val="single" w:sz="4" w:space="0" w:color="auto"/>
          <w:right w:val="single" w:sz="4" w:space="4" w:color="auto"/>
        </w:pBdr>
        <w:rPr>
          <w:b/>
          <w:bCs/>
          <w:sz w:val="24"/>
          <w:szCs w:val="24"/>
        </w:rPr>
      </w:pPr>
    </w:p>
    <w:p w14:paraId="0B6030F0" w14:textId="77777777" w:rsidR="00D312DE" w:rsidRPr="007B7470" w:rsidRDefault="00D312DE" w:rsidP="00D312DE">
      <w:pPr>
        <w:rPr>
          <w:b/>
          <w:bCs/>
          <w:sz w:val="24"/>
          <w:szCs w:val="24"/>
        </w:rPr>
      </w:pPr>
      <w:r w:rsidRPr="007B7470">
        <w:rPr>
          <w:b/>
          <w:bCs/>
          <w:sz w:val="24"/>
          <w:szCs w:val="24"/>
        </w:rPr>
        <w:t>2.2. Popis a charakteristika návrhu</w:t>
      </w:r>
    </w:p>
    <w:p w14:paraId="04420FBA" w14:textId="77777777" w:rsidR="00D312DE" w:rsidRPr="007B7470" w:rsidRDefault="00D312DE" w:rsidP="00D312DE">
      <w:pPr>
        <w:rPr>
          <w:sz w:val="24"/>
          <w:szCs w:val="24"/>
        </w:rPr>
      </w:pPr>
    </w:p>
    <w:p w14:paraId="7562104F" w14:textId="77777777" w:rsidR="00D312DE" w:rsidRPr="007B7470" w:rsidRDefault="00D312DE" w:rsidP="00D312DE">
      <w:pPr>
        <w:jc w:val="both"/>
        <w:rPr>
          <w:b/>
          <w:bCs/>
          <w:sz w:val="24"/>
          <w:szCs w:val="24"/>
        </w:rPr>
      </w:pPr>
      <w:r w:rsidRPr="007B7470">
        <w:rPr>
          <w:b/>
          <w:bCs/>
          <w:sz w:val="24"/>
          <w:szCs w:val="24"/>
        </w:rPr>
        <w:t>2.2.1. Popis návrhu:</w:t>
      </w:r>
    </w:p>
    <w:p w14:paraId="4E189A50" w14:textId="77777777" w:rsidR="00D312DE" w:rsidRPr="007B7470" w:rsidRDefault="00D312DE" w:rsidP="00D312DE">
      <w:pPr>
        <w:jc w:val="both"/>
        <w:rPr>
          <w:b/>
          <w:bCs/>
          <w:sz w:val="24"/>
          <w:szCs w:val="24"/>
        </w:rPr>
      </w:pPr>
    </w:p>
    <w:p w14:paraId="20E4D365" w14:textId="77777777" w:rsidR="00D312DE" w:rsidRPr="007B7470" w:rsidRDefault="00D312DE" w:rsidP="00D312DE">
      <w:pPr>
        <w:ind w:firstLine="708"/>
        <w:jc w:val="both"/>
        <w:rPr>
          <w:sz w:val="24"/>
          <w:szCs w:val="24"/>
        </w:rPr>
      </w:pPr>
      <w:r w:rsidRPr="007B7470">
        <w:rPr>
          <w:sz w:val="24"/>
          <w:szCs w:val="24"/>
        </w:rPr>
        <w:t>Akú problematiku návrh rieši? Kto bude návrh implementovať? Kde sa budú služby poskytovať?</w:t>
      </w:r>
    </w:p>
    <w:p w14:paraId="058E857D" w14:textId="77777777" w:rsidR="00D312DE" w:rsidRPr="007B7470" w:rsidRDefault="00D312DE" w:rsidP="00D312DE">
      <w:pPr>
        <w:rPr>
          <w:sz w:val="24"/>
          <w:szCs w:val="24"/>
        </w:rPr>
      </w:pPr>
    </w:p>
    <w:p w14:paraId="47A3BDF0" w14:textId="77777777" w:rsidR="00D312DE" w:rsidRPr="005E6CA8" w:rsidRDefault="00D312DE" w:rsidP="00D312DE">
      <w:pPr>
        <w:ind w:firstLine="708"/>
        <w:jc w:val="both"/>
        <w:rPr>
          <w:bCs/>
          <w:color w:val="000000"/>
          <w:sz w:val="24"/>
          <w:szCs w:val="24"/>
        </w:rPr>
      </w:pPr>
      <w:r w:rsidRPr="005E6CA8">
        <w:rPr>
          <w:bCs/>
          <w:color w:val="000000"/>
          <w:sz w:val="24"/>
          <w:szCs w:val="24"/>
        </w:rPr>
        <w:t>Podľa bodu 5.4.4 investičnej zmluvy medzi EJL Slovakia s. r. o., Slovenskou republikou zastúpenou Ministerstvom hospodárstva SR a Valaliky Industrial</w:t>
      </w:r>
      <w:r>
        <w:rPr>
          <w:bCs/>
          <w:color w:val="000000"/>
          <w:sz w:val="24"/>
          <w:szCs w:val="24"/>
        </w:rPr>
        <w:t xml:space="preserve"> Park, s. r. o., schválenej</w:t>
      </w:r>
      <w:r w:rsidRPr="005E6CA8">
        <w:rPr>
          <w:bCs/>
          <w:color w:val="000000"/>
          <w:sz w:val="24"/>
          <w:szCs w:val="24"/>
        </w:rPr>
        <w:t xml:space="preserve"> vládou Slovenskej republiky uznesením č. 442</w:t>
      </w:r>
      <w:r w:rsidRPr="005E6CA8">
        <w:rPr>
          <w:rFonts w:eastAsia="Calibri"/>
          <w:sz w:val="24"/>
        </w:rPr>
        <w:t xml:space="preserve"> zo 7. júla 202</w:t>
      </w:r>
      <w:r>
        <w:rPr>
          <w:rFonts w:eastAsia="Calibri"/>
          <w:sz w:val="24"/>
        </w:rPr>
        <w:t>2</w:t>
      </w:r>
      <w:r w:rsidRPr="005E6CA8">
        <w:rPr>
          <w:rFonts w:eastAsia="Calibri"/>
          <w:sz w:val="24"/>
        </w:rPr>
        <w:t xml:space="preserve"> </w:t>
      </w:r>
      <w:r w:rsidRPr="005E6CA8">
        <w:rPr>
          <w:bCs/>
          <w:color w:val="000000"/>
          <w:sz w:val="24"/>
          <w:szCs w:val="24"/>
        </w:rPr>
        <w:t>„</w:t>
      </w:r>
      <w:r w:rsidRPr="005E6CA8">
        <w:rPr>
          <w:bCs/>
          <w:i/>
          <w:color w:val="000000"/>
          <w:sz w:val="24"/>
          <w:szCs w:val="24"/>
        </w:rPr>
        <w:t>Slovakia declares its intention to facilitate for flight service providers, within the framework of applicable laws, to implement regular and direct Gothenburg-Košice flights as new route from the date of start of construction on the Site.</w:t>
      </w:r>
      <w:r w:rsidRPr="005E6CA8">
        <w:rPr>
          <w:bCs/>
          <w:color w:val="000000"/>
          <w:sz w:val="24"/>
          <w:szCs w:val="24"/>
        </w:rPr>
        <w:t>“.</w:t>
      </w:r>
    </w:p>
    <w:p w14:paraId="6FBA7C7F" w14:textId="77777777" w:rsidR="00D312DE" w:rsidRPr="005E6CA8" w:rsidRDefault="00D312DE" w:rsidP="00D312DE">
      <w:pPr>
        <w:jc w:val="both"/>
        <w:rPr>
          <w:bCs/>
          <w:color w:val="000000"/>
          <w:sz w:val="24"/>
          <w:szCs w:val="24"/>
        </w:rPr>
      </w:pPr>
    </w:p>
    <w:p w14:paraId="60470BF2" w14:textId="77777777" w:rsidR="00D312DE" w:rsidRPr="005E6CA8" w:rsidRDefault="00D312DE" w:rsidP="00D312DE">
      <w:pPr>
        <w:ind w:firstLine="708"/>
        <w:jc w:val="both"/>
        <w:rPr>
          <w:bCs/>
          <w:color w:val="000000"/>
          <w:sz w:val="24"/>
          <w:szCs w:val="24"/>
        </w:rPr>
      </w:pPr>
      <w:r w:rsidRPr="005E6CA8">
        <w:rPr>
          <w:sz w:val="24"/>
          <w:szCs w:val="24"/>
        </w:rPr>
        <w:t>Návrh</w:t>
      </w:r>
      <w:r w:rsidRPr="005E6CA8">
        <w:rPr>
          <w:bCs/>
          <w:color w:val="000000"/>
          <w:sz w:val="24"/>
          <w:szCs w:val="24"/>
        </w:rPr>
        <w:t xml:space="preserve"> zákona predstavuje právny základ, ktorý umožní poskytnúť verejné prostriedky formou príspevku v civilnom letectve na </w:t>
      </w:r>
      <w:r w:rsidRPr="005E6CA8">
        <w:rPr>
          <w:color w:val="000000"/>
          <w:sz w:val="24"/>
          <w:szCs w:val="24"/>
        </w:rPr>
        <w:t xml:space="preserve">vykonávanie pravidelnej obchodnej leteckej dopravy medzi letiskami určenými na vykonávanie obchodnej leteckej dopravy na území Slovenskej republiky alebo medzi týmito letiskami a letiskami mimo územia Slovenskej republiky. Poskytnutím príspevku v civilnom letectve na uvedený účel sa </w:t>
      </w:r>
      <w:r w:rsidRPr="005E6CA8">
        <w:rPr>
          <w:rFonts w:eastAsia="Calibri"/>
          <w:bCs/>
          <w:sz w:val="24"/>
          <w:szCs w:val="24"/>
        </w:rPr>
        <w:t>umožní aj realizácia záväzkov, ktoré Slovenskej republik</w:t>
      </w:r>
      <w:r>
        <w:rPr>
          <w:rFonts w:eastAsia="Calibri"/>
          <w:bCs/>
          <w:sz w:val="24"/>
          <w:szCs w:val="24"/>
        </w:rPr>
        <w:t>e</w:t>
      </w:r>
      <w:r w:rsidRPr="005E6CA8">
        <w:rPr>
          <w:rFonts w:eastAsia="Calibri"/>
          <w:bCs/>
          <w:sz w:val="24"/>
          <w:szCs w:val="24"/>
        </w:rPr>
        <w:t xml:space="preserve"> vyplývajú zo schválených investičných zmlúv.</w:t>
      </w:r>
      <w:r w:rsidRPr="005E6CA8">
        <w:rPr>
          <w:sz w:val="24"/>
          <w:szCs w:val="24"/>
        </w:rPr>
        <w:t xml:space="preserve"> Taktiež možno konštatovať, že vzhľadom</w:t>
      </w:r>
      <w:r w:rsidRPr="005E6CA8">
        <w:rPr>
          <w:bCs/>
          <w:color w:val="000000"/>
          <w:sz w:val="24"/>
          <w:szCs w:val="24"/>
        </w:rPr>
        <w:t xml:space="preserve"> na opatrenia prijaté Slovenskou republikou vo vzťahu k prenosnému ochoreniu COVID-19 mali zásadný vplyv na fungovanie podnikov, vrátane podnikov v oblasti civilného letectva a cestovného ruchu. Vytvorením nového právneho nástroja bude možné zo </w:t>
      </w:r>
      <w:r w:rsidRPr="005E6CA8">
        <w:rPr>
          <w:bCs/>
          <w:color w:val="000000"/>
          <w:sz w:val="24"/>
          <w:szCs w:val="24"/>
        </w:rPr>
        <w:lastRenderedPageBreak/>
        <w:t>strany štátu podporiť nové letecké spojenia.</w:t>
      </w:r>
    </w:p>
    <w:p w14:paraId="20A22DD7" w14:textId="77777777" w:rsidR="00D312DE" w:rsidRPr="007B7470" w:rsidRDefault="00D312DE" w:rsidP="00D312DE">
      <w:pPr>
        <w:rPr>
          <w:sz w:val="24"/>
          <w:szCs w:val="24"/>
        </w:rPr>
      </w:pPr>
    </w:p>
    <w:p w14:paraId="08C54C4D" w14:textId="77777777" w:rsidR="00D312DE" w:rsidRPr="007B7470" w:rsidRDefault="00D312DE" w:rsidP="00D312DE">
      <w:pPr>
        <w:rPr>
          <w:sz w:val="24"/>
          <w:szCs w:val="24"/>
        </w:rPr>
      </w:pPr>
    </w:p>
    <w:p w14:paraId="140CEC7C" w14:textId="77777777" w:rsidR="00D312DE" w:rsidRPr="007B7470" w:rsidRDefault="00D312DE" w:rsidP="00D312DE">
      <w:pPr>
        <w:rPr>
          <w:b/>
          <w:bCs/>
          <w:sz w:val="24"/>
          <w:szCs w:val="24"/>
        </w:rPr>
      </w:pPr>
      <w:r w:rsidRPr="007B7470">
        <w:rPr>
          <w:b/>
          <w:bCs/>
          <w:sz w:val="24"/>
          <w:szCs w:val="24"/>
        </w:rPr>
        <w:t>2.2.2. Charakteristika návrhu:</w:t>
      </w:r>
    </w:p>
    <w:p w14:paraId="4ED9019A" w14:textId="77777777" w:rsidR="00D312DE" w:rsidRPr="007B7470" w:rsidRDefault="00D312DE" w:rsidP="00D312DE">
      <w:pPr>
        <w:rPr>
          <w:sz w:val="24"/>
          <w:szCs w:val="24"/>
        </w:rPr>
      </w:pPr>
    </w:p>
    <w:p w14:paraId="761F3F64" w14:textId="77777777" w:rsidR="00D312DE" w:rsidRPr="007B7470" w:rsidRDefault="00D312DE" w:rsidP="00D312DE">
      <w:pPr>
        <w:rPr>
          <w:sz w:val="24"/>
          <w:szCs w:val="24"/>
        </w:rPr>
      </w:pPr>
      <w:r w:rsidRPr="007B7470">
        <w:rPr>
          <w:b/>
          <w:sz w:val="24"/>
          <w:szCs w:val="24"/>
          <w:bdr w:val="single" w:sz="4" w:space="0" w:color="auto"/>
        </w:rPr>
        <w:t xml:space="preserve">     </w:t>
      </w:r>
      <w:r w:rsidRPr="007B7470">
        <w:rPr>
          <w:b/>
          <w:sz w:val="24"/>
          <w:szCs w:val="24"/>
        </w:rPr>
        <w:t xml:space="preserve">  </w:t>
      </w:r>
      <w:r w:rsidRPr="007B7470">
        <w:rPr>
          <w:sz w:val="24"/>
          <w:szCs w:val="24"/>
        </w:rPr>
        <w:t>zmena sadzby</w:t>
      </w:r>
    </w:p>
    <w:p w14:paraId="27CFE65A" w14:textId="77777777" w:rsidR="00D312DE" w:rsidRPr="007B7470" w:rsidRDefault="00D312DE" w:rsidP="00D312DE">
      <w:pPr>
        <w:rPr>
          <w:sz w:val="24"/>
          <w:szCs w:val="24"/>
        </w:rPr>
      </w:pPr>
      <w:r w:rsidRPr="007B7470">
        <w:rPr>
          <w:sz w:val="24"/>
          <w:szCs w:val="24"/>
          <w:bdr w:val="single" w:sz="4" w:space="0" w:color="auto"/>
        </w:rPr>
        <w:t xml:space="preserve">     </w:t>
      </w:r>
      <w:r w:rsidRPr="007B7470">
        <w:rPr>
          <w:sz w:val="24"/>
          <w:szCs w:val="24"/>
        </w:rPr>
        <w:t xml:space="preserve">  zmena v nároku</w:t>
      </w:r>
    </w:p>
    <w:p w14:paraId="6DC4CA75" w14:textId="77777777" w:rsidR="00D312DE" w:rsidRPr="007B7470" w:rsidRDefault="00D312DE" w:rsidP="00D312DE">
      <w:pPr>
        <w:rPr>
          <w:sz w:val="24"/>
          <w:szCs w:val="24"/>
        </w:rPr>
      </w:pPr>
      <w:r w:rsidRPr="007B7470">
        <w:rPr>
          <w:sz w:val="24"/>
          <w:szCs w:val="24"/>
          <w:bdr w:val="single" w:sz="4" w:space="0" w:color="auto"/>
        </w:rPr>
        <w:t xml:space="preserve">     </w:t>
      </w:r>
      <w:r w:rsidRPr="007B7470">
        <w:rPr>
          <w:sz w:val="24"/>
          <w:szCs w:val="24"/>
        </w:rPr>
        <w:t xml:space="preserve">  nová služba alebo nariadenie (alebo ich zrušenie)</w:t>
      </w:r>
    </w:p>
    <w:p w14:paraId="3197DA73" w14:textId="77777777" w:rsidR="00D312DE" w:rsidRPr="007B7470" w:rsidRDefault="00D312DE" w:rsidP="00D312DE">
      <w:pPr>
        <w:rPr>
          <w:sz w:val="24"/>
          <w:szCs w:val="24"/>
        </w:rPr>
      </w:pPr>
      <w:r w:rsidRPr="007B7470">
        <w:rPr>
          <w:sz w:val="24"/>
          <w:szCs w:val="24"/>
          <w:bdr w:val="single" w:sz="4" w:space="0" w:color="auto"/>
        </w:rPr>
        <w:t xml:space="preserve">     </w:t>
      </w:r>
      <w:r w:rsidRPr="007B7470">
        <w:rPr>
          <w:sz w:val="24"/>
          <w:szCs w:val="24"/>
        </w:rPr>
        <w:t xml:space="preserve">  kombinovaný návrh</w:t>
      </w:r>
    </w:p>
    <w:p w14:paraId="29A42FA4" w14:textId="77777777" w:rsidR="00D312DE" w:rsidRPr="007B7470" w:rsidRDefault="00D312DE" w:rsidP="00D312DE">
      <w:pPr>
        <w:rPr>
          <w:sz w:val="24"/>
          <w:szCs w:val="24"/>
        </w:rPr>
      </w:pPr>
      <w:r w:rsidRPr="007B7470">
        <w:rPr>
          <w:sz w:val="24"/>
          <w:szCs w:val="24"/>
          <w:bdr w:val="single" w:sz="4" w:space="0" w:color="auto"/>
        </w:rPr>
        <w:t xml:space="preserve">     </w:t>
      </w:r>
      <w:r w:rsidRPr="007B7470">
        <w:rPr>
          <w:sz w:val="24"/>
          <w:szCs w:val="24"/>
        </w:rPr>
        <w:t xml:space="preserve">  iné </w:t>
      </w:r>
    </w:p>
    <w:p w14:paraId="1AC47375" w14:textId="77777777" w:rsidR="00D312DE" w:rsidRDefault="00D312DE" w:rsidP="00D312DE">
      <w:pPr>
        <w:rPr>
          <w:sz w:val="24"/>
          <w:szCs w:val="24"/>
        </w:rPr>
      </w:pPr>
    </w:p>
    <w:p w14:paraId="7D8E10EA" w14:textId="77777777" w:rsidR="00D312DE" w:rsidRPr="007B7470" w:rsidRDefault="00D312DE" w:rsidP="00D312DE">
      <w:pPr>
        <w:rPr>
          <w:sz w:val="24"/>
          <w:szCs w:val="24"/>
        </w:rPr>
      </w:pPr>
    </w:p>
    <w:p w14:paraId="4E2BD0CD" w14:textId="77777777" w:rsidR="00D312DE" w:rsidRPr="007B7470" w:rsidRDefault="00D312DE" w:rsidP="00D312DE">
      <w:pPr>
        <w:rPr>
          <w:sz w:val="24"/>
          <w:szCs w:val="24"/>
        </w:rPr>
      </w:pPr>
      <w:r w:rsidRPr="007B7470">
        <w:rPr>
          <w:b/>
          <w:bCs/>
          <w:sz w:val="24"/>
          <w:szCs w:val="24"/>
        </w:rPr>
        <w:t>2.2.3. Predpoklady vývoja objemu aktivít:</w:t>
      </w:r>
    </w:p>
    <w:p w14:paraId="01F6229E" w14:textId="77777777" w:rsidR="00D312DE" w:rsidRPr="007B7470" w:rsidRDefault="00D312DE" w:rsidP="00D312DE">
      <w:pPr>
        <w:rPr>
          <w:sz w:val="24"/>
          <w:szCs w:val="24"/>
        </w:rPr>
      </w:pPr>
    </w:p>
    <w:p w14:paraId="5A9AA837" w14:textId="77777777" w:rsidR="00D312DE" w:rsidRPr="007B7470" w:rsidRDefault="00D312DE" w:rsidP="00D312DE">
      <w:pPr>
        <w:ind w:firstLine="708"/>
        <w:jc w:val="both"/>
        <w:rPr>
          <w:sz w:val="24"/>
          <w:szCs w:val="24"/>
        </w:rPr>
      </w:pPr>
      <w:r w:rsidRPr="007B7470">
        <w:rPr>
          <w:sz w:val="24"/>
          <w:szCs w:val="24"/>
        </w:rPr>
        <w:t>Jasne popíšte, v prípade potreby použite nižšie uvedenú tabuľku. Uveďte aj odhady základov daní a/alebo poplatkov, ak sa ich táto zmena týka.</w:t>
      </w:r>
    </w:p>
    <w:p w14:paraId="7A343540" w14:textId="77777777" w:rsidR="00D312DE" w:rsidRPr="007B7470" w:rsidRDefault="00D312DE" w:rsidP="00D312DE">
      <w:pPr>
        <w:jc w:val="right"/>
      </w:pPr>
      <w:r w:rsidRPr="007B7470">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D312DE" w:rsidRPr="007B7470" w14:paraId="71D960FF" w14:textId="77777777" w:rsidTr="00774DA8">
        <w:trPr>
          <w:cantSplit/>
          <w:trHeight w:val="70"/>
        </w:trPr>
        <w:tc>
          <w:tcPr>
            <w:tcW w:w="4530" w:type="dxa"/>
            <w:vMerge w:val="restart"/>
            <w:shd w:val="clear" w:color="auto" w:fill="BFBFBF" w:themeFill="background1" w:themeFillShade="BF"/>
            <w:vAlign w:val="center"/>
          </w:tcPr>
          <w:p w14:paraId="3FEBBEFA" w14:textId="77777777" w:rsidR="00D312DE" w:rsidRPr="007B7470" w:rsidRDefault="00D312DE" w:rsidP="00774DA8">
            <w:pPr>
              <w:jc w:val="center"/>
              <w:rPr>
                <w:b/>
                <w:bCs/>
                <w:sz w:val="24"/>
                <w:szCs w:val="24"/>
              </w:rPr>
            </w:pPr>
            <w:r w:rsidRPr="007B7470">
              <w:rPr>
                <w:b/>
                <w:bCs/>
                <w:sz w:val="24"/>
                <w:szCs w:val="24"/>
              </w:rPr>
              <w:t>Objem aktivít</w:t>
            </w:r>
          </w:p>
        </w:tc>
        <w:tc>
          <w:tcPr>
            <w:tcW w:w="1134" w:type="dxa"/>
            <w:gridSpan w:val="4"/>
            <w:shd w:val="clear" w:color="auto" w:fill="BFBFBF" w:themeFill="background1" w:themeFillShade="BF"/>
            <w:vAlign w:val="center"/>
          </w:tcPr>
          <w:p w14:paraId="520A57DB" w14:textId="77777777" w:rsidR="00D312DE" w:rsidRPr="007B7470" w:rsidRDefault="00D312DE" w:rsidP="00774DA8">
            <w:pPr>
              <w:jc w:val="center"/>
              <w:rPr>
                <w:b/>
                <w:bCs/>
                <w:sz w:val="24"/>
                <w:szCs w:val="24"/>
              </w:rPr>
            </w:pPr>
            <w:r w:rsidRPr="007B7470">
              <w:rPr>
                <w:b/>
                <w:bCs/>
                <w:sz w:val="24"/>
                <w:szCs w:val="24"/>
              </w:rPr>
              <w:t>Odhadované objemy</w:t>
            </w:r>
          </w:p>
        </w:tc>
      </w:tr>
      <w:tr w:rsidR="00D312DE" w:rsidRPr="007B7470" w14:paraId="62A31668" w14:textId="77777777" w:rsidTr="00774DA8">
        <w:trPr>
          <w:cantSplit/>
          <w:trHeight w:val="70"/>
        </w:trPr>
        <w:tc>
          <w:tcPr>
            <w:tcW w:w="4530" w:type="dxa"/>
            <w:vMerge/>
            <w:shd w:val="clear" w:color="auto" w:fill="BFBFBF" w:themeFill="background1" w:themeFillShade="BF"/>
          </w:tcPr>
          <w:p w14:paraId="3B6AFAD1" w14:textId="77777777" w:rsidR="00D312DE" w:rsidRPr="007B7470" w:rsidRDefault="00D312DE" w:rsidP="00774DA8">
            <w:pPr>
              <w:jc w:val="center"/>
              <w:rPr>
                <w:b/>
                <w:bCs/>
                <w:sz w:val="24"/>
                <w:szCs w:val="24"/>
              </w:rPr>
            </w:pPr>
          </w:p>
        </w:tc>
        <w:tc>
          <w:tcPr>
            <w:tcW w:w="1134" w:type="dxa"/>
            <w:shd w:val="clear" w:color="auto" w:fill="BFBFBF" w:themeFill="background1" w:themeFillShade="BF"/>
            <w:vAlign w:val="center"/>
          </w:tcPr>
          <w:p w14:paraId="1224F839" w14:textId="77777777" w:rsidR="00D312DE" w:rsidRPr="007B7470" w:rsidRDefault="00D312DE" w:rsidP="00774DA8">
            <w:pPr>
              <w:jc w:val="center"/>
              <w:rPr>
                <w:b/>
                <w:bCs/>
                <w:sz w:val="24"/>
                <w:szCs w:val="24"/>
              </w:rPr>
            </w:pPr>
            <w:r w:rsidRPr="007B7470">
              <w:rPr>
                <w:b/>
                <w:bCs/>
                <w:sz w:val="24"/>
                <w:szCs w:val="24"/>
              </w:rPr>
              <w:t>r</w:t>
            </w:r>
          </w:p>
        </w:tc>
        <w:tc>
          <w:tcPr>
            <w:tcW w:w="1134" w:type="dxa"/>
            <w:shd w:val="clear" w:color="auto" w:fill="BFBFBF" w:themeFill="background1" w:themeFillShade="BF"/>
            <w:vAlign w:val="center"/>
          </w:tcPr>
          <w:p w14:paraId="2F536372" w14:textId="77777777" w:rsidR="00D312DE" w:rsidRPr="007B7470" w:rsidRDefault="00D312DE" w:rsidP="00774DA8">
            <w:pPr>
              <w:jc w:val="center"/>
              <w:rPr>
                <w:b/>
                <w:bCs/>
                <w:sz w:val="24"/>
                <w:szCs w:val="24"/>
              </w:rPr>
            </w:pPr>
            <w:r w:rsidRPr="007B7470">
              <w:rPr>
                <w:b/>
                <w:bCs/>
                <w:sz w:val="24"/>
                <w:szCs w:val="24"/>
              </w:rPr>
              <w:t>r + 1</w:t>
            </w:r>
          </w:p>
        </w:tc>
        <w:tc>
          <w:tcPr>
            <w:tcW w:w="1134" w:type="dxa"/>
            <w:shd w:val="clear" w:color="auto" w:fill="BFBFBF" w:themeFill="background1" w:themeFillShade="BF"/>
            <w:vAlign w:val="center"/>
          </w:tcPr>
          <w:p w14:paraId="2D1AE3DB" w14:textId="77777777" w:rsidR="00D312DE" w:rsidRPr="007B7470" w:rsidRDefault="00D312DE" w:rsidP="00774DA8">
            <w:pPr>
              <w:jc w:val="center"/>
              <w:rPr>
                <w:b/>
                <w:bCs/>
                <w:sz w:val="24"/>
                <w:szCs w:val="24"/>
              </w:rPr>
            </w:pPr>
            <w:r w:rsidRPr="007B7470">
              <w:rPr>
                <w:b/>
                <w:bCs/>
                <w:sz w:val="24"/>
                <w:szCs w:val="24"/>
              </w:rPr>
              <w:t>r + 2</w:t>
            </w:r>
          </w:p>
        </w:tc>
        <w:tc>
          <w:tcPr>
            <w:tcW w:w="1134" w:type="dxa"/>
            <w:shd w:val="clear" w:color="auto" w:fill="BFBFBF" w:themeFill="background1" w:themeFillShade="BF"/>
            <w:vAlign w:val="center"/>
          </w:tcPr>
          <w:p w14:paraId="7BA4216C" w14:textId="77777777" w:rsidR="00D312DE" w:rsidRPr="007B7470" w:rsidRDefault="00D312DE" w:rsidP="00774DA8">
            <w:pPr>
              <w:jc w:val="center"/>
              <w:rPr>
                <w:b/>
                <w:bCs/>
                <w:sz w:val="24"/>
                <w:szCs w:val="24"/>
              </w:rPr>
            </w:pPr>
            <w:r w:rsidRPr="007B7470">
              <w:rPr>
                <w:b/>
                <w:bCs/>
                <w:sz w:val="24"/>
                <w:szCs w:val="24"/>
              </w:rPr>
              <w:t>r + 3</w:t>
            </w:r>
          </w:p>
        </w:tc>
      </w:tr>
      <w:tr w:rsidR="00D312DE" w:rsidRPr="007B7470" w14:paraId="14E55EB9" w14:textId="77777777" w:rsidTr="00774DA8">
        <w:trPr>
          <w:trHeight w:val="70"/>
        </w:trPr>
        <w:tc>
          <w:tcPr>
            <w:tcW w:w="4530" w:type="dxa"/>
          </w:tcPr>
          <w:p w14:paraId="259F7C75" w14:textId="77777777" w:rsidR="00D312DE" w:rsidRPr="007B7470" w:rsidRDefault="00D312DE" w:rsidP="00774DA8">
            <w:pPr>
              <w:rPr>
                <w:color w:val="000000"/>
                <w:sz w:val="24"/>
                <w:szCs w:val="24"/>
              </w:rPr>
            </w:pPr>
            <w:r w:rsidRPr="007B7470">
              <w:rPr>
                <w:color w:val="000000"/>
                <w:sz w:val="24"/>
                <w:szCs w:val="24"/>
              </w:rPr>
              <w:t>Indikátor ABC</w:t>
            </w:r>
          </w:p>
        </w:tc>
        <w:tc>
          <w:tcPr>
            <w:tcW w:w="1134" w:type="dxa"/>
          </w:tcPr>
          <w:p w14:paraId="727664D3" w14:textId="77777777" w:rsidR="00D312DE" w:rsidRPr="007B7470" w:rsidRDefault="00D312DE" w:rsidP="00774DA8">
            <w:pPr>
              <w:jc w:val="right"/>
              <w:rPr>
                <w:color w:val="000000"/>
                <w:sz w:val="24"/>
                <w:szCs w:val="24"/>
              </w:rPr>
            </w:pPr>
          </w:p>
        </w:tc>
        <w:tc>
          <w:tcPr>
            <w:tcW w:w="1134" w:type="dxa"/>
          </w:tcPr>
          <w:p w14:paraId="4306E811" w14:textId="77777777" w:rsidR="00D312DE" w:rsidRPr="007B7470" w:rsidRDefault="00D312DE" w:rsidP="00774DA8">
            <w:pPr>
              <w:jc w:val="right"/>
              <w:rPr>
                <w:color w:val="000000"/>
                <w:sz w:val="24"/>
                <w:szCs w:val="24"/>
              </w:rPr>
            </w:pPr>
          </w:p>
        </w:tc>
        <w:tc>
          <w:tcPr>
            <w:tcW w:w="1134" w:type="dxa"/>
          </w:tcPr>
          <w:p w14:paraId="7B019FED" w14:textId="77777777" w:rsidR="00D312DE" w:rsidRPr="007B7470" w:rsidRDefault="00D312DE" w:rsidP="00774DA8">
            <w:pPr>
              <w:jc w:val="right"/>
              <w:rPr>
                <w:color w:val="000000"/>
                <w:sz w:val="24"/>
                <w:szCs w:val="24"/>
              </w:rPr>
            </w:pPr>
          </w:p>
        </w:tc>
        <w:tc>
          <w:tcPr>
            <w:tcW w:w="1134" w:type="dxa"/>
          </w:tcPr>
          <w:p w14:paraId="08613971" w14:textId="77777777" w:rsidR="00D312DE" w:rsidRPr="007B7470" w:rsidRDefault="00D312DE" w:rsidP="00774DA8">
            <w:pPr>
              <w:jc w:val="right"/>
              <w:rPr>
                <w:color w:val="000000"/>
                <w:sz w:val="24"/>
                <w:szCs w:val="24"/>
              </w:rPr>
            </w:pPr>
          </w:p>
        </w:tc>
      </w:tr>
      <w:tr w:rsidR="00D312DE" w:rsidRPr="007B7470" w14:paraId="42415342" w14:textId="77777777" w:rsidTr="00774DA8">
        <w:trPr>
          <w:trHeight w:val="70"/>
        </w:trPr>
        <w:tc>
          <w:tcPr>
            <w:tcW w:w="4530" w:type="dxa"/>
          </w:tcPr>
          <w:p w14:paraId="3E6F9B4D" w14:textId="77777777" w:rsidR="00D312DE" w:rsidRPr="007B7470" w:rsidRDefault="00D312DE" w:rsidP="00774DA8">
            <w:pPr>
              <w:rPr>
                <w:color w:val="000000"/>
                <w:sz w:val="24"/>
                <w:szCs w:val="24"/>
              </w:rPr>
            </w:pPr>
            <w:r w:rsidRPr="007B7470">
              <w:rPr>
                <w:color w:val="000000"/>
                <w:sz w:val="24"/>
                <w:szCs w:val="24"/>
              </w:rPr>
              <w:t>Indikátor KLM</w:t>
            </w:r>
          </w:p>
        </w:tc>
        <w:tc>
          <w:tcPr>
            <w:tcW w:w="1134" w:type="dxa"/>
          </w:tcPr>
          <w:p w14:paraId="5AA5A65F" w14:textId="77777777" w:rsidR="00D312DE" w:rsidRPr="007B7470" w:rsidRDefault="00D312DE" w:rsidP="00774DA8">
            <w:pPr>
              <w:jc w:val="right"/>
              <w:rPr>
                <w:color w:val="000000"/>
                <w:sz w:val="24"/>
                <w:szCs w:val="24"/>
              </w:rPr>
            </w:pPr>
          </w:p>
        </w:tc>
        <w:tc>
          <w:tcPr>
            <w:tcW w:w="1134" w:type="dxa"/>
          </w:tcPr>
          <w:p w14:paraId="1FEC7CB4" w14:textId="77777777" w:rsidR="00D312DE" w:rsidRPr="007B7470" w:rsidRDefault="00D312DE" w:rsidP="00774DA8">
            <w:pPr>
              <w:jc w:val="right"/>
              <w:rPr>
                <w:color w:val="000000"/>
                <w:sz w:val="24"/>
                <w:szCs w:val="24"/>
              </w:rPr>
            </w:pPr>
          </w:p>
        </w:tc>
        <w:tc>
          <w:tcPr>
            <w:tcW w:w="1134" w:type="dxa"/>
          </w:tcPr>
          <w:p w14:paraId="4E78D856" w14:textId="77777777" w:rsidR="00D312DE" w:rsidRPr="007B7470" w:rsidRDefault="00D312DE" w:rsidP="00774DA8">
            <w:pPr>
              <w:jc w:val="right"/>
              <w:rPr>
                <w:color w:val="000000"/>
                <w:sz w:val="24"/>
                <w:szCs w:val="24"/>
              </w:rPr>
            </w:pPr>
          </w:p>
        </w:tc>
        <w:tc>
          <w:tcPr>
            <w:tcW w:w="1134" w:type="dxa"/>
          </w:tcPr>
          <w:p w14:paraId="0D103802" w14:textId="77777777" w:rsidR="00D312DE" w:rsidRPr="007B7470" w:rsidRDefault="00D312DE" w:rsidP="00774DA8">
            <w:pPr>
              <w:jc w:val="right"/>
              <w:rPr>
                <w:color w:val="000000"/>
                <w:sz w:val="24"/>
                <w:szCs w:val="24"/>
              </w:rPr>
            </w:pPr>
          </w:p>
        </w:tc>
      </w:tr>
      <w:tr w:rsidR="00D312DE" w:rsidRPr="007B7470" w14:paraId="20190EC9" w14:textId="77777777" w:rsidTr="00774DA8">
        <w:trPr>
          <w:trHeight w:val="70"/>
        </w:trPr>
        <w:tc>
          <w:tcPr>
            <w:tcW w:w="4530" w:type="dxa"/>
          </w:tcPr>
          <w:p w14:paraId="5F23DD19" w14:textId="77777777" w:rsidR="00D312DE" w:rsidRPr="007B7470" w:rsidRDefault="00D312DE" w:rsidP="00774DA8">
            <w:pPr>
              <w:rPr>
                <w:color w:val="000000"/>
                <w:sz w:val="24"/>
                <w:szCs w:val="24"/>
              </w:rPr>
            </w:pPr>
            <w:r w:rsidRPr="007B7470">
              <w:rPr>
                <w:color w:val="000000"/>
                <w:sz w:val="24"/>
                <w:szCs w:val="24"/>
              </w:rPr>
              <w:t>Indikátor XYZ</w:t>
            </w:r>
          </w:p>
        </w:tc>
        <w:tc>
          <w:tcPr>
            <w:tcW w:w="1134" w:type="dxa"/>
          </w:tcPr>
          <w:p w14:paraId="7DE5E4EA" w14:textId="77777777" w:rsidR="00D312DE" w:rsidRPr="007B7470" w:rsidRDefault="00D312DE" w:rsidP="00774DA8">
            <w:pPr>
              <w:jc w:val="right"/>
              <w:rPr>
                <w:color w:val="000000"/>
                <w:sz w:val="24"/>
                <w:szCs w:val="24"/>
              </w:rPr>
            </w:pPr>
          </w:p>
        </w:tc>
        <w:tc>
          <w:tcPr>
            <w:tcW w:w="1134" w:type="dxa"/>
          </w:tcPr>
          <w:p w14:paraId="778BE73B" w14:textId="77777777" w:rsidR="00D312DE" w:rsidRPr="007B7470" w:rsidRDefault="00D312DE" w:rsidP="00774DA8">
            <w:pPr>
              <w:jc w:val="right"/>
              <w:rPr>
                <w:color w:val="000000"/>
                <w:sz w:val="24"/>
                <w:szCs w:val="24"/>
              </w:rPr>
            </w:pPr>
          </w:p>
        </w:tc>
        <w:tc>
          <w:tcPr>
            <w:tcW w:w="1134" w:type="dxa"/>
          </w:tcPr>
          <w:p w14:paraId="4D32B6F2" w14:textId="77777777" w:rsidR="00D312DE" w:rsidRPr="007B7470" w:rsidRDefault="00D312DE" w:rsidP="00774DA8">
            <w:pPr>
              <w:jc w:val="right"/>
              <w:rPr>
                <w:color w:val="000000"/>
                <w:sz w:val="24"/>
                <w:szCs w:val="24"/>
              </w:rPr>
            </w:pPr>
          </w:p>
        </w:tc>
        <w:tc>
          <w:tcPr>
            <w:tcW w:w="1134" w:type="dxa"/>
          </w:tcPr>
          <w:p w14:paraId="2DA14D23" w14:textId="77777777" w:rsidR="00D312DE" w:rsidRPr="007B7470" w:rsidRDefault="00D312DE" w:rsidP="00774DA8">
            <w:pPr>
              <w:jc w:val="right"/>
              <w:rPr>
                <w:color w:val="000000"/>
                <w:sz w:val="24"/>
                <w:szCs w:val="24"/>
              </w:rPr>
            </w:pPr>
          </w:p>
        </w:tc>
      </w:tr>
    </w:tbl>
    <w:p w14:paraId="7C58EB0A" w14:textId="77777777" w:rsidR="00D312DE" w:rsidRPr="007B7470" w:rsidRDefault="00D312DE" w:rsidP="00D312DE">
      <w:pPr>
        <w:rPr>
          <w:sz w:val="24"/>
          <w:szCs w:val="24"/>
        </w:rPr>
      </w:pPr>
    </w:p>
    <w:p w14:paraId="7A3DDD69" w14:textId="77777777" w:rsidR="00D312DE" w:rsidRPr="007B7470" w:rsidRDefault="00D312DE" w:rsidP="00D312DE">
      <w:pPr>
        <w:rPr>
          <w:sz w:val="24"/>
          <w:szCs w:val="24"/>
        </w:rPr>
      </w:pPr>
    </w:p>
    <w:p w14:paraId="3263EBDF" w14:textId="77777777" w:rsidR="00D312DE" w:rsidRPr="007B7470" w:rsidRDefault="00D312DE" w:rsidP="00D312DE">
      <w:pPr>
        <w:rPr>
          <w:b/>
          <w:bCs/>
          <w:sz w:val="24"/>
          <w:szCs w:val="24"/>
        </w:rPr>
      </w:pPr>
      <w:r w:rsidRPr="007B7470">
        <w:rPr>
          <w:b/>
          <w:bCs/>
          <w:sz w:val="24"/>
          <w:szCs w:val="24"/>
        </w:rPr>
        <w:t>2.2.4. Výpočty vplyvov na verejné financie</w:t>
      </w:r>
    </w:p>
    <w:p w14:paraId="3E5CA50D" w14:textId="77777777" w:rsidR="00D312DE" w:rsidRPr="007B7470" w:rsidRDefault="00D312DE" w:rsidP="00D312DE">
      <w:pPr>
        <w:rPr>
          <w:sz w:val="24"/>
          <w:szCs w:val="24"/>
        </w:rPr>
      </w:pPr>
    </w:p>
    <w:p w14:paraId="0334B1CD" w14:textId="77777777" w:rsidR="00D312DE" w:rsidRPr="007B7470" w:rsidRDefault="00D312DE" w:rsidP="00D312DE">
      <w:pPr>
        <w:ind w:firstLine="708"/>
        <w:jc w:val="both"/>
        <w:rPr>
          <w:sz w:val="24"/>
          <w:szCs w:val="24"/>
        </w:rPr>
      </w:pPr>
      <w:r w:rsidRPr="007B7470">
        <w:rPr>
          <w:sz w:val="24"/>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1795C34B" w14:textId="77777777" w:rsidR="00D312DE" w:rsidRPr="007B7470" w:rsidRDefault="00D312DE" w:rsidP="00D312DE">
      <w:pPr>
        <w:jc w:val="both"/>
        <w:rPr>
          <w:sz w:val="24"/>
          <w:szCs w:val="24"/>
        </w:rPr>
      </w:pPr>
    </w:p>
    <w:p w14:paraId="6771C21A" w14:textId="77777777" w:rsidR="00D312DE" w:rsidRDefault="00D312DE" w:rsidP="00D312DE">
      <w:pPr>
        <w:pBdr>
          <w:top w:val="single" w:sz="4" w:space="1" w:color="auto"/>
          <w:left w:val="single" w:sz="4" w:space="4" w:color="auto"/>
          <w:bottom w:val="single" w:sz="4" w:space="0" w:color="auto"/>
          <w:right w:val="single" w:sz="4" w:space="4" w:color="auto"/>
        </w:pBdr>
        <w:jc w:val="both"/>
        <w:rPr>
          <w:bCs/>
          <w:sz w:val="24"/>
          <w:szCs w:val="24"/>
        </w:rPr>
      </w:pPr>
      <w:r>
        <w:rPr>
          <w:b/>
          <w:bCs/>
          <w:sz w:val="24"/>
          <w:szCs w:val="24"/>
        </w:rPr>
        <w:t>V</w:t>
      </w:r>
      <w:r w:rsidRPr="00FE44DD">
        <w:rPr>
          <w:b/>
          <w:bCs/>
          <w:sz w:val="24"/>
          <w:szCs w:val="24"/>
        </w:rPr>
        <w:t>ýdavk</w:t>
      </w:r>
      <w:r>
        <w:rPr>
          <w:b/>
          <w:bCs/>
          <w:sz w:val="24"/>
          <w:szCs w:val="24"/>
        </w:rPr>
        <w:t>y</w:t>
      </w:r>
      <w:r w:rsidRPr="00FE44DD">
        <w:rPr>
          <w:b/>
          <w:bCs/>
          <w:sz w:val="24"/>
          <w:szCs w:val="24"/>
        </w:rPr>
        <w:t xml:space="preserve"> štátneho rozpočtu na príslušné rozpočtové roky </w:t>
      </w:r>
      <w:r>
        <w:rPr>
          <w:b/>
          <w:bCs/>
          <w:sz w:val="24"/>
          <w:szCs w:val="24"/>
        </w:rPr>
        <w:t xml:space="preserve">- </w:t>
      </w:r>
      <w:r w:rsidRPr="00FE44DD">
        <w:rPr>
          <w:bCs/>
          <w:sz w:val="24"/>
          <w:szCs w:val="24"/>
        </w:rPr>
        <w:t xml:space="preserve">poskytovanie príspevku </w:t>
      </w:r>
      <w:r>
        <w:rPr>
          <w:bCs/>
          <w:sz w:val="24"/>
          <w:szCs w:val="24"/>
        </w:rPr>
        <w:t>v civilnom letectve na nový</w:t>
      </w:r>
      <w:r w:rsidRPr="00FE44DD">
        <w:rPr>
          <w:bCs/>
          <w:sz w:val="24"/>
          <w:szCs w:val="24"/>
        </w:rPr>
        <w:t xml:space="preserve"> účel</w:t>
      </w:r>
    </w:p>
    <w:p w14:paraId="12305696" w14:textId="77777777" w:rsidR="00D312DE" w:rsidRDefault="00D312DE" w:rsidP="00D312DE">
      <w:pPr>
        <w:pBdr>
          <w:top w:val="single" w:sz="4" w:space="1" w:color="auto"/>
          <w:left w:val="single" w:sz="4" w:space="4" w:color="auto"/>
          <w:bottom w:val="single" w:sz="4" w:space="0" w:color="auto"/>
          <w:right w:val="single" w:sz="4" w:space="4" w:color="auto"/>
        </w:pBdr>
        <w:jc w:val="both"/>
        <w:rPr>
          <w:bCs/>
          <w:sz w:val="24"/>
          <w:szCs w:val="24"/>
        </w:rPr>
      </w:pPr>
    </w:p>
    <w:p w14:paraId="637664A0" w14:textId="77777777" w:rsidR="00D312DE" w:rsidRPr="0021203F" w:rsidRDefault="00D312DE" w:rsidP="00D312DE">
      <w:pPr>
        <w:pBdr>
          <w:top w:val="single" w:sz="4" w:space="1" w:color="auto"/>
          <w:left w:val="single" w:sz="4" w:space="4" w:color="auto"/>
          <w:bottom w:val="single" w:sz="4" w:space="0" w:color="auto"/>
          <w:right w:val="single" w:sz="4" w:space="4" w:color="auto"/>
        </w:pBdr>
        <w:jc w:val="both"/>
        <w:rPr>
          <w:b/>
          <w:bCs/>
          <w:sz w:val="24"/>
          <w:szCs w:val="24"/>
        </w:rPr>
      </w:pPr>
      <w:r>
        <w:rPr>
          <w:bCs/>
          <w:sz w:val="24"/>
          <w:szCs w:val="24"/>
        </w:rPr>
        <w:t>Uvedené sumy predstavujú odhad, t. j. kombináciu</w:t>
      </w:r>
      <w:r w:rsidRPr="0021203F">
        <w:rPr>
          <w:bCs/>
          <w:sz w:val="24"/>
          <w:szCs w:val="24"/>
        </w:rPr>
        <w:t xml:space="preserve"> minimálnej pomoc</w:t>
      </w:r>
      <w:r>
        <w:rPr>
          <w:bCs/>
          <w:sz w:val="24"/>
          <w:szCs w:val="24"/>
        </w:rPr>
        <w:t>i na základe schémy minimálnej pomoci vo výške 200 000,00 eur pre 1 </w:t>
      </w:r>
      <w:r w:rsidRPr="0021203F">
        <w:rPr>
          <w:bCs/>
          <w:sz w:val="24"/>
          <w:szCs w:val="24"/>
        </w:rPr>
        <w:t xml:space="preserve">leteckého dopravcu a štátnej pomoci </w:t>
      </w:r>
      <w:r>
        <w:rPr>
          <w:bCs/>
          <w:sz w:val="24"/>
          <w:szCs w:val="24"/>
        </w:rPr>
        <w:t xml:space="preserve">na základe schémy štátnej pomoci </w:t>
      </w:r>
      <w:r w:rsidRPr="0021203F">
        <w:rPr>
          <w:bCs/>
          <w:sz w:val="24"/>
          <w:szCs w:val="24"/>
        </w:rPr>
        <w:t>vo vzťahu k zľavám z výšky letiskových odplát</w:t>
      </w:r>
      <w:r>
        <w:rPr>
          <w:bCs/>
          <w:sz w:val="24"/>
          <w:szCs w:val="24"/>
        </w:rPr>
        <w:t xml:space="preserve"> (max. 50% na 3 roky).</w:t>
      </w:r>
    </w:p>
    <w:p w14:paraId="4FFF2770" w14:textId="77777777" w:rsidR="00D312DE" w:rsidRDefault="00D312DE" w:rsidP="00D312DE">
      <w:pPr>
        <w:pBdr>
          <w:top w:val="single" w:sz="4" w:space="1" w:color="auto"/>
          <w:left w:val="single" w:sz="4" w:space="4" w:color="auto"/>
          <w:bottom w:val="single" w:sz="4" w:space="0" w:color="auto"/>
          <w:right w:val="single" w:sz="4" w:space="4" w:color="auto"/>
        </w:pBdr>
        <w:rPr>
          <w:bCs/>
          <w:sz w:val="24"/>
          <w:szCs w:val="24"/>
        </w:rPr>
      </w:pPr>
    </w:p>
    <w:p w14:paraId="0A98E150" w14:textId="77777777" w:rsidR="00D312DE" w:rsidRDefault="00D312DE" w:rsidP="00D312DE">
      <w:pPr>
        <w:pBdr>
          <w:top w:val="single" w:sz="4" w:space="1" w:color="auto"/>
          <w:left w:val="single" w:sz="4" w:space="4" w:color="auto"/>
          <w:bottom w:val="single" w:sz="4" w:space="0" w:color="auto"/>
          <w:right w:val="single" w:sz="4" w:space="4" w:color="auto"/>
        </w:pBdr>
        <w:rPr>
          <w:bCs/>
          <w:sz w:val="24"/>
          <w:szCs w:val="24"/>
        </w:rPr>
      </w:pPr>
      <w:r>
        <w:rPr>
          <w:bCs/>
          <w:sz w:val="24"/>
          <w:szCs w:val="24"/>
        </w:rPr>
        <w:t>Vzor výpočtu</w:t>
      </w:r>
    </w:p>
    <w:p w14:paraId="26086393" w14:textId="77777777" w:rsidR="00D312DE" w:rsidRDefault="00D312DE" w:rsidP="00D312DE">
      <w:pPr>
        <w:pBdr>
          <w:top w:val="single" w:sz="4" w:space="1" w:color="auto"/>
          <w:left w:val="single" w:sz="4" w:space="4" w:color="auto"/>
          <w:bottom w:val="single" w:sz="4" w:space="0" w:color="auto"/>
          <w:right w:val="single" w:sz="4" w:space="4" w:color="auto"/>
        </w:pBdr>
        <w:rPr>
          <w:bCs/>
          <w:sz w:val="24"/>
          <w:szCs w:val="24"/>
        </w:rPr>
      </w:pPr>
      <w:r>
        <w:rPr>
          <w:bCs/>
          <w:sz w:val="24"/>
          <w:szCs w:val="24"/>
        </w:rPr>
        <w:t>rok 2024:</w:t>
      </w:r>
    </w:p>
    <w:p w14:paraId="2AE0CA02" w14:textId="77777777" w:rsidR="00D312DE" w:rsidRDefault="00D312DE" w:rsidP="00D312DE">
      <w:pPr>
        <w:pBdr>
          <w:top w:val="single" w:sz="4" w:space="1" w:color="auto"/>
          <w:left w:val="single" w:sz="4" w:space="4" w:color="auto"/>
          <w:bottom w:val="single" w:sz="4" w:space="0" w:color="auto"/>
          <w:right w:val="single" w:sz="4" w:space="4" w:color="auto"/>
        </w:pBdr>
        <w:rPr>
          <w:bCs/>
          <w:sz w:val="24"/>
          <w:szCs w:val="24"/>
        </w:rPr>
      </w:pPr>
      <w:r>
        <w:rPr>
          <w:bCs/>
          <w:sz w:val="24"/>
          <w:szCs w:val="24"/>
        </w:rPr>
        <w:t xml:space="preserve">- poskytnutie minimálnej pomoci: 6 × </w:t>
      </w:r>
      <w:r w:rsidRPr="0021203F">
        <w:rPr>
          <w:bCs/>
          <w:sz w:val="24"/>
          <w:szCs w:val="24"/>
        </w:rPr>
        <w:t>200</w:t>
      </w:r>
      <w:r>
        <w:rPr>
          <w:bCs/>
          <w:sz w:val="24"/>
          <w:szCs w:val="24"/>
        </w:rPr>
        <w:t> </w:t>
      </w:r>
      <w:r w:rsidRPr="0021203F">
        <w:rPr>
          <w:bCs/>
          <w:sz w:val="24"/>
          <w:szCs w:val="24"/>
        </w:rPr>
        <w:t>000</w:t>
      </w:r>
      <w:r>
        <w:rPr>
          <w:bCs/>
          <w:sz w:val="24"/>
          <w:szCs w:val="24"/>
        </w:rPr>
        <w:t>,00 eur</w:t>
      </w:r>
    </w:p>
    <w:p w14:paraId="0CB26CC5" w14:textId="77777777" w:rsidR="00D312DE" w:rsidRPr="0021203F" w:rsidRDefault="00D312DE" w:rsidP="00D312DE">
      <w:pPr>
        <w:pBdr>
          <w:top w:val="single" w:sz="4" w:space="1" w:color="auto"/>
          <w:left w:val="single" w:sz="4" w:space="4" w:color="auto"/>
          <w:bottom w:val="single" w:sz="4" w:space="0" w:color="auto"/>
          <w:right w:val="single" w:sz="4" w:space="4" w:color="auto"/>
        </w:pBdr>
        <w:rPr>
          <w:bCs/>
          <w:sz w:val="24"/>
          <w:szCs w:val="24"/>
        </w:rPr>
      </w:pPr>
    </w:p>
    <w:p w14:paraId="34038454" w14:textId="77777777" w:rsidR="00D312DE" w:rsidRDefault="00D312DE" w:rsidP="00D312DE">
      <w:pPr>
        <w:keepNext/>
        <w:pBdr>
          <w:top w:val="single" w:sz="4" w:space="1" w:color="auto"/>
          <w:left w:val="single" w:sz="4" w:space="4" w:color="auto"/>
          <w:bottom w:val="single" w:sz="4" w:space="0" w:color="auto"/>
          <w:right w:val="single" w:sz="4" w:space="4" w:color="auto"/>
        </w:pBdr>
        <w:jc w:val="both"/>
        <w:rPr>
          <w:bCs/>
          <w:sz w:val="24"/>
          <w:szCs w:val="24"/>
        </w:rPr>
      </w:pPr>
      <w:r>
        <w:rPr>
          <w:bCs/>
          <w:sz w:val="24"/>
          <w:szCs w:val="24"/>
        </w:rPr>
        <w:t>rok 2025</w:t>
      </w:r>
    </w:p>
    <w:p w14:paraId="05F85E4A" w14:textId="77777777" w:rsidR="00D312DE" w:rsidRDefault="00D312DE" w:rsidP="00D312DE">
      <w:pPr>
        <w:pBdr>
          <w:top w:val="single" w:sz="4" w:space="1" w:color="auto"/>
          <w:left w:val="single" w:sz="4" w:space="4" w:color="auto"/>
          <w:bottom w:val="single" w:sz="4" w:space="0" w:color="auto"/>
          <w:right w:val="single" w:sz="4" w:space="4" w:color="auto"/>
        </w:pBdr>
        <w:jc w:val="both"/>
        <w:rPr>
          <w:bCs/>
          <w:sz w:val="24"/>
          <w:szCs w:val="24"/>
        </w:rPr>
      </w:pPr>
      <w:r>
        <w:rPr>
          <w:bCs/>
          <w:sz w:val="24"/>
          <w:szCs w:val="24"/>
        </w:rPr>
        <w:t xml:space="preserve">- poskytnutie minimálnej pomoci a štátnej pomoci </w:t>
      </w:r>
    </w:p>
    <w:p w14:paraId="2445F335" w14:textId="77777777" w:rsidR="00D312DE" w:rsidRPr="0021203F" w:rsidRDefault="00D312DE" w:rsidP="00D312DE">
      <w:pPr>
        <w:pBdr>
          <w:top w:val="single" w:sz="4" w:space="1" w:color="auto"/>
          <w:left w:val="single" w:sz="4" w:space="4" w:color="auto"/>
          <w:bottom w:val="single" w:sz="4" w:space="0" w:color="auto"/>
          <w:right w:val="single" w:sz="4" w:space="4" w:color="auto"/>
        </w:pBdr>
        <w:jc w:val="both"/>
        <w:rPr>
          <w:bCs/>
          <w:sz w:val="24"/>
          <w:szCs w:val="24"/>
        </w:rPr>
      </w:pPr>
      <w:r>
        <w:rPr>
          <w:bCs/>
          <w:sz w:val="24"/>
          <w:szCs w:val="24"/>
        </w:rPr>
        <w:t>- 2 ×</w:t>
      </w:r>
      <w:r w:rsidRPr="0021203F">
        <w:rPr>
          <w:bCs/>
          <w:sz w:val="24"/>
          <w:szCs w:val="24"/>
        </w:rPr>
        <w:t xml:space="preserve"> 200</w:t>
      </w:r>
      <w:r>
        <w:rPr>
          <w:bCs/>
          <w:sz w:val="24"/>
          <w:szCs w:val="24"/>
        </w:rPr>
        <w:t> </w:t>
      </w:r>
      <w:r w:rsidRPr="0021203F">
        <w:rPr>
          <w:bCs/>
          <w:sz w:val="24"/>
          <w:szCs w:val="24"/>
        </w:rPr>
        <w:t>000</w:t>
      </w:r>
      <w:r>
        <w:rPr>
          <w:bCs/>
          <w:sz w:val="24"/>
          <w:szCs w:val="24"/>
        </w:rPr>
        <w:t>,00 eur + 3 ×</w:t>
      </w:r>
      <w:r w:rsidRPr="0021203F">
        <w:rPr>
          <w:bCs/>
          <w:sz w:val="24"/>
          <w:szCs w:val="24"/>
        </w:rPr>
        <w:t xml:space="preserve"> 206</w:t>
      </w:r>
      <w:r>
        <w:rPr>
          <w:bCs/>
          <w:sz w:val="24"/>
          <w:szCs w:val="24"/>
        </w:rPr>
        <w:t xml:space="preserve"> 389,536 eur </w:t>
      </w:r>
      <w:r w:rsidRPr="00DD3550">
        <w:rPr>
          <w:bCs/>
          <w:i/>
          <w:sz w:val="24"/>
          <w:szCs w:val="24"/>
        </w:rPr>
        <w:t>[vo vzťahu k Letisku M.R. Štefánika Bratislava: 50% × 8 rotácií/mesiac × 12 mesiacov × (80% × 189 miest × 20,01 eur/1 odlietavajúceho cestujúceho + 0,00 € do 1 hodiny parkovania + 79 t × 16,13 eur/t)</w:t>
      </w:r>
      <w:r>
        <w:rPr>
          <w:bCs/>
          <w:i/>
          <w:sz w:val="24"/>
          <w:szCs w:val="24"/>
        </w:rPr>
        <w:t>]</w:t>
      </w:r>
    </w:p>
    <w:p w14:paraId="2A90062E" w14:textId="77777777" w:rsidR="00D312DE" w:rsidRDefault="00D312DE" w:rsidP="00D312DE">
      <w:pPr>
        <w:pBdr>
          <w:top w:val="single" w:sz="4" w:space="1" w:color="auto"/>
          <w:left w:val="single" w:sz="4" w:space="4" w:color="auto"/>
          <w:bottom w:val="single" w:sz="4" w:space="0" w:color="auto"/>
          <w:right w:val="single" w:sz="4" w:space="4" w:color="auto"/>
        </w:pBdr>
        <w:rPr>
          <w:bCs/>
          <w:sz w:val="24"/>
          <w:szCs w:val="24"/>
        </w:rPr>
      </w:pPr>
    </w:p>
    <w:p w14:paraId="7249E8F3" w14:textId="77777777" w:rsidR="00D312DE" w:rsidRDefault="00D312DE" w:rsidP="00D312DE">
      <w:pPr>
        <w:pBdr>
          <w:top w:val="single" w:sz="4" w:space="1" w:color="auto"/>
          <w:left w:val="single" w:sz="4" w:space="4" w:color="auto"/>
          <w:bottom w:val="single" w:sz="4" w:space="0" w:color="auto"/>
          <w:right w:val="single" w:sz="4" w:space="4" w:color="auto"/>
        </w:pBdr>
        <w:rPr>
          <w:bCs/>
          <w:sz w:val="24"/>
          <w:szCs w:val="24"/>
        </w:rPr>
      </w:pPr>
      <w:r>
        <w:rPr>
          <w:bCs/>
          <w:sz w:val="24"/>
          <w:szCs w:val="24"/>
        </w:rPr>
        <w:t xml:space="preserve">rok </w:t>
      </w:r>
      <w:r w:rsidRPr="0021203F">
        <w:rPr>
          <w:bCs/>
          <w:sz w:val="24"/>
          <w:szCs w:val="24"/>
        </w:rPr>
        <w:t>2026</w:t>
      </w:r>
    </w:p>
    <w:p w14:paraId="187AB51B" w14:textId="77777777" w:rsidR="00D312DE" w:rsidRDefault="00D312DE" w:rsidP="00D312DE">
      <w:pPr>
        <w:pBdr>
          <w:top w:val="single" w:sz="4" w:space="1" w:color="auto"/>
          <w:left w:val="single" w:sz="4" w:space="4" w:color="auto"/>
          <w:bottom w:val="single" w:sz="4" w:space="0" w:color="auto"/>
          <w:right w:val="single" w:sz="4" w:space="4" w:color="auto"/>
        </w:pBdr>
        <w:jc w:val="both"/>
        <w:rPr>
          <w:bCs/>
          <w:sz w:val="24"/>
          <w:szCs w:val="24"/>
        </w:rPr>
      </w:pPr>
      <w:r>
        <w:rPr>
          <w:bCs/>
          <w:sz w:val="24"/>
          <w:szCs w:val="24"/>
        </w:rPr>
        <w:t xml:space="preserve">- poskytnutie minimálnej pomoci a štátnej pomoci </w:t>
      </w:r>
    </w:p>
    <w:p w14:paraId="368285FB" w14:textId="77777777" w:rsidR="00D312DE" w:rsidRDefault="00D312DE" w:rsidP="00D312DE">
      <w:pPr>
        <w:pBdr>
          <w:top w:val="single" w:sz="4" w:space="1" w:color="auto"/>
          <w:left w:val="single" w:sz="4" w:space="4" w:color="auto"/>
          <w:bottom w:val="single" w:sz="4" w:space="0" w:color="auto"/>
          <w:right w:val="single" w:sz="4" w:space="4" w:color="auto"/>
        </w:pBdr>
        <w:rPr>
          <w:bCs/>
          <w:sz w:val="24"/>
          <w:szCs w:val="24"/>
        </w:rPr>
      </w:pPr>
      <w:r>
        <w:rPr>
          <w:bCs/>
          <w:sz w:val="24"/>
          <w:szCs w:val="24"/>
        </w:rPr>
        <w:t xml:space="preserve">- </w:t>
      </w:r>
      <w:r w:rsidRPr="0021203F">
        <w:rPr>
          <w:bCs/>
          <w:sz w:val="24"/>
          <w:szCs w:val="24"/>
        </w:rPr>
        <w:t xml:space="preserve">1 </w:t>
      </w:r>
      <w:r>
        <w:rPr>
          <w:bCs/>
          <w:sz w:val="24"/>
          <w:szCs w:val="24"/>
        </w:rPr>
        <w:t>×</w:t>
      </w:r>
      <w:r w:rsidRPr="0021203F">
        <w:rPr>
          <w:bCs/>
          <w:sz w:val="24"/>
          <w:szCs w:val="24"/>
        </w:rPr>
        <w:t xml:space="preserve"> 200</w:t>
      </w:r>
      <w:r>
        <w:rPr>
          <w:bCs/>
          <w:sz w:val="24"/>
          <w:szCs w:val="24"/>
        </w:rPr>
        <w:t> </w:t>
      </w:r>
      <w:r w:rsidRPr="0021203F">
        <w:rPr>
          <w:bCs/>
          <w:sz w:val="24"/>
          <w:szCs w:val="24"/>
        </w:rPr>
        <w:t>000</w:t>
      </w:r>
      <w:r>
        <w:rPr>
          <w:bCs/>
          <w:sz w:val="24"/>
          <w:szCs w:val="24"/>
        </w:rPr>
        <w:t>,00 eur</w:t>
      </w:r>
      <w:r w:rsidRPr="0021203F">
        <w:rPr>
          <w:bCs/>
          <w:sz w:val="24"/>
          <w:szCs w:val="24"/>
        </w:rPr>
        <w:t xml:space="preserve"> + 4 </w:t>
      </w:r>
      <w:r>
        <w:rPr>
          <w:bCs/>
          <w:sz w:val="24"/>
          <w:szCs w:val="24"/>
        </w:rPr>
        <w:t>×</w:t>
      </w:r>
      <w:r w:rsidRPr="0021203F">
        <w:rPr>
          <w:bCs/>
          <w:sz w:val="24"/>
          <w:szCs w:val="24"/>
        </w:rPr>
        <w:t xml:space="preserve"> 206</w:t>
      </w:r>
      <w:r>
        <w:rPr>
          <w:bCs/>
          <w:sz w:val="24"/>
          <w:szCs w:val="24"/>
        </w:rPr>
        <w:t> 389,536 eur</w:t>
      </w:r>
    </w:p>
    <w:p w14:paraId="485AB85D" w14:textId="77777777" w:rsidR="00D312DE" w:rsidRPr="0021203F" w:rsidRDefault="00D312DE" w:rsidP="00D312DE">
      <w:pPr>
        <w:pBdr>
          <w:top w:val="single" w:sz="4" w:space="1" w:color="auto"/>
          <w:left w:val="single" w:sz="4" w:space="4" w:color="auto"/>
          <w:bottom w:val="single" w:sz="4" w:space="0" w:color="auto"/>
          <w:right w:val="single" w:sz="4" w:space="4" w:color="auto"/>
        </w:pBdr>
        <w:rPr>
          <w:bCs/>
          <w:sz w:val="24"/>
          <w:szCs w:val="24"/>
        </w:rPr>
      </w:pPr>
    </w:p>
    <w:p w14:paraId="5B5F9AE1" w14:textId="77777777" w:rsidR="00D312DE" w:rsidRDefault="00D312DE" w:rsidP="00D312DE">
      <w:pPr>
        <w:pBdr>
          <w:top w:val="single" w:sz="4" w:space="1" w:color="auto"/>
          <w:left w:val="single" w:sz="4" w:space="4" w:color="auto"/>
          <w:bottom w:val="single" w:sz="4" w:space="0" w:color="auto"/>
          <w:right w:val="single" w:sz="4" w:space="4" w:color="auto"/>
        </w:pBdr>
        <w:rPr>
          <w:bCs/>
          <w:sz w:val="24"/>
          <w:szCs w:val="24"/>
        </w:rPr>
      </w:pPr>
      <w:r>
        <w:rPr>
          <w:bCs/>
          <w:sz w:val="24"/>
          <w:szCs w:val="24"/>
        </w:rPr>
        <w:t xml:space="preserve">rok </w:t>
      </w:r>
      <w:r w:rsidRPr="0021203F">
        <w:rPr>
          <w:bCs/>
          <w:sz w:val="24"/>
          <w:szCs w:val="24"/>
        </w:rPr>
        <w:t>2027</w:t>
      </w:r>
    </w:p>
    <w:p w14:paraId="7DC5946F" w14:textId="77777777" w:rsidR="00D312DE" w:rsidRDefault="00D312DE" w:rsidP="00D312DE">
      <w:pPr>
        <w:pBdr>
          <w:top w:val="single" w:sz="4" w:space="1" w:color="auto"/>
          <w:left w:val="single" w:sz="4" w:space="4" w:color="auto"/>
          <w:bottom w:val="single" w:sz="4" w:space="0" w:color="auto"/>
          <w:right w:val="single" w:sz="4" w:space="4" w:color="auto"/>
        </w:pBdr>
        <w:jc w:val="both"/>
        <w:rPr>
          <w:bCs/>
          <w:sz w:val="24"/>
          <w:szCs w:val="24"/>
        </w:rPr>
      </w:pPr>
      <w:r>
        <w:rPr>
          <w:bCs/>
          <w:sz w:val="24"/>
          <w:szCs w:val="24"/>
        </w:rPr>
        <w:t xml:space="preserve">- poskytnutie minimálnej pomoci a štátnej pomoci </w:t>
      </w:r>
    </w:p>
    <w:p w14:paraId="1FDC5957" w14:textId="77777777" w:rsidR="00D312DE" w:rsidRPr="0021203F" w:rsidRDefault="00D312DE" w:rsidP="00D312DE">
      <w:pPr>
        <w:pBdr>
          <w:top w:val="single" w:sz="4" w:space="1" w:color="auto"/>
          <w:left w:val="single" w:sz="4" w:space="4" w:color="auto"/>
          <w:bottom w:val="single" w:sz="4" w:space="0" w:color="auto"/>
          <w:right w:val="single" w:sz="4" w:space="4" w:color="auto"/>
        </w:pBdr>
        <w:rPr>
          <w:bCs/>
          <w:sz w:val="24"/>
          <w:szCs w:val="24"/>
        </w:rPr>
      </w:pPr>
      <w:r>
        <w:rPr>
          <w:bCs/>
          <w:sz w:val="24"/>
          <w:szCs w:val="24"/>
        </w:rPr>
        <w:t xml:space="preserve">- </w:t>
      </w:r>
      <w:r w:rsidRPr="0021203F">
        <w:rPr>
          <w:bCs/>
          <w:sz w:val="24"/>
          <w:szCs w:val="24"/>
        </w:rPr>
        <w:t xml:space="preserve">1 </w:t>
      </w:r>
      <w:r>
        <w:rPr>
          <w:bCs/>
          <w:sz w:val="24"/>
          <w:szCs w:val="24"/>
        </w:rPr>
        <w:t>×</w:t>
      </w:r>
      <w:r w:rsidRPr="0021203F">
        <w:rPr>
          <w:bCs/>
          <w:sz w:val="24"/>
          <w:szCs w:val="24"/>
        </w:rPr>
        <w:t xml:space="preserve"> 200</w:t>
      </w:r>
      <w:r>
        <w:rPr>
          <w:bCs/>
          <w:sz w:val="24"/>
          <w:szCs w:val="24"/>
        </w:rPr>
        <w:t> </w:t>
      </w:r>
      <w:r w:rsidRPr="0021203F">
        <w:rPr>
          <w:bCs/>
          <w:sz w:val="24"/>
          <w:szCs w:val="24"/>
        </w:rPr>
        <w:t>000</w:t>
      </w:r>
      <w:r>
        <w:rPr>
          <w:bCs/>
          <w:sz w:val="24"/>
          <w:szCs w:val="24"/>
        </w:rPr>
        <w:t>,00 eur</w:t>
      </w:r>
      <w:r w:rsidRPr="0021203F">
        <w:rPr>
          <w:bCs/>
          <w:sz w:val="24"/>
          <w:szCs w:val="24"/>
        </w:rPr>
        <w:t xml:space="preserve"> + 1 </w:t>
      </w:r>
      <w:r>
        <w:rPr>
          <w:bCs/>
          <w:sz w:val="24"/>
          <w:szCs w:val="24"/>
        </w:rPr>
        <w:t>×</w:t>
      </w:r>
      <w:r w:rsidRPr="0021203F">
        <w:rPr>
          <w:bCs/>
          <w:sz w:val="24"/>
          <w:szCs w:val="24"/>
        </w:rPr>
        <w:t xml:space="preserve"> 206</w:t>
      </w:r>
      <w:r>
        <w:rPr>
          <w:bCs/>
          <w:sz w:val="24"/>
          <w:szCs w:val="24"/>
        </w:rPr>
        <w:t> 389,536 eur</w:t>
      </w:r>
    </w:p>
    <w:p w14:paraId="635C318D" w14:textId="77777777" w:rsidR="00D312DE" w:rsidRDefault="00D312DE" w:rsidP="00D312DE">
      <w:pPr>
        <w:pBdr>
          <w:top w:val="single" w:sz="4" w:space="1" w:color="auto"/>
          <w:left w:val="single" w:sz="4" w:space="4" w:color="auto"/>
          <w:bottom w:val="single" w:sz="4" w:space="0" w:color="auto"/>
          <w:right w:val="single" w:sz="4" w:space="4" w:color="auto"/>
        </w:pBdr>
        <w:jc w:val="both"/>
        <w:rPr>
          <w:bCs/>
          <w:sz w:val="24"/>
          <w:szCs w:val="24"/>
        </w:rPr>
      </w:pPr>
    </w:p>
    <w:p w14:paraId="6EC6DBD1" w14:textId="77777777" w:rsidR="00D312DE" w:rsidRPr="007B7470" w:rsidRDefault="00D312DE" w:rsidP="00D312DE">
      <w:pPr>
        <w:tabs>
          <w:tab w:val="num" w:pos="1080"/>
        </w:tabs>
        <w:jc w:val="both"/>
        <w:rPr>
          <w:bCs/>
          <w:sz w:val="24"/>
        </w:rPr>
      </w:pPr>
    </w:p>
    <w:p w14:paraId="5DEBE327" w14:textId="77777777" w:rsidR="00D312DE" w:rsidRPr="007B7470" w:rsidRDefault="00D312DE" w:rsidP="00D312DE">
      <w:pPr>
        <w:tabs>
          <w:tab w:val="num" w:pos="1080"/>
        </w:tabs>
        <w:jc w:val="both"/>
        <w:rPr>
          <w:bCs/>
          <w:sz w:val="24"/>
        </w:rPr>
        <w:sectPr w:rsidR="00D312DE" w:rsidRPr="007B7470" w:rsidSect="002B63FD">
          <w:headerReference w:type="even" r:id="rId9"/>
          <w:footerReference w:type="even" r:id="rId10"/>
          <w:footerReference w:type="default" r:id="rId11"/>
          <w:headerReference w:type="first" r:id="rId12"/>
          <w:footerReference w:type="first" r:id="rId13"/>
          <w:pgSz w:w="11906" w:h="16838"/>
          <w:pgMar w:top="1417" w:right="1417" w:bottom="1276" w:left="1417" w:header="708" w:footer="708" w:gutter="0"/>
          <w:pgNumType w:start="1"/>
          <w:cols w:space="708"/>
          <w:docGrid w:linePitch="360"/>
        </w:sectPr>
      </w:pPr>
    </w:p>
    <w:p w14:paraId="3D7628B5" w14:textId="77777777" w:rsidR="00D312DE" w:rsidRPr="007B7470" w:rsidRDefault="00D312DE" w:rsidP="00D312DE">
      <w:pPr>
        <w:tabs>
          <w:tab w:val="num" w:pos="1080"/>
        </w:tabs>
        <w:jc w:val="both"/>
        <w:rPr>
          <w:bCs/>
        </w:rPr>
      </w:pPr>
      <w:r>
        <w:rPr>
          <w:bCs/>
        </w:rPr>
        <w:lastRenderedPageBreak/>
        <w:t>MD SR</w:t>
      </w:r>
      <w:r w:rsidRPr="007B7470">
        <w:rPr>
          <w:bCs/>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D312DE" w:rsidRPr="007B7470" w14:paraId="0F0B19BB" w14:textId="77777777" w:rsidTr="00774DA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90483EA" w14:textId="77777777" w:rsidR="00D312DE" w:rsidRPr="007B7470" w:rsidRDefault="00D312DE" w:rsidP="00774DA8">
            <w:pPr>
              <w:jc w:val="center"/>
              <w:rPr>
                <w:b/>
                <w:bCs/>
              </w:rPr>
            </w:pPr>
            <w:r w:rsidRPr="007B7470">
              <w:rPr>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D4591E2" w14:textId="77777777" w:rsidR="00D312DE" w:rsidRPr="007B7470" w:rsidRDefault="00D312DE" w:rsidP="00774DA8">
            <w:pPr>
              <w:jc w:val="center"/>
              <w:rPr>
                <w:b/>
                <w:bCs/>
              </w:rPr>
            </w:pPr>
            <w:r w:rsidRPr="007B7470">
              <w:rPr>
                <w:b/>
                <w:bCs/>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0FA57E8" w14:textId="77777777" w:rsidR="00D312DE" w:rsidRPr="007B7470" w:rsidRDefault="00D312DE" w:rsidP="00774DA8">
            <w:pPr>
              <w:jc w:val="center"/>
              <w:rPr>
                <w:b/>
                <w:bCs/>
                <w:sz w:val="24"/>
                <w:szCs w:val="24"/>
              </w:rPr>
            </w:pPr>
            <w:r w:rsidRPr="007B7470">
              <w:rPr>
                <w:b/>
                <w:bCs/>
                <w:sz w:val="24"/>
                <w:szCs w:val="24"/>
              </w:rPr>
              <w:t>poznámka</w:t>
            </w:r>
          </w:p>
        </w:tc>
      </w:tr>
      <w:tr w:rsidR="00D312DE" w:rsidRPr="007B7470" w14:paraId="3854672B" w14:textId="77777777" w:rsidTr="00774DA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7E6C21F" w14:textId="77777777" w:rsidR="00D312DE" w:rsidRPr="007B7470" w:rsidRDefault="00D312DE" w:rsidP="00774DA8">
            <w:pPr>
              <w:rPr>
                <w:b/>
                <w:bCs/>
                <w:color w:val="FFFFFF"/>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2AB1F907" w14:textId="77777777" w:rsidR="00D312DE" w:rsidRPr="0073432A" w:rsidRDefault="00D312DE" w:rsidP="00774DA8">
            <w:pPr>
              <w:jc w:val="center"/>
              <w:rPr>
                <w:b/>
                <w:bCs/>
              </w:rPr>
            </w:pPr>
            <w:r w:rsidRPr="0073432A">
              <w:rPr>
                <w:b/>
                <w:bCs/>
              </w:rPr>
              <w:t>2024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08AB4C40" w14:textId="77777777" w:rsidR="00D312DE" w:rsidRPr="0073432A" w:rsidRDefault="00D312DE" w:rsidP="00774DA8">
            <w:pPr>
              <w:jc w:val="center"/>
              <w:rPr>
                <w:b/>
                <w:bCs/>
              </w:rPr>
            </w:pPr>
            <w:r w:rsidRPr="0073432A">
              <w:rPr>
                <w:b/>
                <w:bCs/>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2E98EA66" w14:textId="77777777" w:rsidR="00D312DE" w:rsidRPr="0073432A" w:rsidRDefault="00D312DE" w:rsidP="00774DA8">
            <w:pPr>
              <w:jc w:val="center"/>
              <w:rPr>
                <w:b/>
                <w:bCs/>
              </w:rPr>
            </w:pPr>
            <w:r w:rsidRPr="0073432A">
              <w:rPr>
                <w:b/>
                <w:bCs/>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3B6518E8" w14:textId="77777777" w:rsidR="00D312DE" w:rsidRPr="0073432A" w:rsidRDefault="00D312DE" w:rsidP="00774DA8">
            <w:pPr>
              <w:jc w:val="center"/>
              <w:rPr>
                <w:b/>
                <w:bCs/>
              </w:rPr>
            </w:pPr>
            <w:r w:rsidRPr="0073432A">
              <w:rPr>
                <w:b/>
                <w:bCs/>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30794B8F" w14:textId="77777777" w:rsidR="00D312DE" w:rsidRPr="007B7470" w:rsidRDefault="00D312DE" w:rsidP="00774DA8">
            <w:pPr>
              <w:rPr>
                <w:b/>
                <w:bCs/>
                <w:color w:val="FFFFFF"/>
                <w:sz w:val="24"/>
                <w:szCs w:val="24"/>
              </w:rPr>
            </w:pPr>
          </w:p>
        </w:tc>
      </w:tr>
      <w:tr w:rsidR="00D312DE" w:rsidRPr="007B7470" w14:paraId="11A0846E" w14:textId="77777777" w:rsidTr="00774DA8">
        <w:trPr>
          <w:trHeight w:val="255"/>
        </w:trPr>
        <w:tc>
          <w:tcPr>
            <w:tcW w:w="7070" w:type="dxa"/>
            <w:tcBorders>
              <w:top w:val="nil"/>
              <w:left w:val="single" w:sz="4" w:space="0" w:color="auto"/>
              <w:bottom w:val="single" w:sz="4" w:space="0" w:color="auto"/>
              <w:right w:val="single" w:sz="4" w:space="0" w:color="auto"/>
            </w:tcBorders>
          </w:tcPr>
          <w:p w14:paraId="1906BBA2" w14:textId="77777777" w:rsidR="00D312DE" w:rsidRPr="007B7470" w:rsidRDefault="00D312DE" w:rsidP="00774DA8">
            <w:pPr>
              <w:rPr>
                <w:b/>
                <w:bCs/>
              </w:rPr>
            </w:pPr>
            <w:r w:rsidRPr="007B7470">
              <w:rPr>
                <w:b/>
                <w:bCs/>
              </w:rPr>
              <w:t>Bežné výdavky (600)</w:t>
            </w:r>
          </w:p>
        </w:tc>
        <w:tc>
          <w:tcPr>
            <w:tcW w:w="1430" w:type="dxa"/>
            <w:tcBorders>
              <w:top w:val="nil"/>
              <w:left w:val="nil"/>
              <w:bottom w:val="single" w:sz="4" w:space="0" w:color="auto"/>
              <w:right w:val="single" w:sz="4" w:space="0" w:color="auto"/>
            </w:tcBorders>
          </w:tcPr>
          <w:p w14:paraId="3258F59E" w14:textId="77777777" w:rsidR="00D312DE" w:rsidRPr="0073432A" w:rsidRDefault="00D312DE" w:rsidP="00774DA8">
            <w:pPr>
              <w:jc w:val="right"/>
              <w:rPr>
                <w:b/>
                <w:bCs/>
              </w:rPr>
            </w:pPr>
            <w:r w:rsidRPr="0073432A">
              <w:rPr>
                <w:b/>
                <w:bCs/>
              </w:rPr>
              <w:t>0,00</w:t>
            </w:r>
          </w:p>
        </w:tc>
        <w:tc>
          <w:tcPr>
            <w:tcW w:w="1650" w:type="dxa"/>
            <w:tcBorders>
              <w:top w:val="nil"/>
              <w:left w:val="nil"/>
              <w:bottom w:val="single" w:sz="4" w:space="0" w:color="auto"/>
              <w:right w:val="single" w:sz="4" w:space="0" w:color="auto"/>
            </w:tcBorders>
          </w:tcPr>
          <w:p w14:paraId="19D377FB" w14:textId="77777777" w:rsidR="00D312DE" w:rsidRPr="0073432A" w:rsidRDefault="00D312DE" w:rsidP="00774DA8">
            <w:pPr>
              <w:jc w:val="right"/>
              <w:rPr>
                <w:b/>
                <w:bCs/>
              </w:rPr>
            </w:pPr>
            <w:r w:rsidRPr="0073432A">
              <w:rPr>
                <w:b/>
                <w:bCs/>
              </w:rPr>
              <w:t>0,00</w:t>
            </w:r>
          </w:p>
        </w:tc>
        <w:tc>
          <w:tcPr>
            <w:tcW w:w="1540" w:type="dxa"/>
            <w:tcBorders>
              <w:top w:val="nil"/>
              <w:left w:val="nil"/>
              <w:bottom w:val="single" w:sz="4" w:space="0" w:color="auto"/>
              <w:right w:val="single" w:sz="4" w:space="0" w:color="auto"/>
            </w:tcBorders>
          </w:tcPr>
          <w:p w14:paraId="60AE99E5" w14:textId="77777777" w:rsidR="00D312DE" w:rsidRPr="0073432A" w:rsidRDefault="00D312DE" w:rsidP="00774DA8">
            <w:pPr>
              <w:jc w:val="right"/>
              <w:rPr>
                <w:b/>
                <w:bCs/>
              </w:rPr>
            </w:pPr>
            <w:r w:rsidRPr="0073432A">
              <w:rPr>
                <w:b/>
                <w:bCs/>
              </w:rPr>
              <w:t>0,00</w:t>
            </w:r>
          </w:p>
        </w:tc>
        <w:tc>
          <w:tcPr>
            <w:tcW w:w="1540" w:type="dxa"/>
            <w:tcBorders>
              <w:top w:val="nil"/>
              <w:left w:val="nil"/>
              <w:bottom w:val="single" w:sz="4" w:space="0" w:color="auto"/>
              <w:right w:val="single" w:sz="4" w:space="0" w:color="auto"/>
            </w:tcBorders>
          </w:tcPr>
          <w:p w14:paraId="2552CB7F" w14:textId="77777777" w:rsidR="00D312DE" w:rsidRPr="0073432A" w:rsidRDefault="00D312DE" w:rsidP="00774DA8">
            <w:pPr>
              <w:jc w:val="right"/>
              <w:rPr>
                <w:b/>
                <w:bCs/>
              </w:rPr>
            </w:pPr>
            <w:r w:rsidRPr="0073432A">
              <w:rPr>
                <w:b/>
                <w:bCs/>
              </w:rPr>
              <w:t>0,00</w:t>
            </w:r>
          </w:p>
        </w:tc>
        <w:tc>
          <w:tcPr>
            <w:tcW w:w="1649" w:type="dxa"/>
            <w:tcBorders>
              <w:top w:val="nil"/>
              <w:left w:val="nil"/>
              <w:bottom w:val="single" w:sz="4" w:space="0" w:color="auto"/>
              <w:right w:val="single" w:sz="4" w:space="0" w:color="auto"/>
            </w:tcBorders>
            <w:noWrap/>
            <w:vAlign w:val="bottom"/>
          </w:tcPr>
          <w:p w14:paraId="745590CA" w14:textId="77777777" w:rsidR="00D312DE" w:rsidRPr="007B7470" w:rsidRDefault="00D312DE" w:rsidP="00774DA8">
            <w:pPr>
              <w:rPr>
                <w:sz w:val="24"/>
                <w:szCs w:val="24"/>
              </w:rPr>
            </w:pPr>
            <w:r w:rsidRPr="007B7470">
              <w:rPr>
                <w:sz w:val="24"/>
                <w:szCs w:val="24"/>
              </w:rPr>
              <w:t> </w:t>
            </w:r>
          </w:p>
        </w:tc>
      </w:tr>
      <w:tr w:rsidR="00D312DE" w:rsidRPr="007B7470" w14:paraId="7C698DA0" w14:textId="77777777" w:rsidTr="00774DA8">
        <w:trPr>
          <w:trHeight w:val="255"/>
        </w:trPr>
        <w:tc>
          <w:tcPr>
            <w:tcW w:w="7070" w:type="dxa"/>
            <w:tcBorders>
              <w:top w:val="nil"/>
              <w:left w:val="single" w:sz="4" w:space="0" w:color="auto"/>
              <w:bottom w:val="single" w:sz="4" w:space="0" w:color="auto"/>
              <w:right w:val="single" w:sz="4" w:space="0" w:color="auto"/>
            </w:tcBorders>
          </w:tcPr>
          <w:p w14:paraId="56052AEE" w14:textId="77777777" w:rsidR="00D312DE" w:rsidRPr="007B7470" w:rsidRDefault="00D312DE" w:rsidP="00774DA8">
            <w:r w:rsidRPr="007B7470">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F4CC46E" w14:textId="77777777" w:rsidR="00D312DE" w:rsidRPr="0073432A" w:rsidRDefault="00D312DE" w:rsidP="00774DA8">
            <w:pPr>
              <w:jc w:val="right"/>
            </w:pPr>
            <w:r>
              <w:t>0,00</w:t>
            </w:r>
          </w:p>
        </w:tc>
        <w:tc>
          <w:tcPr>
            <w:tcW w:w="1650" w:type="dxa"/>
            <w:tcBorders>
              <w:top w:val="nil"/>
              <w:left w:val="nil"/>
              <w:bottom w:val="single" w:sz="4" w:space="0" w:color="auto"/>
              <w:right w:val="single" w:sz="4" w:space="0" w:color="auto"/>
            </w:tcBorders>
          </w:tcPr>
          <w:p w14:paraId="5F186CE0" w14:textId="77777777" w:rsidR="00D312DE" w:rsidRDefault="00D312DE" w:rsidP="00774DA8">
            <w:pPr>
              <w:jc w:val="right"/>
            </w:pPr>
            <w:r w:rsidRPr="0098144C">
              <w:t>0,00</w:t>
            </w:r>
          </w:p>
        </w:tc>
        <w:tc>
          <w:tcPr>
            <w:tcW w:w="1540" w:type="dxa"/>
            <w:tcBorders>
              <w:top w:val="nil"/>
              <w:left w:val="nil"/>
              <w:bottom w:val="single" w:sz="4" w:space="0" w:color="auto"/>
              <w:right w:val="single" w:sz="4" w:space="0" w:color="auto"/>
            </w:tcBorders>
          </w:tcPr>
          <w:p w14:paraId="4715C110" w14:textId="77777777" w:rsidR="00D312DE" w:rsidRDefault="00D312DE" w:rsidP="00774DA8">
            <w:pPr>
              <w:jc w:val="right"/>
            </w:pPr>
            <w:r w:rsidRPr="0098144C">
              <w:t>0,00</w:t>
            </w:r>
          </w:p>
        </w:tc>
        <w:tc>
          <w:tcPr>
            <w:tcW w:w="1540" w:type="dxa"/>
            <w:tcBorders>
              <w:top w:val="nil"/>
              <w:left w:val="nil"/>
              <w:bottom w:val="single" w:sz="4" w:space="0" w:color="auto"/>
              <w:right w:val="single" w:sz="4" w:space="0" w:color="auto"/>
            </w:tcBorders>
          </w:tcPr>
          <w:p w14:paraId="289C6E09" w14:textId="77777777" w:rsidR="00D312DE" w:rsidRDefault="00D312DE" w:rsidP="00774DA8">
            <w:pPr>
              <w:jc w:val="right"/>
            </w:pPr>
            <w:r w:rsidRPr="0098144C">
              <w:t>0,00</w:t>
            </w:r>
          </w:p>
        </w:tc>
        <w:tc>
          <w:tcPr>
            <w:tcW w:w="1649" w:type="dxa"/>
            <w:tcBorders>
              <w:top w:val="nil"/>
              <w:left w:val="nil"/>
              <w:bottom w:val="single" w:sz="4" w:space="0" w:color="auto"/>
              <w:right w:val="single" w:sz="4" w:space="0" w:color="auto"/>
            </w:tcBorders>
            <w:noWrap/>
            <w:vAlign w:val="bottom"/>
          </w:tcPr>
          <w:p w14:paraId="14362657" w14:textId="77777777" w:rsidR="00D312DE" w:rsidRPr="007B7470" w:rsidRDefault="00D312DE" w:rsidP="00774DA8">
            <w:pPr>
              <w:rPr>
                <w:sz w:val="24"/>
                <w:szCs w:val="24"/>
              </w:rPr>
            </w:pPr>
            <w:r w:rsidRPr="007B7470">
              <w:rPr>
                <w:sz w:val="24"/>
                <w:szCs w:val="24"/>
              </w:rPr>
              <w:t> </w:t>
            </w:r>
          </w:p>
        </w:tc>
      </w:tr>
      <w:tr w:rsidR="00D312DE" w:rsidRPr="007B7470" w14:paraId="06BCBFD5" w14:textId="77777777" w:rsidTr="00774DA8">
        <w:trPr>
          <w:trHeight w:val="255"/>
        </w:trPr>
        <w:tc>
          <w:tcPr>
            <w:tcW w:w="7070" w:type="dxa"/>
            <w:tcBorders>
              <w:top w:val="nil"/>
              <w:left w:val="single" w:sz="4" w:space="0" w:color="auto"/>
              <w:bottom w:val="single" w:sz="4" w:space="0" w:color="auto"/>
              <w:right w:val="single" w:sz="4" w:space="0" w:color="auto"/>
            </w:tcBorders>
          </w:tcPr>
          <w:p w14:paraId="786B31E7" w14:textId="77777777" w:rsidR="00D312DE" w:rsidRPr="007B7470" w:rsidRDefault="00D312DE" w:rsidP="00774DA8">
            <w:pPr>
              <w:rPr>
                <w:vertAlign w:val="superscript"/>
              </w:rPr>
            </w:pPr>
            <w:r w:rsidRPr="007B7470">
              <w:t xml:space="preserve">  Poistné a príspevok do poisťovní (620)</w:t>
            </w:r>
          </w:p>
        </w:tc>
        <w:tc>
          <w:tcPr>
            <w:tcW w:w="1430" w:type="dxa"/>
            <w:tcBorders>
              <w:top w:val="nil"/>
              <w:left w:val="nil"/>
              <w:bottom w:val="single" w:sz="4" w:space="0" w:color="auto"/>
              <w:right w:val="single" w:sz="4" w:space="0" w:color="auto"/>
            </w:tcBorders>
          </w:tcPr>
          <w:p w14:paraId="436651A5" w14:textId="77777777" w:rsidR="00D312DE" w:rsidRDefault="00D312DE" w:rsidP="00774DA8">
            <w:pPr>
              <w:jc w:val="right"/>
            </w:pPr>
            <w:r w:rsidRPr="00E948FA">
              <w:t>0,00</w:t>
            </w:r>
          </w:p>
        </w:tc>
        <w:tc>
          <w:tcPr>
            <w:tcW w:w="1650" w:type="dxa"/>
            <w:tcBorders>
              <w:top w:val="nil"/>
              <w:left w:val="nil"/>
              <w:bottom w:val="single" w:sz="4" w:space="0" w:color="auto"/>
              <w:right w:val="single" w:sz="4" w:space="0" w:color="auto"/>
            </w:tcBorders>
          </w:tcPr>
          <w:p w14:paraId="475701FB" w14:textId="77777777" w:rsidR="00D312DE" w:rsidRDefault="00D312DE" w:rsidP="00774DA8">
            <w:pPr>
              <w:jc w:val="right"/>
            </w:pPr>
            <w:r w:rsidRPr="0098144C">
              <w:t>0,00</w:t>
            </w:r>
          </w:p>
        </w:tc>
        <w:tc>
          <w:tcPr>
            <w:tcW w:w="1540" w:type="dxa"/>
            <w:tcBorders>
              <w:top w:val="nil"/>
              <w:left w:val="nil"/>
              <w:bottom w:val="single" w:sz="4" w:space="0" w:color="auto"/>
              <w:right w:val="single" w:sz="4" w:space="0" w:color="auto"/>
            </w:tcBorders>
          </w:tcPr>
          <w:p w14:paraId="6FF3C842" w14:textId="77777777" w:rsidR="00D312DE" w:rsidRDefault="00D312DE" w:rsidP="00774DA8">
            <w:pPr>
              <w:jc w:val="right"/>
            </w:pPr>
            <w:r w:rsidRPr="0098144C">
              <w:t>0,00</w:t>
            </w:r>
          </w:p>
        </w:tc>
        <w:tc>
          <w:tcPr>
            <w:tcW w:w="1540" w:type="dxa"/>
            <w:tcBorders>
              <w:top w:val="nil"/>
              <w:left w:val="nil"/>
              <w:bottom w:val="single" w:sz="4" w:space="0" w:color="auto"/>
              <w:right w:val="single" w:sz="4" w:space="0" w:color="auto"/>
            </w:tcBorders>
          </w:tcPr>
          <w:p w14:paraId="76567027" w14:textId="77777777" w:rsidR="00D312DE" w:rsidRDefault="00D312DE" w:rsidP="00774DA8">
            <w:pPr>
              <w:jc w:val="right"/>
            </w:pPr>
            <w:r w:rsidRPr="0098144C">
              <w:t>0,00</w:t>
            </w:r>
          </w:p>
        </w:tc>
        <w:tc>
          <w:tcPr>
            <w:tcW w:w="1649" w:type="dxa"/>
            <w:tcBorders>
              <w:top w:val="nil"/>
              <w:left w:val="nil"/>
              <w:bottom w:val="single" w:sz="4" w:space="0" w:color="auto"/>
              <w:right w:val="single" w:sz="4" w:space="0" w:color="auto"/>
            </w:tcBorders>
            <w:noWrap/>
            <w:vAlign w:val="bottom"/>
          </w:tcPr>
          <w:p w14:paraId="6D1982D3" w14:textId="77777777" w:rsidR="00D312DE" w:rsidRPr="007B7470" w:rsidRDefault="00D312DE" w:rsidP="00774DA8">
            <w:pPr>
              <w:rPr>
                <w:sz w:val="24"/>
                <w:szCs w:val="24"/>
              </w:rPr>
            </w:pPr>
            <w:r w:rsidRPr="007B7470">
              <w:rPr>
                <w:sz w:val="24"/>
                <w:szCs w:val="24"/>
              </w:rPr>
              <w:t> </w:t>
            </w:r>
          </w:p>
        </w:tc>
      </w:tr>
      <w:tr w:rsidR="00D312DE" w:rsidRPr="007B7470" w14:paraId="3B7AB036" w14:textId="77777777" w:rsidTr="00774DA8">
        <w:trPr>
          <w:trHeight w:val="255"/>
        </w:trPr>
        <w:tc>
          <w:tcPr>
            <w:tcW w:w="7070" w:type="dxa"/>
            <w:tcBorders>
              <w:top w:val="nil"/>
              <w:left w:val="single" w:sz="4" w:space="0" w:color="auto"/>
              <w:bottom w:val="single" w:sz="4" w:space="0" w:color="auto"/>
              <w:right w:val="single" w:sz="4" w:space="0" w:color="auto"/>
            </w:tcBorders>
          </w:tcPr>
          <w:p w14:paraId="12180681" w14:textId="77777777" w:rsidR="00D312DE" w:rsidRPr="007B7470" w:rsidRDefault="00D312DE" w:rsidP="00774DA8">
            <w:pPr>
              <w:rPr>
                <w:vertAlign w:val="superscript"/>
              </w:rPr>
            </w:pPr>
            <w:r w:rsidRPr="007B7470">
              <w:t xml:space="preserve">  Tovary a služby (630)</w:t>
            </w:r>
            <w:r w:rsidRPr="007B7470">
              <w:rPr>
                <w:vertAlign w:val="superscript"/>
              </w:rPr>
              <w:t>2</w:t>
            </w:r>
          </w:p>
        </w:tc>
        <w:tc>
          <w:tcPr>
            <w:tcW w:w="1430" w:type="dxa"/>
            <w:tcBorders>
              <w:top w:val="nil"/>
              <w:left w:val="nil"/>
              <w:bottom w:val="single" w:sz="4" w:space="0" w:color="auto"/>
              <w:right w:val="single" w:sz="4" w:space="0" w:color="auto"/>
            </w:tcBorders>
          </w:tcPr>
          <w:p w14:paraId="3EBE3836" w14:textId="77777777" w:rsidR="00D312DE" w:rsidRDefault="00D312DE" w:rsidP="00774DA8">
            <w:pPr>
              <w:jc w:val="right"/>
            </w:pPr>
            <w:r w:rsidRPr="00E948FA">
              <w:t>0,00</w:t>
            </w:r>
          </w:p>
        </w:tc>
        <w:tc>
          <w:tcPr>
            <w:tcW w:w="1650" w:type="dxa"/>
            <w:tcBorders>
              <w:top w:val="nil"/>
              <w:left w:val="nil"/>
              <w:bottom w:val="single" w:sz="4" w:space="0" w:color="auto"/>
              <w:right w:val="single" w:sz="4" w:space="0" w:color="auto"/>
            </w:tcBorders>
          </w:tcPr>
          <w:p w14:paraId="227F560C" w14:textId="77777777" w:rsidR="00D312DE" w:rsidRDefault="00D312DE" w:rsidP="00774DA8">
            <w:pPr>
              <w:jc w:val="right"/>
            </w:pPr>
            <w:r w:rsidRPr="0098144C">
              <w:t>0,00</w:t>
            </w:r>
          </w:p>
        </w:tc>
        <w:tc>
          <w:tcPr>
            <w:tcW w:w="1540" w:type="dxa"/>
            <w:tcBorders>
              <w:top w:val="nil"/>
              <w:left w:val="nil"/>
              <w:bottom w:val="single" w:sz="4" w:space="0" w:color="auto"/>
              <w:right w:val="single" w:sz="4" w:space="0" w:color="auto"/>
            </w:tcBorders>
          </w:tcPr>
          <w:p w14:paraId="0A14C974" w14:textId="77777777" w:rsidR="00D312DE" w:rsidRDefault="00D312DE" w:rsidP="00774DA8">
            <w:pPr>
              <w:jc w:val="right"/>
            </w:pPr>
            <w:r w:rsidRPr="0098144C">
              <w:t>0,00</w:t>
            </w:r>
          </w:p>
        </w:tc>
        <w:tc>
          <w:tcPr>
            <w:tcW w:w="1540" w:type="dxa"/>
            <w:tcBorders>
              <w:top w:val="nil"/>
              <w:left w:val="nil"/>
              <w:bottom w:val="single" w:sz="4" w:space="0" w:color="auto"/>
              <w:right w:val="single" w:sz="4" w:space="0" w:color="auto"/>
            </w:tcBorders>
          </w:tcPr>
          <w:p w14:paraId="5A81185E" w14:textId="77777777" w:rsidR="00D312DE" w:rsidRDefault="00D312DE" w:rsidP="00774DA8">
            <w:pPr>
              <w:jc w:val="right"/>
            </w:pPr>
            <w:r w:rsidRPr="0098144C">
              <w:t>0,00</w:t>
            </w:r>
          </w:p>
        </w:tc>
        <w:tc>
          <w:tcPr>
            <w:tcW w:w="1649" w:type="dxa"/>
            <w:tcBorders>
              <w:top w:val="nil"/>
              <w:left w:val="nil"/>
              <w:bottom w:val="single" w:sz="4" w:space="0" w:color="auto"/>
              <w:right w:val="single" w:sz="4" w:space="0" w:color="auto"/>
            </w:tcBorders>
            <w:noWrap/>
            <w:vAlign w:val="bottom"/>
          </w:tcPr>
          <w:p w14:paraId="2590B4F4" w14:textId="77777777" w:rsidR="00D312DE" w:rsidRPr="007B7470" w:rsidRDefault="00D312DE" w:rsidP="00774DA8">
            <w:pPr>
              <w:rPr>
                <w:sz w:val="24"/>
                <w:szCs w:val="24"/>
              </w:rPr>
            </w:pPr>
            <w:r w:rsidRPr="007B7470">
              <w:rPr>
                <w:sz w:val="24"/>
                <w:szCs w:val="24"/>
              </w:rPr>
              <w:t> </w:t>
            </w:r>
          </w:p>
        </w:tc>
      </w:tr>
      <w:tr w:rsidR="00D312DE" w:rsidRPr="007B7470" w14:paraId="231F04EF" w14:textId="77777777" w:rsidTr="00774DA8">
        <w:trPr>
          <w:trHeight w:val="255"/>
        </w:trPr>
        <w:tc>
          <w:tcPr>
            <w:tcW w:w="7070" w:type="dxa"/>
            <w:tcBorders>
              <w:top w:val="nil"/>
              <w:left w:val="single" w:sz="4" w:space="0" w:color="auto"/>
              <w:bottom w:val="single" w:sz="4" w:space="0" w:color="auto"/>
              <w:right w:val="single" w:sz="4" w:space="0" w:color="auto"/>
            </w:tcBorders>
          </w:tcPr>
          <w:p w14:paraId="6CC6CA9A" w14:textId="77777777" w:rsidR="00D312DE" w:rsidRPr="007B7470" w:rsidRDefault="00D312DE" w:rsidP="00774DA8">
            <w:r w:rsidRPr="007B7470">
              <w:t xml:space="preserve">  Bežné transfery (640)</w:t>
            </w:r>
            <w:r w:rsidRPr="007B7470">
              <w:rPr>
                <w:vertAlign w:val="superscript"/>
              </w:rPr>
              <w:t>2</w:t>
            </w:r>
          </w:p>
        </w:tc>
        <w:tc>
          <w:tcPr>
            <w:tcW w:w="1430" w:type="dxa"/>
            <w:tcBorders>
              <w:top w:val="nil"/>
              <w:left w:val="nil"/>
              <w:bottom w:val="single" w:sz="4" w:space="0" w:color="auto"/>
              <w:right w:val="single" w:sz="4" w:space="0" w:color="auto"/>
            </w:tcBorders>
            <w:vAlign w:val="center"/>
          </w:tcPr>
          <w:p w14:paraId="21575E9F" w14:textId="77777777" w:rsidR="00D312DE" w:rsidRPr="0073432A" w:rsidRDefault="00D312DE" w:rsidP="00774DA8">
            <w:pPr>
              <w:jc w:val="right"/>
            </w:pPr>
            <w:r w:rsidRPr="0073432A">
              <w:t>1 200 000,00</w:t>
            </w:r>
          </w:p>
        </w:tc>
        <w:tc>
          <w:tcPr>
            <w:tcW w:w="1650" w:type="dxa"/>
            <w:tcBorders>
              <w:top w:val="nil"/>
              <w:left w:val="nil"/>
              <w:bottom w:val="single" w:sz="4" w:space="0" w:color="auto"/>
              <w:right w:val="single" w:sz="4" w:space="0" w:color="auto"/>
            </w:tcBorders>
            <w:vAlign w:val="center"/>
          </w:tcPr>
          <w:p w14:paraId="2FD5CA29" w14:textId="77777777" w:rsidR="00D312DE" w:rsidRPr="0073432A" w:rsidRDefault="00D312DE" w:rsidP="00774DA8">
            <w:pPr>
              <w:jc w:val="right"/>
            </w:pPr>
            <w:r w:rsidRPr="0073432A">
              <w:t>1 019 168,61</w:t>
            </w:r>
          </w:p>
        </w:tc>
        <w:tc>
          <w:tcPr>
            <w:tcW w:w="1540" w:type="dxa"/>
            <w:tcBorders>
              <w:top w:val="nil"/>
              <w:left w:val="nil"/>
              <w:bottom w:val="single" w:sz="4" w:space="0" w:color="auto"/>
              <w:right w:val="single" w:sz="4" w:space="0" w:color="auto"/>
            </w:tcBorders>
            <w:vAlign w:val="center"/>
          </w:tcPr>
          <w:p w14:paraId="37B95CEA" w14:textId="77777777" w:rsidR="00D312DE" w:rsidRPr="0073432A" w:rsidRDefault="00D312DE" w:rsidP="00774DA8">
            <w:pPr>
              <w:jc w:val="right"/>
            </w:pPr>
            <w:r w:rsidRPr="0073432A">
              <w:t>1 025 558,14</w:t>
            </w:r>
          </w:p>
        </w:tc>
        <w:tc>
          <w:tcPr>
            <w:tcW w:w="1540" w:type="dxa"/>
            <w:tcBorders>
              <w:top w:val="nil"/>
              <w:left w:val="nil"/>
              <w:bottom w:val="single" w:sz="4" w:space="0" w:color="auto"/>
              <w:right w:val="single" w:sz="4" w:space="0" w:color="auto"/>
            </w:tcBorders>
            <w:vAlign w:val="center"/>
          </w:tcPr>
          <w:p w14:paraId="5D2E4490" w14:textId="77777777" w:rsidR="00D312DE" w:rsidRPr="0073432A" w:rsidRDefault="00D312DE" w:rsidP="00774DA8">
            <w:pPr>
              <w:jc w:val="right"/>
            </w:pPr>
            <w:r w:rsidRPr="0073432A">
              <w:t>406 389,54</w:t>
            </w:r>
          </w:p>
        </w:tc>
        <w:tc>
          <w:tcPr>
            <w:tcW w:w="1649" w:type="dxa"/>
            <w:tcBorders>
              <w:top w:val="nil"/>
              <w:left w:val="nil"/>
              <w:bottom w:val="single" w:sz="4" w:space="0" w:color="auto"/>
              <w:right w:val="single" w:sz="4" w:space="0" w:color="auto"/>
            </w:tcBorders>
            <w:noWrap/>
            <w:vAlign w:val="bottom"/>
          </w:tcPr>
          <w:p w14:paraId="5309340F" w14:textId="77777777" w:rsidR="00D312DE" w:rsidRPr="007B7470" w:rsidRDefault="00D312DE" w:rsidP="00774DA8">
            <w:pPr>
              <w:rPr>
                <w:sz w:val="24"/>
                <w:szCs w:val="24"/>
              </w:rPr>
            </w:pPr>
            <w:r w:rsidRPr="007B7470">
              <w:rPr>
                <w:sz w:val="24"/>
                <w:szCs w:val="24"/>
              </w:rPr>
              <w:t> </w:t>
            </w:r>
          </w:p>
        </w:tc>
      </w:tr>
      <w:tr w:rsidR="00D312DE" w:rsidRPr="007B7470" w14:paraId="39848801" w14:textId="77777777" w:rsidTr="00774DA8">
        <w:trPr>
          <w:trHeight w:val="255"/>
        </w:trPr>
        <w:tc>
          <w:tcPr>
            <w:tcW w:w="7070" w:type="dxa"/>
            <w:tcBorders>
              <w:top w:val="nil"/>
              <w:left w:val="single" w:sz="4" w:space="0" w:color="auto"/>
              <w:bottom w:val="single" w:sz="4" w:space="0" w:color="auto"/>
              <w:right w:val="single" w:sz="4" w:space="0" w:color="auto"/>
            </w:tcBorders>
            <w:vAlign w:val="center"/>
          </w:tcPr>
          <w:p w14:paraId="780D045C" w14:textId="77777777" w:rsidR="00D312DE" w:rsidRPr="007B7470" w:rsidRDefault="00D312DE" w:rsidP="00774DA8">
            <w:r w:rsidRPr="007B7470">
              <w:t xml:space="preserve">  Splácanie úrokov a ostatné platby súvisiace s  úverom, pôžičkou, návratnou finančnou výpomocou a finančným prenájmom (650)</w:t>
            </w:r>
            <w:r w:rsidRPr="007B7470">
              <w:rPr>
                <w:vertAlign w:val="superscript"/>
              </w:rPr>
              <w:t>2</w:t>
            </w:r>
          </w:p>
        </w:tc>
        <w:tc>
          <w:tcPr>
            <w:tcW w:w="1430" w:type="dxa"/>
            <w:tcBorders>
              <w:top w:val="nil"/>
              <w:left w:val="nil"/>
              <w:bottom w:val="single" w:sz="4" w:space="0" w:color="auto"/>
              <w:right w:val="single" w:sz="4" w:space="0" w:color="auto"/>
            </w:tcBorders>
          </w:tcPr>
          <w:p w14:paraId="266D3ED3" w14:textId="77777777" w:rsidR="00D312DE" w:rsidRDefault="00D312DE" w:rsidP="00774DA8">
            <w:pPr>
              <w:jc w:val="right"/>
            </w:pPr>
            <w:r w:rsidRPr="001F3FF9">
              <w:t>0,00</w:t>
            </w:r>
          </w:p>
        </w:tc>
        <w:tc>
          <w:tcPr>
            <w:tcW w:w="1650" w:type="dxa"/>
            <w:tcBorders>
              <w:top w:val="nil"/>
              <w:left w:val="nil"/>
              <w:bottom w:val="single" w:sz="4" w:space="0" w:color="auto"/>
              <w:right w:val="single" w:sz="4" w:space="0" w:color="auto"/>
            </w:tcBorders>
          </w:tcPr>
          <w:p w14:paraId="480FF2CD" w14:textId="77777777" w:rsidR="00D312DE" w:rsidRDefault="00D312DE" w:rsidP="00774DA8">
            <w:pPr>
              <w:jc w:val="right"/>
            </w:pPr>
            <w:r w:rsidRPr="001F3FF9">
              <w:t>0,00</w:t>
            </w:r>
          </w:p>
        </w:tc>
        <w:tc>
          <w:tcPr>
            <w:tcW w:w="1540" w:type="dxa"/>
            <w:tcBorders>
              <w:top w:val="nil"/>
              <w:left w:val="nil"/>
              <w:bottom w:val="single" w:sz="4" w:space="0" w:color="auto"/>
              <w:right w:val="single" w:sz="4" w:space="0" w:color="auto"/>
            </w:tcBorders>
          </w:tcPr>
          <w:p w14:paraId="26E28D9F" w14:textId="77777777" w:rsidR="00D312DE" w:rsidRDefault="00D312DE" w:rsidP="00774DA8">
            <w:pPr>
              <w:jc w:val="right"/>
            </w:pPr>
            <w:r w:rsidRPr="001F3FF9">
              <w:t>0,00</w:t>
            </w:r>
          </w:p>
        </w:tc>
        <w:tc>
          <w:tcPr>
            <w:tcW w:w="1540" w:type="dxa"/>
            <w:tcBorders>
              <w:top w:val="nil"/>
              <w:left w:val="nil"/>
              <w:bottom w:val="single" w:sz="4" w:space="0" w:color="auto"/>
              <w:right w:val="single" w:sz="4" w:space="0" w:color="auto"/>
            </w:tcBorders>
          </w:tcPr>
          <w:p w14:paraId="5C5FDCDC" w14:textId="77777777" w:rsidR="00D312DE" w:rsidRDefault="00D312DE" w:rsidP="00774DA8">
            <w:pPr>
              <w:jc w:val="right"/>
            </w:pPr>
            <w:r w:rsidRPr="001F3FF9">
              <w:t>0,00</w:t>
            </w:r>
          </w:p>
        </w:tc>
        <w:tc>
          <w:tcPr>
            <w:tcW w:w="1649" w:type="dxa"/>
            <w:tcBorders>
              <w:top w:val="nil"/>
              <w:left w:val="nil"/>
              <w:bottom w:val="single" w:sz="4" w:space="0" w:color="auto"/>
              <w:right w:val="single" w:sz="4" w:space="0" w:color="auto"/>
            </w:tcBorders>
            <w:noWrap/>
            <w:vAlign w:val="bottom"/>
          </w:tcPr>
          <w:p w14:paraId="64A8C46D" w14:textId="77777777" w:rsidR="00D312DE" w:rsidRPr="007B7470" w:rsidRDefault="00D312DE" w:rsidP="00774DA8">
            <w:pPr>
              <w:rPr>
                <w:sz w:val="24"/>
                <w:szCs w:val="24"/>
              </w:rPr>
            </w:pPr>
          </w:p>
        </w:tc>
      </w:tr>
      <w:tr w:rsidR="00D312DE" w:rsidRPr="007B7470" w14:paraId="2A5D8812" w14:textId="77777777" w:rsidTr="00774DA8">
        <w:trPr>
          <w:trHeight w:val="255"/>
        </w:trPr>
        <w:tc>
          <w:tcPr>
            <w:tcW w:w="7070" w:type="dxa"/>
            <w:tcBorders>
              <w:top w:val="nil"/>
              <w:left w:val="single" w:sz="4" w:space="0" w:color="auto"/>
              <w:bottom w:val="single" w:sz="4" w:space="0" w:color="auto"/>
              <w:right w:val="single" w:sz="4" w:space="0" w:color="auto"/>
            </w:tcBorders>
          </w:tcPr>
          <w:p w14:paraId="2C625240" w14:textId="77777777" w:rsidR="00D312DE" w:rsidRPr="007B7470" w:rsidRDefault="00D312DE" w:rsidP="00774DA8">
            <w:pPr>
              <w:rPr>
                <w:b/>
                <w:bCs/>
              </w:rPr>
            </w:pPr>
            <w:r w:rsidRPr="007B7470">
              <w:rPr>
                <w:b/>
                <w:bCs/>
              </w:rPr>
              <w:t>Kapitálové výdavky (700)</w:t>
            </w:r>
          </w:p>
        </w:tc>
        <w:tc>
          <w:tcPr>
            <w:tcW w:w="1430" w:type="dxa"/>
            <w:tcBorders>
              <w:top w:val="nil"/>
              <w:left w:val="nil"/>
              <w:bottom w:val="single" w:sz="4" w:space="0" w:color="auto"/>
              <w:right w:val="single" w:sz="4" w:space="0" w:color="auto"/>
            </w:tcBorders>
          </w:tcPr>
          <w:p w14:paraId="52FA2A74" w14:textId="77777777" w:rsidR="00D312DE" w:rsidRDefault="00D312DE" w:rsidP="00774DA8">
            <w:pPr>
              <w:jc w:val="right"/>
            </w:pPr>
            <w:r w:rsidRPr="001F3FF9">
              <w:t>0,00</w:t>
            </w:r>
          </w:p>
        </w:tc>
        <w:tc>
          <w:tcPr>
            <w:tcW w:w="1650" w:type="dxa"/>
            <w:tcBorders>
              <w:top w:val="nil"/>
              <w:left w:val="nil"/>
              <w:bottom w:val="single" w:sz="4" w:space="0" w:color="auto"/>
              <w:right w:val="single" w:sz="4" w:space="0" w:color="auto"/>
            </w:tcBorders>
          </w:tcPr>
          <w:p w14:paraId="623B8FBC" w14:textId="77777777" w:rsidR="00D312DE" w:rsidRDefault="00D312DE" w:rsidP="00774DA8">
            <w:pPr>
              <w:jc w:val="right"/>
            </w:pPr>
            <w:r w:rsidRPr="001F3FF9">
              <w:t>0,00</w:t>
            </w:r>
          </w:p>
        </w:tc>
        <w:tc>
          <w:tcPr>
            <w:tcW w:w="1540" w:type="dxa"/>
            <w:tcBorders>
              <w:top w:val="nil"/>
              <w:left w:val="nil"/>
              <w:bottom w:val="single" w:sz="4" w:space="0" w:color="auto"/>
              <w:right w:val="single" w:sz="4" w:space="0" w:color="auto"/>
            </w:tcBorders>
          </w:tcPr>
          <w:p w14:paraId="22061935" w14:textId="77777777" w:rsidR="00D312DE" w:rsidRDefault="00D312DE" w:rsidP="00774DA8">
            <w:pPr>
              <w:jc w:val="right"/>
            </w:pPr>
            <w:r w:rsidRPr="001F3FF9">
              <w:t>0,00</w:t>
            </w:r>
          </w:p>
        </w:tc>
        <w:tc>
          <w:tcPr>
            <w:tcW w:w="1540" w:type="dxa"/>
            <w:tcBorders>
              <w:top w:val="nil"/>
              <w:left w:val="nil"/>
              <w:bottom w:val="single" w:sz="4" w:space="0" w:color="auto"/>
              <w:right w:val="single" w:sz="4" w:space="0" w:color="auto"/>
            </w:tcBorders>
          </w:tcPr>
          <w:p w14:paraId="5F01CE09" w14:textId="77777777" w:rsidR="00D312DE" w:rsidRDefault="00D312DE" w:rsidP="00774DA8">
            <w:pPr>
              <w:jc w:val="right"/>
            </w:pPr>
            <w:r w:rsidRPr="001F3FF9">
              <w:t>0,00</w:t>
            </w:r>
          </w:p>
        </w:tc>
        <w:tc>
          <w:tcPr>
            <w:tcW w:w="1649" w:type="dxa"/>
            <w:tcBorders>
              <w:top w:val="nil"/>
              <w:left w:val="nil"/>
              <w:bottom w:val="single" w:sz="4" w:space="0" w:color="auto"/>
              <w:right w:val="single" w:sz="4" w:space="0" w:color="auto"/>
            </w:tcBorders>
            <w:noWrap/>
            <w:vAlign w:val="bottom"/>
          </w:tcPr>
          <w:p w14:paraId="634A098E" w14:textId="77777777" w:rsidR="00D312DE" w:rsidRPr="007B7470" w:rsidRDefault="00D312DE" w:rsidP="00774DA8">
            <w:pPr>
              <w:rPr>
                <w:sz w:val="24"/>
                <w:szCs w:val="24"/>
              </w:rPr>
            </w:pPr>
            <w:r w:rsidRPr="007B7470">
              <w:rPr>
                <w:sz w:val="24"/>
                <w:szCs w:val="24"/>
              </w:rPr>
              <w:t> </w:t>
            </w:r>
          </w:p>
        </w:tc>
      </w:tr>
      <w:tr w:rsidR="00D312DE" w:rsidRPr="007B7470" w14:paraId="783381F8" w14:textId="77777777" w:rsidTr="00774DA8">
        <w:trPr>
          <w:trHeight w:val="255"/>
        </w:trPr>
        <w:tc>
          <w:tcPr>
            <w:tcW w:w="7070" w:type="dxa"/>
            <w:tcBorders>
              <w:top w:val="nil"/>
              <w:left w:val="single" w:sz="4" w:space="0" w:color="auto"/>
              <w:bottom w:val="single" w:sz="4" w:space="0" w:color="auto"/>
              <w:right w:val="single" w:sz="4" w:space="0" w:color="auto"/>
            </w:tcBorders>
          </w:tcPr>
          <w:p w14:paraId="6139DB33" w14:textId="77777777" w:rsidR="00D312DE" w:rsidRPr="007B7470" w:rsidRDefault="00D312DE" w:rsidP="00774DA8">
            <w:r w:rsidRPr="007B7470">
              <w:t xml:space="preserve">  Obstarávanie kapitálových aktív (710)</w:t>
            </w:r>
            <w:r w:rsidRPr="007B7470">
              <w:rPr>
                <w:vertAlign w:val="superscript"/>
              </w:rPr>
              <w:t>2</w:t>
            </w:r>
          </w:p>
        </w:tc>
        <w:tc>
          <w:tcPr>
            <w:tcW w:w="1430" w:type="dxa"/>
            <w:tcBorders>
              <w:top w:val="nil"/>
              <w:left w:val="nil"/>
              <w:bottom w:val="single" w:sz="4" w:space="0" w:color="auto"/>
              <w:right w:val="single" w:sz="4" w:space="0" w:color="auto"/>
            </w:tcBorders>
          </w:tcPr>
          <w:p w14:paraId="039B2A5E" w14:textId="77777777" w:rsidR="00D312DE" w:rsidRDefault="00D312DE" w:rsidP="00774DA8">
            <w:pPr>
              <w:jc w:val="right"/>
            </w:pPr>
            <w:r w:rsidRPr="001F3FF9">
              <w:t>0,00</w:t>
            </w:r>
          </w:p>
        </w:tc>
        <w:tc>
          <w:tcPr>
            <w:tcW w:w="1650" w:type="dxa"/>
            <w:tcBorders>
              <w:top w:val="nil"/>
              <w:left w:val="nil"/>
              <w:bottom w:val="single" w:sz="4" w:space="0" w:color="auto"/>
              <w:right w:val="single" w:sz="4" w:space="0" w:color="auto"/>
            </w:tcBorders>
          </w:tcPr>
          <w:p w14:paraId="72B50EC5" w14:textId="77777777" w:rsidR="00D312DE" w:rsidRDefault="00D312DE" w:rsidP="00774DA8">
            <w:pPr>
              <w:jc w:val="right"/>
            </w:pPr>
            <w:r w:rsidRPr="001F3FF9">
              <w:t>0,00</w:t>
            </w:r>
          </w:p>
        </w:tc>
        <w:tc>
          <w:tcPr>
            <w:tcW w:w="1540" w:type="dxa"/>
            <w:tcBorders>
              <w:top w:val="nil"/>
              <w:left w:val="nil"/>
              <w:bottom w:val="single" w:sz="4" w:space="0" w:color="auto"/>
              <w:right w:val="single" w:sz="4" w:space="0" w:color="auto"/>
            </w:tcBorders>
          </w:tcPr>
          <w:p w14:paraId="2704855E" w14:textId="77777777" w:rsidR="00D312DE" w:rsidRDefault="00D312DE" w:rsidP="00774DA8">
            <w:pPr>
              <w:jc w:val="right"/>
            </w:pPr>
            <w:r w:rsidRPr="001F3FF9">
              <w:t>0,00</w:t>
            </w:r>
          </w:p>
        </w:tc>
        <w:tc>
          <w:tcPr>
            <w:tcW w:w="1540" w:type="dxa"/>
            <w:tcBorders>
              <w:top w:val="nil"/>
              <w:left w:val="nil"/>
              <w:bottom w:val="single" w:sz="4" w:space="0" w:color="auto"/>
              <w:right w:val="single" w:sz="4" w:space="0" w:color="auto"/>
            </w:tcBorders>
          </w:tcPr>
          <w:p w14:paraId="737D2CE7" w14:textId="77777777" w:rsidR="00D312DE" w:rsidRDefault="00D312DE" w:rsidP="00774DA8">
            <w:pPr>
              <w:jc w:val="right"/>
            </w:pPr>
            <w:r w:rsidRPr="001F3FF9">
              <w:t>0,00</w:t>
            </w:r>
          </w:p>
        </w:tc>
        <w:tc>
          <w:tcPr>
            <w:tcW w:w="1649" w:type="dxa"/>
            <w:tcBorders>
              <w:top w:val="nil"/>
              <w:left w:val="nil"/>
              <w:bottom w:val="single" w:sz="4" w:space="0" w:color="auto"/>
              <w:right w:val="single" w:sz="4" w:space="0" w:color="auto"/>
            </w:tcBorders>
            <w:noWrap/>
            <w:vAlign w:val="bottom"/>
          </w:tcPr>
          <w:p w14:paraId="24309E3E" w14:textId="77777777" w:rsidR="00D312DE" w:rsidRPr="007B7470" w:rsidRDefault="00D312DE" w:rsidP="00774DA8">
            <w:pPr>
              <w:rPr>
                <w:sz w:val="24"/>
                <w:szCs w:val="24"/>
              </w:rPr>
            </w:pPr>
            <w:r w:rsidRPr="007B7470">
              <w:rPr>
                <w:sz w:val="24"/>
                <w:szCs w:val="24"/>
              </w:rPr>
              <w:t> </w:t>
            </w:r>
          </w:p>
        </w:tc>
      </w:tr>
      <w:tr w:rsidR="00D312DE" w:rsidRPr="007B7470" w14:paraId="71EEEFD4" w14:textId="77777777" w:rsidTr="00774DA8">
        <w:trPr>
          <w:trHeight w:val="255"/>
        </w:trPr>
        <w:tc>
          <w:tcPr>
            <w:tcW w:w="7070" w:type="dxa"/>
            <w:tcBorders>
              <w:top w:val="nil"/>
              <w:left w:val="single" w:sz="4" w:space="0" w:color="auto"/>
              <w:bottom w:val="single" w:sz="4" w:space="0" w:color="auto"/>
              <w:right w:val="single" w:sz="4" w:space="0" w:color="auto"/>
            </w:tcBorders>
          </w:tcPr>
          <w:p w14:paraId="6B0DF1F0" w14:textId="77777777" w:rsidR="00D312DE" w:rsidRPr="007B7470" w:rsidRDefault="00D312DE" w:rsidP="00774DA8">
            <w:r w:rsidRPr="007B7470">
              <w:t xml:space="preserve">  Kapitálové transfery (720)</w:t>
            </w:r>
            <w:r w:rsidRPr="007B7470">
              <w:rPr>
                <w:vertAlign w:val="superscript"/>
              </w:rPr>
              <w:t>2</w:t>
            </w:r>
          </w:p>
        </w:tc>
        <w:tc>
          <w:tcPr>
            <w:tcW w:w="1430" w:type="dxa"/>
            <w:tcBorders>
              <w:top w:val="nil"/>
              <w:left w:val="nil"/>
              <w:bottom w:val="single" w:sz="4" w:space="0" w:color="auto"/>
              <w:right w:val="single" w:sz="4" w:space="0" w:color="auto"/>
            </w:tcBorders>
          </w:tcPr>
          <w:p w14:paraId="1107854B" w14:textId="77777777" w:rsidR="00D312DE" w:rsidRDefault="00D312DE" w:rsidP="00774DA8">
            <w:pPr>
              <w:jc w:val="right"/>
            </w:pPr>
            <w:r w:rsidRPr="001F3FF9">
              <w:t>0,00</w:t>
            </w:r>
          </w:p>
        </w:tc>
        <w:tc>
          <w:tcPr>
            <w:tcW w:w="1650" w:type="dxa"/>
            <w:tcBorders>
              <w:top w:val="nil"/>
              <w:left w:val="nil"/>
              <w:bottom w:val="single" w:sz="4" w:space="0" w:color="auto"/>
              <w:right w:val="single" w:sz="4" w:space="0" w:color="auto"/>
            </w:tcBorders>
          </w:tcPr>
          <w:p w14:paraId="68914085" w14:textId="77777777" w:rsidR="00D312DE" w:rsidRDefault="00D312DE" w:rsidP="00774DA8">
            <w:pPr>
              <w:jc w:val="right"/>
            </w:pPr>
            <w:r w:rsidRPr="001F3FF9">
              <w:t>0,00</w:t>
            </w:r>
          </w:p>
        </w:tc>
        <w:tc>
          <w:tcPr>
            <w:tcW w:w="1540" w:type="dxa"/>
            <w:tcBorders>
              <w:top w:val="nil"/>
              <w:left w:val="nil"/>
              <w:bottom w:val="single" w:sz="4" w:space="0" w:color="auto"/>
              <w:right w:val="single" w:sz="4" w:space="0" w:color="auto"/>
            </w:tcBorders>
          </w:tcPr>
          <w:p w14:paraId="276529F3" w14:textId="77777777" w:rsidR="00D312DE" w:rsidRDefault="00D312DE" w:rsidP="00774DA8">
            <w:pPr>
              <w:jc w:val="right"/>
            </w:pPr>
            <w:r w:rsidRPr="001F3FF9">
              <w:t>0,00</w:t>
            </w:r>
          </w:p>
        </w:tc>
        <w:tc>
          <w:tcPr>
            <w:tcW w:w="1540" w:type="dxa"/>
            <w:tcBorders>
              <w:top w:val="nil"/>
              <w:left w:val="nil"/>
              <w:bottom w:val="single" w:sz="4" w:space="0" w:color="auto"/>
              <w:right w:val="single" w:sz="4" w:space="0" w:color="auto"/>
            </w:tcBorders>
          </w:tcPr>
          <w:p w14:paraId="6F071DE0" w14:textId="77777777" w:rsidR="00D312DE" w:rsidRDefault="00D312DE" w:rsidP="00774DA8">
            <w:pPr>
              <w:jc w:val="right"/>
            </w:pPr>
            <w:r w:rsidRPr="001F3FF9">
              <w:t>0,00</w:t>
            </w:r>
          </w:p>
        </w:tc>
        <w:tc>
          <w:tcPr>
            <w:tcW w:w="1649" w:type="dxa"/>
            <w:tcBorders>
              <w:top w:val="nil"/>
              <w:left w:val="nil"/>
              <w:bottom w:val="single" w:sz="4" w:space="0" w:color="auto"/>
              <w:right w:val="single" w:sz="4" w:space="0" w:color="auto"/>
            </w:tcBorders>
            <w:noWrap/>
            <w:vAlign w:val="bottom"/>
          </w:tcPr>
          <w:p w14:paraId="7F1208F7" w14:textId="77777777" w:rsidR="00D312DE" w:rsidRPr="007B7470" w:rsidRDefault="00D312DE" w:rsidP="00774DA8">
            <w:pPr>
              <w:rPr>
                <w:sz w:val="24"/>
                <w:szCs w:val="24"/>
              </w:rPr>
            </w:pPr>
            <w:r w:rsidRPr="007B7470">
              <w:rPr>
                <w:sz w:val="24"/>
                <w:szCs w:val="24"/>
              </w:rPr>
              <w:t> </w:t>
            </w:r>
          </w:p>
        </w:tc>
      </w:tr>
      <w:tr w:rsidR="00D312DE" w:rsidRPr="007B7470" w14:paraId="11B2F719" w14:textId="77777777" w:rsidTr="00774DA8">
        <w:trPr>
          <w:trHeight w:val="255"/>
        </w:trPr>
        <w:tc>
          <w:tcPr>
            <w:tcW w:w="7070" w:type="dxa"/>
            <w:tcBorders>
              <w:top w:val="nil"/>
              <w:left w:val="single" w:sz="4" w:space="0" w:color="auto"/>
              <w:bottom w:val="single" w:sz="4" w:space="0" w:color="auto"/>
              <w:right w:val="single" w:sz="4" w:space="0" w:color="auto"/>
            </w:tcBorders>
          </w:tcPr>
          <w:p w14:paraId="76737AD8" w14:textId="77777777" w:rsidR="00D312DE" w:rsidRPr="007B7470" w:rsidRDefault="00D312DE" w:rsidP="00774DA8">
            <w:pPr>
              <w:rPr>
                <w:b/>
                <w:bCs/>
              </w:rPr>
            </w:pPr>
            <w:r w:rsidRPr="007B7470">
              <w:rPr>
                <w:b/>
                <w:bCs/>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473CA0C9" w14:textId="77777777" w:rsidR="00D312DE" w:rsidRDefault="00D312DE" w:rsidP="00774DA8">
            <w:pPr>
              <w:jc w:val="right"/>
            </w:pPr>
            <w:r w:rsidRPr="001F3FF9">
              <w:t>0,00</w:t>
            </w:r>
          </w:p>
        </w:tc>
        <w:tc>
          <w:tcPr>
            <w:tcW w:w="1650" w:type="dxa"/>
            <w:tcBorders>
              <w:top w:val="nil"/>
              <w:left w:val="nil"/>
              <w:bottom w:val="single" w:sz="4" w:space="0" w:color="auto"/>
              <w:right w:val="single" w:sz="4" w:space="0" w:color="auto"/>
            </w:tcBorders>
            <w:shd w:val="clear" w:color="auto" w:fill="auto"/>
          </w:tcPr>
          <w:p w14:paraId="7BF123A5" w14:textId="77777777" w:rsidR="00D312DE" w:rsidRDefault="00D312DE" w:rsidP="00774DA8">
            <w:pPr>
              <w:jc w:val="right"/>
            </w:pPr>
            <w:r w:rsidRPr="001F3FF9">
              <w:t>0,00</w:t>
            </w:r>
          </w:p>
        </w:tc>
        <w:tc>
          <w:tcPr>
            <w:tcW w:w="1540" w:type="dxa"/>
            <w:tcBorders>
              <w:top w:val="nil"/>
              <w:left w:val="nil"/>
              <w:bottom w:val="single" w:sz="4" w:space="0" w:color="auto"/>
              <w:right w:val="single" w:sz="4" w:space="0" w:color="auto"/>
            </w:tcBorders>
            <w:shd w:val="clear" w:color="auto" w:fill="auto"/>
          </w:tcPr>
          <w:p w14:paraId="6CF16EF8" w14:textId="77777777" w:rsidR="00D312DE" w:rsidRDefault="00D312DE" w:rsidP="00774DA8">
            <w:pPr>
              <w:jc w:val="right"/>
            </w:pPr>
            <w:r w:rsidRPr="001F3FF9">
              <w:t>0,00</w:t>
            </w:r>
          </w:p>
        </w:tc>
        <w:tc>
          <w:tcPr>
            <w:tcW w:w="1540" w:type="dxa"/>
            <w:tcBorders>
              <w:top w:val="nil"/>
              <w:left w:val="nil"/>
              <w:bottom w:val="single" w:sz="4" w:space="0" w:color="auto"/>
              <w:right w:val="single" w:sz="4" w:space="0" w:color="auto"/>
            </w:tcBorders>
            <w:shd w:val="clear" w:color="auto" w:fill="auto"/>
          </w:tcPr>
          <w:p w14:paraId="053B0E04" w14:textId="77777777" w:rsidR="00D312DE" w:rsidRDefault="00D312DE" w:rsidP="00774DA8">
            <w:pPr>
              <w:jc w:val="right"/>
            </w:pPr>
            <w:r w:rsidRPr="001F3FF9">
              <w:t>0,00</w:t>
            </w:r>
          </w:p>
        </w:tc>
        <w:tc>
          <w:tcPr>
            <w:tcW w:w="1649" w:type="dxa"/>
            <w:tcBorders>
              <w:top w:val="nil"/>
              <w:left w:val="nil"/>
              <w:bottom w:val="single" w:sz="4" w:space="0" w:color="auto"/>
              <w:right w:val="single" w:sz="4" w:space="0" w:color="auto"/>
            </w:tcBorders>
            <w:noWrap/>
            <w:vAlign w:val="bottom"/>
          </w:tcPr>
          <w:p w14:paraId="459574E9" w14:textId="77777777" w:rsidR="00D312DE" w:rsidRPr="007B7470" w:rsidRDefault="00D312DE" w:rsidP="00774DA8">
            <w:pPr>
              <w:rPr>
                <w:sz w:val="24"/>
                <w:szCs w:val="24"/>
              </w:rPr>
            </w:pPr>
            <w:r w:rsidRPr="007B7470">
              <w:rPr>
                <w:sz w:val="24"/>
                <w:szCs w:val="24"/>
              </w:rPr>
              <w:t> </w:t>
            </w:r>
          </w:p>
        </w:tc>
      </w:tr>
      <w:tr w:rsidR="00D312DE" w:rsidRPr="007B7470" w14:paraId="4A4C3B95" w14:textId="77777777" w:rsidTr="00774DA8">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BE3581" w14:textId="77777777" w:rsidR="00D312DE" w:rsidRPr="007B7470" w:rsidRDefault="00D312DE" w:rsidP="00774DA8">
            <w:pPr>
              <w:rPr>
                <w:b/>
                <w:bCs/>
              </w:rPr>
            </w:pPr>
            <w:r w:rsidRPr="007B7470">
              <w:rPr>
                <w:b/>
                <w:bCs/>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1174AEA" w14:textId="77777777" w:rsidR="00D312DE" w:rsidRPr="0073432A" w:rsidRDefault="00D312DE" w:rsidP="00774DA8">
            <w:pPr>
              <w:jc w:val="right"/>
              <w:rPr>
                <w:b/>
              </w:rPr>
            </w:pPr>
            <w:r w:rsidRPr="0073432A">
              <w:rPr>
                <w:b/>
              </w:rPr>
              <w:t>1 200 000,00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5A1BD8F" w14:textId="77777777" w:rsidR="00D312DE" w:rsidRPr="0073432A" w:rsidRDefault="00D312DE" w:rsidP="00774DA8">
            <w:pPr>
              <w:jc w:val="right"/>
              <w:rPr>
                <w:b/>
              </w:rPr>
            </w:pPr>
            <w:r w:rsidRPr="0073432A">
              <w:rPr>
                <w:b/>
              </w:rPr>
              <w:t>1 019 168,61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8F20CE4" w14:textId="77777777" w:rsidR="00D312DE" w:rsidRPr="0073432A" w:rsidRDefault="00D312DE" w:rsidP="00774DA8">
            <w:pPr>
              <w:jc w:val="right"/>
              <w:rPr>
                <w:b/>
              </w:rPr>
            </w:pPr>
            <w:r w:rsidRPr="0073432A">
              <w:rPr>
                <w:b/>
              </w:rPr>
              <w:t>1 025 558,14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8E5368F" w14:textId="77777777" w:rsidR="00D312DE" w:rsidRPr="0073432A" w:rsidRDefault="00D312DE" w:rsidP="00774DA8">
            <w:pPr>
              <w:jc w:val="right"/>
              <w:rPr>
                <w:b/>
              </w:rPr>
            </w:pPr>
            <w:r w:rsidRPr="0073432A">
              <w:rPr>
                <w:b/>
              </w:rPr>
              <w:t>406 389,54</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C6ADA7A" w14:textId="77777777" w:rsidR="00D312DE" w:rsidRPr="007B7470" w:rsidRDefault="00D312DE" w:rsidP="00774DA8">
            <w:pPr>
              <w:rPr>
                <w:sz w:val="24"/>
                <w:szCs w:val="24"/>
              </w:rPr>
            </w:pPr>
            <w:r w:rsidRPr="007B7470">
              <w:rPr>
                <w:sz w:val="24"/>
                <w:szCs w:val="24"/>
              </w:rPr>
              <w:t> </w:t>
            </w:r>
          </w:p>
        </w:tc>
      </w:tr>
    </w:tbl>
    <w:p w14:paraId="6996A4FC" w14:textId="77777777" w:rsidR="00D312DE" w:rsidRPr="007B7470" w:rsidRDefault="00D312DE" w:rsidP="00D312DE">
      <w:pPr>
        <w:tabs>
          <w:tab w:val="num" w:pos="1080"/>
        </w:tabs>
        <w:ind w:left="-900"/>
        <w:jc w:val="both"/>
        <w:rPr>
          <w:bCs/>
        </w:rPr>
      </w:pPr>
      <w:r w:rsidRPr="007B7470">
        <w:rPr>
          <w:bCs/>
        </w:rPr>
        <w:t xml:space="preserve">  2 –  výdavky rozpísať až do položiek platnej ekonomickej klasifikácie</w:t>
      </w:r>
    </w:p>
    <w:p w14:paraId="534439ED" w14:textId="77777777" w:rsidR="00D312DE" w:rsidRPr="007B7470" w:rsidRDefault="00D312DE" w:rsidP="00D312DE">
      <w:pPr>
        <w:tabs>
          <w:tab w:val="num" w:pos="1080"/>
        </w:tabs>
        <w:ind w:left="-900"/>
        <w:jc w:val="both"/>
        <w:rPr>
          <w:bCs/>
          <w:sz w:val="24"/>
        </w:rPr>
      </w:pPr>
    </w:p>
    <w:p w14:paraId="7B6F25E4" w14:textId="77777777" w:rsidR="00D312DE" w:rsidRPr="007B7470" w:rsidRDefault="00D312DE" w:rsidP="00D312DE">
      <w:pPr>
        <w:tabs>
          <w:tab w:val="num" w:pos="1080"/>
        </w:tabs>
        <w:ind w:left="-900"/>
        <w:jc w:val="both"/>
        <w:rPr>
          <w:b/>
          <w:bCs/>
        </w:rPr>
      </w:pPr>
      <w:r w:rsidRPr="007B7470">
        <w:rPr>
          <w:b/>
          <w:bCs/>
          <w:sz w:val="24"/>
        </w:rPr>
        <w:t xml:space="preserve">  Poznámka:</w:t>
      </w:r>
    </w:p>
    <w:p w14:paraId="720D9223" w14:textId="77777777" w:rsidR="00D312DE" w:rsidRPr="007B7470" w:rsidRDefault="00D312DE" w:rsidP="00D312DE">
      <w:pPr>
        <w:tabs>
          <w:tab w:val="num" w:pos="1080"/>
        </w:tabs>
        <w:ind w:left="-900"/>
        <w:jc w:val="both"/>
        <w:rPr>
          <w:bCs/>
        </w:rPr>
      </w:pPr>
      <w:r w:rsidRPr="007B7470">
        <w:rPr>
          <w:bCs/>
          <w:sz w:val="24"/>
        </w:rPr>
        <w:t xml:space="preserve">  Ak sa vplyv týka viacerých subjektov verejnej správy, vypĺňa sa samostatná tabuľka za každý subjekt.</w:t>
      </w:r>
    </w:p>
    <w:p w14:paraId="0DAC41BA" w14:textId="77777777" w:rsidR="00D312DE" w:rsidRDefault="00D312DE" w:rsidP="00D312DE">
      <w:pPr>
        <w:rPr>
          <w:bCs/>
        </w:rPr>
      </w:pPr>
      <w:r>
        <w:rPr>
          <w:bCs/>
        </w:rPr>
        <w:br w:type="page"/>
      </w:r>
    </w:p>
    <w:p w14:paraId="24623D89" w14:textId="77777777" w:rsidR="00D312DE" w:rsidRPr="007B7470" w:rsidRDefault="00D312DE" w:rsidP="00D312DE">
      <w:pPr>
        <w:tabs>
          <w:tab w:val="num" w:pos="1080"/>
        </w:tabs>
        <w:ind w:left="-900"/>
        <w:jc w:val="both"/>
        <w:rPr>
          <w:bCs/>
        </w:rPr>
      </w:pPr>
      <w:r w:rsidRPr="007B7470">
        <w:rPr>
          <w:bCs/>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D312DE" w:rsidRPr="007B7470" w14:paraId="2669CAEB" w14:textId="77777777" w:rsidTr="00774DA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7DF76C0" w14:textId="77777777" w:rsidR="00D312DE" w:rsidRPr="007B7470" w:rsidRDefault="00D312DE" w:rsidP="00774DA8">
            <w:pPr>
              <w:jc w:val="center"/>
              <w:rPr>
                <w:b/>
                <w:bCs/>
                <w:color w:val="000000" w:themeColor="text1"/>
              </w:rPr>
            </w:pPr>
            <w:r w:rsidRPr="007B7470">
              <w:rPr>
                <w:b/>
                <w:bCs/>
                <w:color w:val="000000" w:themeColor="text1"/>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2DB969E" w14:textId="77777777" w:rsidR="00D312DE" w:rsidRPr="007B7470" w:rsidRDefault="00D312DE" w:rsidP="00774DA8">
            <w:pPr>
              <w:jc w:val="center"/>
              <w:rPr>
                <w:b/>
                <w:bCs/>
                <w:color w:val="000000" w:themeColor="text1"/>
              </w:rPr>
            </w:pPr>
            <w:r w:rsidRPr="007B7470">
              <w:rPr>
                <w:b/>
                <w:bCs/>
                <w:color w:val="000000" w:themeColor="text1"/>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2DF055" w14:textId="77777777" w:rsidR="00D312DE" w:rsidRPr="007B7470" w:rsidRDefault="00D312DE" w:rsidP="00774DA8">
            <w:pPr>
              <w:jc w:val="center"/>
              <w:rPr>
                <w:b/>
                <w:bCs/>
                <w:color w:val="000000" w:themeColor="text1"/>
                <w:sz w:val="24"/>
                <w:szCs w:val="24"/>
              </w:rPr>
            </w:pPr>
            <w:r w:rsidRPr="007B7470">
              <w:rPr>
                <w:b/>
                <w:bCs/>
                <w:color w:val="000000" w:themeColor="text1"/>
                <w:sz w:val="24"/>
                <w:szCs w:val="24"/>
              </w:rPr>
              <w:t>poznámka</w:t>
            </w:r>
          </w:p>
        </w:tc>
      </w:tr>
      <w:tr w:rsidR="00D312DE" w:rsidRPr="007B7470" w14:paraId="7E40859C" w14:textId="77777777" w:rsidTr="00774DA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39A6247" w14:textId="77777777" w:rsidR="00D312DE" w:rsidRPr="007B7470" w:rsidRDefault="00D312DE" w:rsidP="00774DA8">
            <w:pPr>
              <w:rPr>
                <w:b/>
                <w:bCs/>
                <w:color w:val="000000" w:themeColor="text1"/>
              </w:rPr>
            </w:pPr>
          </w:p>
        </w:tc>
        <w:tc>
          <w:tcPr>
            <w:tcW w:w="1430" w:type="dxa"/>
            <w:tcBorders>
              <w:top w:val="nil"/>
              <w:left w:val="nil"/>
              <w:bottom w:val="single" w:sz="4" w:space="0" w:color="auto"/>
              <w:right w:val="single" w:sz="4" w:space="0" w:color="auto"/>
            </w:tcBorders>
            <w:shd w:val="clear" w:color="auto" w:fill="BFBFBF" w:themeFill="background1" w:themeFillShade="BF"/>
          </w:tcPr>
          <w:p w14:paraId="14B90D85" w14:textId="77777777" w:rsidR="00D312DE" w:rsidRPr="007B7470" w:rsidRDefault="00D312DE" w:rsidP="00774DA8">
            <w:pPr>
              <w:jc w:val="center"/>
              <w:rPr>
                <w:b/>
                <w:bCs/>
                <w:color w:val="000000" w:themeColor="text1"/>
              </w:rPr>
            </w:pPr>
            <w:r w:rsidRPr="007B7470">
              <w:rPr>
                <w:b/>
                <w:bCs/>
                <w:color w:val="000000" w:themeColor="text1"/>
              </w:rPr>
              <w:t>r</w:t>
            </w:r>
          </w:p>
        </w:tc>
        <w:tc>
          <w:tcPr>
            <w:tcW w:w="1650" w:type="dxa"/>
            <w:tcBorders>
              <w:top w:val="nil"/>
              <w:left w:val="nil"/>
              <w:bottom w:val="single" w:sz="4" w:space="0" w:color="auto"/>
              <w:right w:val="single" w:sz="4" w:space="0" w:color="auto"/>
            </w:tcBorders>
            <w:shd w:val="clear" w:color="auto" w:fill="BFBFBF" w:themeFill="background1" w:themeFillShade="BF"/>
          </w:tcPr>
          <w:p w14:paraId="1A4864FC" w14:textId="77777777" w:rsidR="00D312DE" w:rsidRPr="007B7470" w:rsidRDefault="00D312DE" w:rsidP="00774DA8">
            <w:pPr>
              <w:jc w:val="center"/>
              <w:rPr>
                <w:b/>
                <w:bCs/>
                <w:color w:val="000000" w:themeColor="text1"/>
              </w:rPr>
            </w:pPr>
            <w:r w:rsidRPr="007B7470">
              <w:rPr>
                <w:b/>
                <w:bCs/>
                <w:color w:val="000000" w:themeColor="text1"/>
              </w:rPr>
              <w:t>r + 1</w:t>
            </w:r>
          </w:p>
        </w:tc>
        <w:tc>
          <w:tcPr>
            <w:tcW w:w="1540" w:type="dxa"/>
            <w:tcBorders>
              <w:top w:val="nil"/>
              <w:left w:val="nil"/>
              <w:bottom w:val="single" w:sz="4" w:space="0" w:color="auto"/>
              <w:right w:val="single" w:sz="4" w:space="0" w:color="auto"/>
            </w:tcBorders>
            <w:shd w:val="clear" w:color="auto" w:fill="BFBFBF" w:themeFill="background1" w:themeFillShade="BF"/>
          </w:tcPr>
          <w:p w14:paraId="6656DDD4" w14:textId="77777777" w:rsidR="00D312DE" w:rsidRPr="007B7470" w:rsidRDefault="00D312DE" w:rsidP="00774DA8">
            <w:pPr>
              <w:jc w:val="center"/>
              <w:rPr>
                <w:b/>
                <w:bCs/>
                <w:color w:val="000000" w:themeColor="text1"/>
              </w:rPr>
            </w:pPr>
            <w:r w:rsidRPr="007B7470">
              <w:rPr>
                <w:b/>
                <w:bCs/>
                <w:color w:val="000000" w:themeColor="text1"/>
              </w:rPr>
              <w:t>r + 2</w:t>
            </w:r>
          </w:p>
        </w:tc>
        <w:tc>
          <w:tcPr>
            <w:tcW w:w="1540" w:type="dxa"/>
            <w:tcBorders>
              <w:top w:val="nil"/>
              <w:left w:val="nil"/>
              <w:bottom w:val="single" w:sz="4" w:space="0" w:color="auto"/>
              <w:right w:val="single" w:sz="4" w:space="0" w:color="auto"/>
            </w:tcBorders>
            <w:shd w:val="clear" w:color="auto" w:fill="BFBFBF" w:themeFill="background1" w:themeFillShade="BF"/>
          </w:tcPr>
          <w:p w14:paraId="2D88F664" w14:textId="77777777" w:rsidR="00D312DE" w:rsidRPr="007B7470" w:rsidRDefault="00D312DE" w:rsidP="00774DA8">
            <w:pPr>
              <w:jc w:val="center"/>
              <w:rPr>
                <w:b/>
                <w:bCs/>
                <w:color w:val="000000" w:themeColor="text1"/>
                <w:sz w:val="24"/>
                <w:szCs w:val="24"/>
              </w:rPr>
            </w:pPr>
            <w:r w:rsidRPr="007B7470">
              <w:rPr>
                <w:b/>
                <w:bCs/>
                <w:color w:val="000000" w:themeColor="text1"/>
                <w:sz w:val="24"/>
                <w:szCs w:val="24"/>
              </w:rPr>
              <w:t>r + 3</w:t>
            </w:r>
          </w:p>
        </w:tc>
        <w:tc>
          <w:tcPr>
            <w:tcW w:w="1649" w:type="dxa"/>
            <w:vMerge/>
            <w:tcBorders>
              <w:top w:val="single" w:sz="4" w:space="0" w:color="auto"/>
              <w:left w:val="single" w:sz="4" w:space="0" w:color="auto"/>
              <w:bottom w:val="single" w:sz="4" w:space="0" w:color="auto"/>
              <w:right w:val="single" w:sz="4" w:space="0" w:color="auto"/>
            </w:tcBorders>
            <w:vAlign w:val="center"/>
          </w:tcPr>
          <w:p w14:paraId="7A613523" w14:textId="77777777" w:rsidR="00D312DE" w:rsidRPr="007B7470" w:rsidRDefault="00D312DE" w:rsidP="00774DA8">
            <w:pPr>
              <w:rPr>
                <w:b/>
                <w:bCs/>
                <w:color w:val="000000" w:themeColor="text1"/>
                <w:sz w:val="24"/>
                <w:szCs w:val="24"/>
              </w:rPr>
            </w:pPr>
          </w:p>
        </w:tc>
      </w:tr>
      <w:tr w:rsidR="00D312DE" w:rsidRPr="007B7470" w14:paraId="415689E6" w14:textId="77777777" w:rsidTr="00774DA8">
        <w:trPr>
          <w:trHeight w:val="255"/>
        </w:trPr>
        <w:tc>
          <w:tcPr>
            <w:tcW w:w="7070" w:type="dxa"/>
            <w:tcBorders>
              <w:top w:val="nil"/>
              <w:left w:val="single" w:sz="4" w:space="0" w:color="auto"/>
              <w:bottom w:val="single" w:sz="4" w:space="0" w:color="auto"/>
              <w:right w:val="single" w:sz="4" w:space="0" w:color="auto"/>
            </w:tcBorders>
          </w:tcPr>
          <w:p w14:paraId="0C52A24B" w14:textId="77777777" w:rsidR="00D312DE" w:rsidRPr="007B7470" w:rsidRDefault="00D312DE" w:rsidP="00774DA8">
            <w:pPr>
              <w:rPr>
                <w:b/>
                <w:bCs/>
                <w:color w:val="000000" w:themeColor="text1"/>
              </w:rPr>
            </w:pPr>
            <w:r w:rsidRPr="007B7470">
              <w:rPr>
                <w:b/>
                <w:bCs/>
                <w:color w:val="000000" w:themeColor="text1"/>
              </w:rPr>
              <w:t>Kapitálové príjmy (230)</w:t>
            </w:r>
          </w:p>
        </w:tc>
        <w:tc>
          <w:tcPr>
            <w:tcW w:w="1430" w:type="dxa"/>
            <w:tcBorders>
              <w:top w:val="nil"/>
              <w:left w:val="nil"/>
              <w:bottom w:val="single" w:sz="4" w:space="0" w:color="auto"/>
              <w:right w:val="single" w:sz="4" w:space="0" w:color="auto"/>
            </w:tcBorders>
          </w:tcPr>
          <w:p w14:paraId="5928CB05" w14:textId="77777777" w:rsidR="00D312DE" w:rsidRPr="007B7470" w:rsidRDefault="00D312DE" w:rsidP="00774DA8">
            <w:pPr>
              <w:jc w:val="center"/>
              <w:rPr>
                <w:b/>
                <w:bCs/>
                <w:color w:val="000000" w:themeColor="text1"/>
              </w:rPr>
            </w:pPr>
          </w:p>
        </w:tc>
        <w:tc>
          <w:tcPr>
            <w:tcW w:w="1650" w:type="dxa"/>
            <w:tcBorders>
              <w:top w:val="nil"/>
              <w:left w:val="nil"/>
              <w:bottom w:val="single" w:sz="4" w:space="0" w:color="auto"/>
              <w:right w:val="single" w:sz="4" w:space="0" w:color="auto"/>
            </w:tcBorders>
          </w:tcPr>
          <w:p w14:paraId="0D016C5D" w14:textId="77777777" w:rsidR="00D312DE" w:rsidRPr="007B7470" w:rsidRDefault="00D312DE" w:rsidP="00774DA8">
            <w:pPr>
              <w:jc w:val="center"/>
              <w:rPr>
                <w:b/>
                <w:bCs/>
                <w:color w:val="000000" w:themeColor="text1"/>
              </w:rPr>
            </w:pPr>
          </w:p>
        </w:tc>
        <w:tc>
          <w:tcPr>
            <w:tcW w:w="1540" w:type="dxa"/>
            <w:tcBorders>
              <w:top w:val="nil"/>
              <w:left w:val="nil"/>
              <w:bottom w:val="single" w:sz="4" w:space="0" w:color="auto"/>
              <w:right w:val="single" w:sz="4" w:space="0" w:color="auto"/>
            </w:tcBorders>
          </w:tcPr>
          <w:p w14:paraId="0AA6F4B2" w14:textId="77777777" w:rsidR="00D312DE" w:rsidRPr="007B7470" w:rsidRDefault="00D312DE" w:rsidP="00774DA8">
            <w:pPr>
              <w:jc w:val="center"/>
              <w:rPr>
                <w:b/>
                <w:bCs/>
                <w:color w:val="000000" w:themeColor="text1"/>
              </w:rPr>
            </w:pPr>
          </w:p>
        </w:tc>
        <w:tc>
          <w:tcPr>
            <w:tcW w:w="1540" w:type="dxa"/>
            <w:tcBorders>
              <w:top w:val="nil"/>
              <w:left w:val="nil"/>
              <w:bottom w:val="single" w:sz="4" w:space="0" w:color="auto"/>
              <w:right w:val="single" w:sz="4" w:space="0" w:color="auto"/>
            </w:tcBorders>
          </w:tcPr>
          <w:p w14:paraId="4205FA06" w14:textId="77777777" w:rsidR="00D312DE" w:rsidRPr="007B7470" w:rsidRDefault="00D312DE" w:rsidP="00774DA8">
            <w:pPr>
              <w:jc w:val="center"/>
              <w:rPr>
                <w:b/>
                <w:bCs/>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7A559C35" w14:textId="77777777" w:rsidR="00D312DE" w:rsidRPr="007B7470" w:rsidRDefault="00D312DE" w:rsidP="00774DA8">
            <w:pPr>
              <w:rPr>
                <w:color w:val="000000" w:themeColor="text1"/>
                <w:sz w:val="24"/>
                <w:szCs w:val="24"/>
              </w:rPr>
            </w:pPr>
          </w:p>
        </w:tc>
      </w:tr>
      <w:tr w:rsidR="00D312DE" w:rsidRPr="007B7470" w14:paraId="57534654" w14:textId="77777777" w:rsidTr="00774DA8">
        <w:trPr>
          <w:trHeight w:val="255"/>
        </w:trPr>
        <w:tc>
          <w:tcPr>
            <w:tcW w:w="7070" w:type="dxa"/>
            <w:tcBorders>
              <w:top w:val="nil"/>
              <w:left w:val="single" w:sz="4" w:space="0" w:color="auto"/>
              <w:bottom w:val="single" w:sz="4" w:space="0" w:color="auto"/>
              <w:right w:val="single" w:sz="4" w:space="0" w:color="auto"/>
            </w:tcBorders>
          </w:tcPr>
          <w:p w14:paraId="2FF52515" w14:textId="77777777" w:rsidR="00D312DE" w:rsidRPr="007B7470" w:rsidRDefault="00D312DE" w:rsidP="00774DA8">
            <w:pPr>
              <w:rPr>
                <w:b/>
                <w:bCs/>
                <w:color w:val="000000" w:themeColor="text1"/>
              </w:rPr>
            </w:pPr>
            <w:r w:rsidRPr="007B7470">
              <w:rPr>
                <w:b/>
                <w:bCs/>
                <w:color w:val="000000" w:themeColor="text1"/>
              </w:rPr>
              <w:t>Bežné výdavky (600)</w:t>
            </w:r>
          </w:p>
        </w:tc>
        <w:tc>
          <w:tcPr>
            <w:tcW w:w="1430" w:type="dxa"/>
            <w:tcBorders>
              <w:top w:val="nil"/>
              <w:left w:val="nil"/>
              <w:bottom w:val="single" w:sz="4" w:space="0" w:color="auto"/>
              <w:right w:val="single" w:sz="4" w:space="0" w:color="auto"/>
            </w:tcBorders>
          </w:tcPr>
          <w:p w14:paraId="6A9C5903" w14:textId="77777777" w:rsidR="00D312DE" w:rsidRPr="007B7470" w:rsidRDefault="00D312DE" w:rsidP="00774DA8">
            <w:pPr>
              <w:jc w:val="center"/>
              <w:rPr>
                <w:b/>
                <w:bCs/>
                <w:color w:val="000000" w:themeColor="text1"/>
              </w:rPr>
            </w:pPr>
          </w:p>
        </w:tc>
        <w:tc>
          <w:tcPr>
            <w:tcW w:w="1650" w:type="dxa"/>
            <w:tcBorders>
              <w:top w:val="nil"/>
              <w:left w:val="nil"/>
              <w:bottom w:val="single" w:sz="4" w:space="0" w:color="auto"/>
              <w:right w:val="single" w:sz="4" w:space="0" w:color="auto"/>
            </w:tcBorders>
          </w:tcPr>
          <w:p w14:paraId="0B0FC5C0" w14:textId="77777777" w:rsidR="00D312DE" w:rsidRPr="007B7470" w:rsidRDefault="00D312DE" w:rsidP="00774DA8">
            <w:pPr>
              <w:jc w:val="center"/>
              <w:rPr>
                <w:b/>
                <w:bCs/>
                <w:color w:val="000000" w:themeColor="text1"/>
              </w:rPr>
            </w:pPr>
          </w:p>
        </w:tc>
        <w:tc>
          <w:tcPr>
            <w:tcW w:w="1540" w:type="dxa"/>
            <w:tcBorders>
              <w:top w:val="nil"/>
              <w:left w:val="nil"/>
              <w:bottom w:val="single" w:sz="4" w:space="0" w:color="auto"/>
              <w:right w:val="single" w:sz="4" w:space="0" w:color="auto"/>
            </w:tcBorders>
          </w:tcPr>
          <w:p w14:paraId="7721FB50" w14:textId="77777777" w:rsidR="00D312DE" w:rsidRPr="007B7470" w:rsidRDefault="00D312DE" w:rsidP="00774DA8">
            <w:pPr>
              <w:jc w:val="center"/>
              <w:rPr>
                <w:b/>
                <w:bCs/>
                <w:color w:val="000000" w:themeColor="text1"/>
              </w:rPr>
            </w:pPr>
          </w:p>
        </w:tc>
        <w:tc>
          <w:tcPr>
            <w:tcW w:w="1540" w:type="dxa"/>
            <w:tcBorders>
              <w:top w:val="nil"/>
              <w:left w:val="nil"/>
              <w:bottom w:val="single" w:sz="4" w:space="0" w:color="auto"/>
              <w:right w:val="single" w:sz="4" w:space="0" w:color="auto"/>
            </w:tcBorders>
          </w:tcPr>
          <w:p w14:paraId="6DB31E7A" w14:textId="77777777" w:rsidR="00D312DE" w:rsidRPr="007B7470" w:rsidRDefault="00D312DE" w:rsidP="00774DA8">
            <w:pPr>
              <w:jc w:val="center"/>
              <w:rPr>
                <w:b/>
                <w:bCs/>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0BA51640" w14:textId="77777777" w:rsidR="00D312DE" w:rsidRPr="007B7470" w:rsidRDefault="00D312DE" w:rsidP="00774DA8">
            <w:pPr>
              <w:rPr>
                <w:color w:val="000000" w:themeColor="text1"/>
                <w:sz w:val="24"/>
                <w:szCs w:val="24"/>
              </w:rPr>
            </w:pPr>
            <w:r w:rsidRPr="007B7470">
              <w:rPr>
                <w:color w:val="000000" w:themeColor="text1"/>
                <w:sz w:val="24"/>
                <w:szCs w:val="24"/>
              </w:rPr>
              <w:t> </w:t>
            </w:r>
          </w:p>
        </w:tc>
      </w:tr>
      <w:tr w:rsidR="00D312DE" w:rsidRPr="007B7470" w14:paraId="7C46ACF0" w14:textId="77777777" w:rsidTr="00774DA8">
        <w:trPr>
          <w:trHeight w:val="255"/>
        </w:trPr>
        <w:tc>
          <w:tcPr>
            <w:tcW w:w="7070" w:type="dxa"/>
            <w:tcBorders>
              <w:top w:val="nil"/>
              <w:left w:val="single" w:sz="4" w:space="0" w:color="auto"/>
              <w:bottom w:val="single" w:sz="4" w:space="0" w:color="auto"/>
              <w:right w:val="single" w:sz="4" w:space="0" w:color="auto"/>
            </w:tcBorders>
          </w:tcPr>
          <w:p w14:paraId="30BDDD62" w14:textId="77777777" w:rsidR="00D312DE" w:rsidRPr="007B7470" w:rsidRDefault="00D312DE" w:rsidP="00774DA8">
            <w:pPr>
              <w:rPr>
                <w:color w:val="000000" w:themeColor="text1"/>
              </w:rPr>
            </w:pPr>
            <w:r w:rsidRPr="007B7470">
              <w:rPr>
                <w:color w:val="000000" w:themeColor="text1"/>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7EE2BC68" w14:textId="77777777" w:rsidR="00D312DE" w:rsidRPr="007B7470" w:rsidRDefault="00D312DE" w:rsidP="00774DA8">
            <w:pPr>
              <w:jc w:val="center"/>
              <w:rPr>
                <w:color w:val="000000" w:themeColor="text1"/>
              </w:rPr>
            </w:pPr>
          </w:p>
        </w:tc>
        <w:tc>
          <w:tcPr>
            <w:tcW w:w="1650" w:type="dxa"/>
            <w:tcBorders>
              <w:top w:val="nil"/>
              <w:left w:val="nil"/>
              <w:bottom w:val="single" w:sz="4" w:space="0" w:color="auto"/>
              <w:right w:val="single" w:sz="4" w:space="0" w:color="auto"/>
            </w:tcBorders>
          </w:tcPr>
          <w:p w14:paraId="5B62F0BE"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7DBA98BD"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7A828431" w14:textId="77777777" w:rsidR="00D312DE" w:rsidRPr="007B7470" w:rsidRDefault="00D312DE" w:rsidP="00774DA8">
            <w:pPr>
              <w:jc w:val="center"/>
              <w:rPr>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7C163D9D" w14:textId="77777777" w:rsidR="00D312DE" w:rsidRPr="007B7470" w:rsidRDefault="00D312DE" w:rsidP="00774DA8">
            <w:pPr>
              <w:rPr>
                <w:color w:val="000000" w:themeColor="text1"/>
                <w:sz w:val="24"/>
                <w:szCs w:val="24"/>
              </w:rPr>
            </w:pPr>
            <w:r w:rsidRPr="007B7470">
              <w:rPr>
                <w:color w:val="000000" w:themeColor="text1"/>
                <w:sz w:val="24"/>
                <w:szCs w:val="24"/>
              </w:rPr>
              <w:t> </w:t>
            </w:r>
          </w:p>
        </w:tc>
      </w:tr>
      <w:tr w:rsidR="00D312DE" w:rsidRPr="007B7470" w14:paraId="0AAF29C0" w14:textId="77777777" w:rsidTr="00774DA8">
        <w:trPr>
          <w:trHeight w:val="255"/>
        </w:trPr>
        <w:tc>
          <w:tcPr>
            <w:tcW w:w="7070" w:type="dxa"/>
            <w:tcBorders>
              <w:top w:val="nil"/>
              <w:left w:val="single" w:sz="4" w:space="0" w:color="auto"/>
              <w:bottom w:val="single" w:sz="4" w:space="0" w:color="auto"/>
              <w:right w:val="single" w:sz="4" w:space="0" w:color="auto"/>
            </w:tcBorders>
          </w:tcPr>
          <w:p w14:paraId="3E656B99" w14:textId="77777777" w:rsidR="00D312DE" w:rsidRPr="007B7470" w:rsidRDefault="00D312DE" w:rsidP="00774DA8">
            <w:pPr>
              <w:rPr>
                <w:color w:val="000000" w:themeColor="text1"/>
                <w:vertAlign w:val="superscript"/>
              </w:rPr>
            </w:pPr>
            <w:r w:rsidRPr="007B7470">
              <w:rPr>
                <w:color w:val="000000" w:themeColor="text1"/>
              </w:rPr>
              <w:t xml:space="preserve">  Poistné a príspevok do poisťovní (620)</w:t>
            </w:r>
          </w:p>
        </w:tc>
        <w:tc>
          <w:tcPr>
            <w:tcW w:w="1430" w:type="dxa"/>
            <w:tcBorders>
              <w:top w:val="nil"/>
              <w:left w:val="nil"/>
              <w:bottom w:val="single" w:sz="4" w:space="0" w:color="auto"/>
              <w:right w:val="single" w:sz="4" w:space="0" w:color="auto"/>
            </w:tcBorders>
          </w:tcPr>
          <w:p w14:paraId="53DDA286" w14:textId="77777777" w:rsidR="00D312DE" w:rsidRPr="007B7470" w:rsidRDefault="00D312DE" w:rsidP="00774DA8">
            <w:pPr>
              <w:jc w:val="center"/>
              <w:rPr>
                <w:color w:val="000000" w:themeColor="text1"/>
              </w:rPr>
            </w:pPr>
          </w:p>
        </w:tc>
        <w:tc>
          <w:tcPr>
            <w:tcW w:w="1650" w:type="dxa"/>
            <w:tcBorders>
              <w:top w:val="nil"/>
              <w:left w:val="nil"/>
              <w:bottom w:val="single" w:sz="4" w:space="0" w:color="auto"/>
              <w:right w:val="single" w:sz="4" w:space="0" w:color="auto"/>
            </w:tcBorders>
          </w:tcPr>
          <w:p w14:paraId="78B0D5A1"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3300715B"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3309913E" w14:textId="77777777" w:rsidR="00D312DE" w:rsidRPr="007B7470" w:rsidRDefault="00D312DE" w:rsidP="00774DA8">
            <w:pPr>
              <w:jc w:val="center"/>
              <w:rPr>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1115C18E" w14:textId="77777777" w:rsidR="00D312DE" w:rsidRPr="007B7470" w:rsidRDefault="00D312DE" w:rsidP="00774DA8">
            <w:pPr>
              <w:rPr>
                <w:color w:val="000000" w:themeColor="text1"/>
                <w:sz w:val="24"/>
                <w:szCs w:val="24"/>
              </w:rPr>
            </w:pPr>
            <w:r w:rsidRPr="007B7470">
              <w:rPr>
                <w:color w:val="000000" w:themeColor="text1"/>
                <w:sz w:val="24"/>
                <w:szCs w:val="24"/>
              </w:rPr>
              <w:t> </w:t>
            </w:r>
          </w:p>
        </w:tc>
      </w:tr>
      <w:tr w:rsidR="00D312DE" w:rsidRPr="007B7470" w14:paraId="0563F1FC" w14:textId="77777777" w:rsidTr="00774DA8">
        <w:trPr>
          <w:trHeight w:val="255"/>
        </w:trPr>
        <w:tc>
          <w:tcPr>
            <w:tcW w:w="7070" w:type="dxa"/>
            <w:tcBorders>
              <w:top w:val="nil"/>
              <w:left w:val="single" w:sz="4" w:space="0" w:color="auto"/>
              <w:bottom w:val="single" w:sz="4" w:space="0" w:color="auto"/>
              <w:right w:val="single" w:sz="4" w:space="0" w:color="auto"/>
            </w:tcBorders>
          </w:tcPr>
          <w:p w14:paraId="7CE150F6" w14:textId="77777777" w:rsidR="00D312DE" w:rsidRPr="007B7470" w:rsidRDefault="00D312DE" w:rsidP="00774DA8">
            <w:pPr>
              <w:rPr>
                <w:color w:val="000000" w:themeColor="text1"/>
                <w:vertAlign w:val="superscript"/>
              </w:rPr>
            </w:pPr>
            <w:r w:rsidRPr="007B7470">
              <w:rPr>
                <w:color w:val="000000" w:themeColor="text1"/>
              </w:rPr>
              <w:t xml:space="preserve">  Tovary a služby (630)</w:t>
            </w:r>
            <w:r w:rsidRPr="007B7470">
              <w:rPr>
                <w:color w:val="000000" w:themeColor="text1"/>
                <w:vertAlign w:val="superscript"/>
              </w:rPr>
              <w:t>2</w:t>
            </w:r>
          </w:p>
        </w:tc>
        <w:tc>
          <w:tcPr>
            <w:tcW w:w="1430" w:type="dxa"/>
            <w:tcBorders>
              <w:top w:val="nil"/>
              <w:left w:val="nil"/>
              <w:bottom w:val="single" w:sz="4" w:space="0" w:color="auto"/>
              <w:right w:val="single" w:sz="4" w:space="0" w:color="auto"/>
            </w:tcBorders>
          </w:tcPr>
          <w:p w14:paraId="6AEBDFA1" w14:textId="77777777" w:rsidR="00D312DE" w:rsidRPr="007B7470" w:rsidRDefault="00D312DE" w:rsidP="00774DA8">
            <w:pPr>
              <w:jc w:val="center"/>
              <w:rPr>
                <w:color w:val="000000" w:themeColor="text1"/>
              </w:rPr>
            </w:pPr>
          </w:p>
        </w:tc>
        <w:tc>
          <w:tcPr>
            <w:tcW w:w="1650" w:type="dxa"/>
            <w:tcBorders>
              <w:top w:val="nil"/>
              <w:left w:val="nil"/>
              <w:bottom w:val="single" w:sz="4" w:space="0" w:color="auto"/>
              <w:right w:val="single" w:sz="4" w:space="0" w:color="auto"/>
            </w:tcBorders>
          </w:tcPr>
          <w:p w14:paraId="75EF23D6"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723ECEC9"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6E8FF392" w14:textId="77777777" w:rsidR="00D312DE" w:rsidRPr="007B7470" w:rsidRDefault="00D312DE" w:rsidP="00774DA8">
            <w:pPr>
              <w:jc w:val="center"/>
              <w:rPr>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2380204D" w14:textId="77777777" w:rsidR="00D312DE" w:rsidRPr="007B7470" w:rsidRDefault="00D312DE" w:rsidP="00774DA8">
            <w:pPr>
              <w:rPr>
                <w:color w:val="000000" w:themeColor="text1"/>
                <w:sz w:val="24"/>
                <w:szCs w:val="24"/>
              </w:rPr>
            </w:pPr>
            <w:r w:rsidRPr="007B7470">
              <w:rPr>
                <w:color w:val="000000" w:themeColor="text1"/>
                <w:sz w:val="24"/>
                <w:szCs w:val="24"/>
              </w:rPr>
              <w:t> </w:t>
            </w:r>
          </w:p>
        </w:tc>
      </w:tr>
      <w:tr w:rsidR="00D312DE" w:rsidRPr="007B7470" w14:paraId="17BEE9C6" w14:textId="77777777" w:rsidTr="00774DA8">
        <w:trPr>
          <w:trHeight w:val="255"/>
        </w:trPr>
        <w:tc>
          <w:tcPr>
            <w:tcW w:w="7070" w:type="dxa"/>
            <w:tcBorders>
              <w:top w:val="nil"/>
              <w:left w:val="single" w:sz="4" w:space="0" w:color="auto"/>
              <w:bottom w:val="single" w:sz="4" w:space="0" w:color="auto"/>
              <w:right w:val="single" w:sz="4" w:space="0" w:color="auto"/>
            </w:tcBorders>
          </w:tcPr>
          <w:p w14:paraId="6646F303" w14:textId="77777777" w:rsidR="00D312DE" w:rsidRPr="007B7470" w:rsidRDefault="00D312DE" w:rsidP="00774DA8">
            <w:pPr>
              <w:rPr>
                <w:color w:val="000000" w:themeColor="text1"/>
              </w:rPr>
            </w:pPr>
            <w:r w:rsidRPr="007B7470">
              <w:rPr>
                <w:color w:val="000000" w:themeColor="text1"/>
              </w:rPr>
              <w:t xml:space="preserve">  Bežné transfery (640)</w:t>
            </w:r>
            <w:r w:rsidRPr="007B7470">
              <w:rPr>
                <w:color w:val="000000" w:themeColor="text1"/>
                <w:vertAlign w:val="superscript"/>
              </w:rPr>
              <w:t>2</w:t>
            </w:r>
          </w:p>
        </w:tc>
        <w:tc>
          <w:tcPr>
            <w:tcW w:w="1430" w:type="dxa"/>
            <w:tcBorders>
              <w:top w:val="nil"/>
              <w:left w:val="nil"/>
              <w:bottom w:val="single" w:sz="4" w:space="0" w:color="auto"/>
              <w:right w:val="single" w:sz="4" w:space="0" w:color="auto"/>
            </w:tcBorders>
          </w:tcPr>
          <w:p w14:paraId="4AE5A935" w14:textId="77777777" w:rsidR="00D312DE" w:rsidRPr="007B7470" w:rsidRDefault="00D312DE" w:rsidP="00774DA8">
            <w:pPr>
              <w:jc w:val="center"/>
              <w:rPr>
                <w:color w:val="000000" w:themeColor="text1"/>
              </w:rPr>
            </w:pPr>
          </w:p>
        </w:tc>
        <w:tc>
          <w:tcPr>
            <w:tcW w:w="1650" w:type="dxa"/>
            <w:tcBorders>
              <w:top w:val="nil"/>
              <w:left w:val="nil"/>
              <w:bottom w:val="single" w:sz="4" w:space="0" w:color="auto"/>
              <w:right w:val="single" w:sz="4" w:space="0" w:color="auto"/>
            </w:tcBorders>
          </w:tcPr>
          <w:p w14:paraId="67993E67"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7CFBE1B0"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660E08D5" w14:textId="77777777" w:rsidR="00D312DE" w:rsidRPr="007B7470" w:rsidRDefault="00D312DE" w:rsidP="00774DA8">
            <w:pPr>
              <w:jc w:val="center"/>
              <w:rPr>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4375C2CC" w14:textId="77777777" w:rsidR="00D312DE" w:rsidRPr="007B7470" w:rsidRDefault="00D312DE" w:rsidP="00774DA8">
            <w:pPr>
              <w:rPr>
                <w:color w:val="000000" w:themeColor="text1"/>
                <w:sz w:val="24"/>
                <w:szCs w:val="24"/>
              </w:rPr>
            </w:pPr>
            <w:r w:rsidRPr="007B7470">
              <w:rPr>
                <w:color w:val="000000" w:themeColor="text1"/>
                <w:sz w:val="24"/>
                <w:szCs w:val="24"/>
              </w:rPr>
              <w:t> </w:t>
            </w:r>
          </w:p>
        </w:tc>
      </w:tr>
      <w:tr w:rsidR="00D312DE" w:rsidRPr="007B7470" w14:paraId="0E2E7A6C" w14:textId="77777777" w:rsidTr="00774DA8">
        <w:trPr>
          <w:trHeight w:val="255"/>
        </w:trPr>
        <w:tc>
          <w:tcPr>
            <w:tcW w:w="7070" w:type="dxa"/>
            <w:tcBorders>
              <w:top w:val="nil"/>
              <w:left w:val="single" w:sz="4" w:space="0" w:color="auto"/>
              <w:bottom w:val="single" w:sz="4" w:space="0" w:color="auto"/>
              <w:right w:val="single" w:sz="4" w:space="0" w:color="auto"/>
            </w:tcBorders>
            <w:vAlign w:val="center"/>
          </w:tcPr>
          <w:p w14:paraId="121B065B" w14:textId="77777777" w:rsidR="00D312DE" w:rsidRPr="007B7470" w:rsidRDefault="00D312DE" w:rsidP="00774DA8">
            <w:pPr>
              <w:rPr>
                <w:color w:val="000000" w:themeColor="text1"/>
              </w:rPr>
            </w:pPr>
            <w:r w:rsidRPr="007B7470">
              <w:rPr>
                <w:color w:val="000000" w:themeColor="text1"/>
              </w:rPr>
              <w:t xml:space="preserve">  Splácanie úrokov a ostatné platby súvisiace s  úverom, pôžičkou, návratnou finančnou výpomocou a finančným prenájmom (650)</w:t>
            </w:r>
            <w:r w:rsidRPr="007B7470">
              <w:rPr>
                <w:color w:val="000000" w:themeColor="text1"/>
                <w:vertAlign w:val="superscript"/>
              </w:rPr>
              <w:t>2</w:t>
            </w:r>
          </w:p>
        </w:tc>
        <w:tc>
          <w:tcPr>
            <w:tcW w:w="1430" w:type="dxa"/>
            <w:tcBorders>
              <w:top w:val="nil"/>
              <w:left w:val="nil"/>
              <w:bottom w:val="single" w:sz="4" w:space="0" w:color="auto"/>
              <w:right w:val="single" w:sz="4" w:space="0" w:color="auto"/>
            </w:tcBorders>
          </w:tcPr>
          <w:p w14:paraId="31CF9818" w14:textId="77777777" w:rsidR="00D312DE" w:rsidRPr="007B7470" w:rsidRDefault="00D312DE" w:rsidP="00774DA8">
            <w:pPr>
              <w:jc w:val="center"/>
              <w:rPr>
                <w:color w:val="000000" w:themeColor="text1"/>
              </w:rPr>
            </w:pPr>
          </w:p>
        </w:tc>
        <w:tc>
          <w:tcPr>
            <w:tcW w:w="1650" w:type="dxa"/>
            <w:tcBorders>
              <w:top w:val="nil"/>
              <w:left w:val="nil"/>
              <w:bottom w:val="single" w:sz="4" w:space="0" w:color="auto"/>
              <w:right w:val="single" w:sz="4" w:space="0" w:color="auto"/>
            </w:tcBorders>
          </w:tcPr>
          <w:p w14:paraId="040A8BB1"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239DB6E8"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747E9F32" w14:textId="77777777" w:rsidR="00D312DE" w:rsidRPr="007B7470" w:rsidRDefault="00D312DE" w:rsidP="00774DA8">
            <w:pPr>
              <w:jc w:val="center"/>
              <w:rPr>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38AE34DB" w14:textId="77777777" w:rsidR="00D312DE" w:rsidRPr="007B7470" w:rsidRDefault="00D312DE" w:rsidP="00774DA8">
            <w:pPr>
              <w:rPr>
                <w:color w:val="000000" w:themeColor="text1"/>
                <w:sz w:val="24"/>
                <w:szCs w:val="24"/>
              </w:rPr>
            </w:pPr>
          </w:p>
        </w:tc>
      </w:tr>
      <w:tr w:rsidR="00D312DE" w:rsidRPr="007B7470" w14:paraId="51DD484E" w14:textId="77777777" w:rsidTr="00774DA8">
        <w:trPr>
          <w:trHeight w:val="255"/>
        </w:trPr>
        <w:tc>
          <w:tcPr>
            <w:tcW w:w="7070" w:type="dxa"/>
            <w:tcBorders>
              <w:top w:val="nil"/>
              <w:left w:val="single" w:sz="4" w:space="0" w:color="auto"/>
              <w:bottom w:val="single" w:sz="4" w:space="0" w:color="auto"/>
              <w:right w:val="single" w:sz="4" w:space="0" w:color="auto"/>
            </w:tcBorders>
          </w:tcPr>
          <w:p w14:paraId="281B31F1" w14:textId="77777777" w:rsidR="00D312DE" w:rsidRPr="007B7470" w:rsidRDefault="00D312DE" w:rsidP="00774DA8">
            <w:pPr>
              <w:rPr>
                <w:b/>
                <w:bCs/>
                <w:color w:val="000000" w:themeColor="text1"/>
              </w:rPr>
            </w:pPr>
            <w:r w:rsidRPr="007B7470">
              <w:rPr>
                <w:b/>
                <w:bCs/>
                <w:color w:val="000000" w:themeColor="text1"/>
              </w:rPr>
              <w:t>Kapitálové výdavky (700)</w:t>
            </w:r>
          </w:p>
        </w:tc>
        <w:tc>
          <w:tcPr>
            <w:tcW w:w="1430" w:type="dxa"/>
            <w:tcBorders>
              <w:top w:val="nil"/>
              <w:left w:val="nil"/>
              <w:bottom w:val="single" w:sz="4" w:space="0" w:color="auto"/>
              <w:right w:val="single" w:sz="4" w:space="0" w:color="auto"/>
            </w:tcBorders>
          </w:tcPr>
          <w:p w14:paraId="3657A093" w14:textId="77777777" w:rsidR="00D312DE" w:rsidRPr="007B7470" w:rsidRDefault="00D312DE" w:rsidP="00774DA8">
            <w:pPr>
              <w:jc w:val="center"/>
              <w:rPr>
                <w:b/>
                <w:bCs/>
                <w:color w:val="000000" w:themeColor="text1"/>
              </w:rPr>
            </w:pPr>
          </w:p>
        </w:tc>
        <w:tc>
          <w:tcPr>
            <w:tcW w:w="1650" w:type="dxa"/>
            <w:tcBorders>
              <w:top w:val="nil"/>
              <w:left w:val="nil"/>
              <w:bottom w:val="single" w:sz="4" w:space="0" w:color="auto"/>
              <w:right w:val="single" w:sz="4" w:space="0" w:color="auto"/>
            </w:tcBorders>
          </w:tcPr>
          <w:p w14:paraId="5AB7FFD1" w14:textId="77777777" w:rsidR="00D312DE" w:rsidRPr="007B7470" w:rsidRDefault="00D312DE" w:rsidP="00774DA8">
            <w:pPr>
              <w:jc w:val="center"/>
              <w:rPr>
                <w:b/>
                <w:bCs/>
                <w:color w:val="000000" w:themeColor="text1"/>
              </w:rPr>
            </w:pPr>
          </w:p>
        </w:tc>
        <w:tc>
          <w:tcPr>
            <w:tcW w:w="1540" w:type="dxa"/>
            <w:tcBorders>
              <w:top w:val="nil"/>
              <w:left w:val="nil"/>
              <w:bottom w:val="single" w:sz="4" w:space="0" w:color="auto"/>
              <w:right w:val="single" w:sz="4" w:space="0" w:color="auto"/>
            </w:tcBorders>
          </w:tcPr>
          <w:p w14:paraId="5FDDDBA7" w14:textId="77777777" w:rsidR="00D312DE" w:rsidRPr="007B7470" w:rsidRDefault="00D312DE" w:rsidP="00774DA8">
            <w:pPr>
              <w:jc w:val="center"/>
              <w:rPr>
                <w:b/>
                <w:bCs/>
                <w:color w:val="000000" w:themeColor="text1"/>
              </w:rPr>
            </w:pPr>
          </w:p>
        </w:tc>
        <w:tc>
          <w:tcPr>
            <w:tcW w:w="1540" w:type="dxa"/>
            <w:tcBorders>
              <w:top w:val="nil"/>
              <w:left w:val="nil"/>
              <w:bottom w:val="single" w:sz="4" w:space="0" w:color="auto"/>
              <w:right w:val="single" w:sz="4" w:space="0" w:color="auto"/>
            </w:tcBorders>
          </w:tcPr>
          <w:p w14:paraId="5D4070A1" w14:textId="77777777" w:rsidR="00D312DE" w:rsidRPr="007B7470" w:rsidRDefault="00D312DE" w:rsidP="00774DA8">
            <w:pPr>
              <w:jc w:val="center"/>
              <w:rPr>
                <w:b/>
                <w:bCs/>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0C2DBDF6" w14:textId="77777777" w:rsidR="00D312DE" w:rsidRPr="007B7470" w:rsidRDefault="00D312DE" w:rsidP="00774DA8">
            <w:pPr>
              <w:rPr>
                <w:color w:val="000000" w:themeColor="text1"/>
                <w:sz w:val="24"/>
                <w:szCs w:val="24"/>
              </w:rPr>
            </w:pPr>
            <w:r w:rsidRPr="007B7470">
              <w:rPr>
                <w:color w:val="000000" w:themeColor="text1"/>
                <w:sz w:val="24"/>
                <w:szCs w:val="24"/>
              </w:rPr>
              <w:t> </w:t>
            </w:r>
          </w:p>
        </w:tc>
      </w:tr>
      <w:tr w:rsidR="00D312DE" w:rsidRPr="007B7470" w14:paraId="740D427C" w14:textId="77777777" w:rsidTr="00774DA8">
        <w:trPr>
          <w:trHeight w:val="255"/>
        </w:trPr>
        <w:tc>
          <w:tcPr>
            <w:tcW w:w="7070" w:type="dxa"/>
            <w:tcBorders>
              <w:top w:val="nil"/>
              <w:left w:val="single" w:sz="4" w:space="0" w:color="auto"/>
              <w:bottom w:val="single" w:sz="4" w:space="0" w:color="auto"/>
              <w:right w:val="single" w:sz="4" w:space="0" w:color="auto"/>
            </w:tcBorders>
          </w:tcPr>
          <w:p w14:paraId="312BAC2F" w14:textId="77777777" w:rsidR="00D312DE" w:rsidRPr="007B7470" w:rsidRDefault="00D312DE" w:rsidP="00774DA8">
            <w:pPr>
              <w:rPr>
                <w:color w:val="000000" w:themeColor="text1"/>
              </w:rPr>
            </w:pPr>
            <w:r w:rsidRPr="007B7470">
              <w:rPr>
                <w:color w:val="000000" w:themeColor="text1"/>
              </w:rPr>
              <w:t xml:space="preserve">  Obstarávanie kapitálových aktív (710)</w:t>
            </w:r>
            <w:r w:rsidRPr="007B7470">
              <w:rPr>
                <w:color w:val="000000" w:themeColor="text1"/>
                <w:vertAlign w:val="superscript"/>
              </w:rPr>
              <w:t>2</w:t>
            </w:r>
          </w:p>
        </w:tc>
        <w:tc>
          <w:tcPr>
            <w:tcW w:w="1430" w:type="dxa"/>
            <w:tcBorders>
              <w:top w:val="nil"/>
              <w:left w:val="nil"/>
              <w:bottom w:val="single" w:sz="4" w:space="0" w:color="auto"/>
              <w:right w:val="single" w:sz="4" w:space="0" w:color="auto"/>
            </w:tcBorders>
          </w:tcPr>
          <w:p w14:paraId="7379445D" w14:textId="77777777" w:rsidR="00D312DE" w:rsidRPr="007B7470" w:rsidRDefault="00D312DE" w:rsidP="00774DA8">
            <w:pPr>
              <w:jc w:val="center"/>
              <w:rPr>
                <w:color w:val="000000" w:themeColor="text1"/>
              </w:rPr>
            </w:pPr>
          </w:p>
        </w:tc>
        <w:tc>
          <w:tcPr>
            <w:tcW w:w="1650" w:type="dxa"/>
            <w:tcBorders>
              <w:top w:val="nil"/>
              <w:left w:val="nil"/>
              <w:bottom w:val="single" w:sz="4" w:space="0" w:color="auto"/>
              <w:right w:val="single" w:sz="4" w:space="0" w:color="auto"/>
            </w:tcBorders>
          </w:tcPr>
          <w:p w14:paraId="0E4093F5"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5E78CE55"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5B9072C9" w14:textId="77777777" w:rsidR="00D312DE" w:rsidRPr="007B7470" w:rsidRDefault="00D312DE" w:rsidP="00774DA8">
            <w:pPr>
              <w:jc w:val="center"/>
              <w:rPr>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4F90760A" w14:textId="77777777" w:rsidR="00D312DE" w:rsidRPr="007B7470" w:rsidRDefault="00D312DE" w:rsidP="00774DA8">
            <w:pPr>
              <w:rPr>
                <w:color w:val="000000" w:themeColor="text1"/>
                <w:sz w:val="24"/>
                <w:szCs w:val="24"/>
              </w:rPr>
            </w:pPr>
            <w:r w:rsidRPr="007B7470">
              <w:rPr>
                <w:color w:val="000000" w:themeColor="text1"/>
                <w:sz w:val="24"/>
                <w:szCs w:val="24"/>
              </w:rPr>
              <w:t> </w:t>
            </w:r>
          </w:p>
        </w:tc>
      </w:tr>
      <w:tr w:rsidR="00D312DE" w:rsidRPr="007B7470" w14:paraId="73105FAC" w14:textId="77777777" w:rsidTr="00774DA8">
        <w:trPr>
          <w:trHeight w:val="255"/>
        </w:trPr>
        <w:tc>
          <w:tcPr>
            <w:tcW w:w="7070" w:type="dxa"/>
            <w:tcBorders>
              <w:top w:val="nil"/>
              <w:left w:val="single" w:sz="4" w:space="0" w:color="auto"/>
              <w:bottom w:val="single" w:sz="4" w:space="0" w:color="auto"/>
              <w:right w:val="single" w:sz="4" w:space="0" w:color="auto"/>
            </w:tcBorders>
          </w:tcPr>
          <w:p w14:paraId="3BBC7B9E" w14:textId="77777777" w:rsidR="00D312DE" w:rsidRPr="007B7470" w:rsidRDefault="00D312DE" w:rsidP="00774DA8">
            <w:pPr>
              <w:rPr>
                <w:color w:val="000000" w:themeColor="text1"/>
              </w:rPr>
            </w:pPr>
            <w:r w:rsidRPr="007B7470">
              <w:rPr>
                <w:color w:val="000000" w:themeColor="text1"/>
              </w:rPr>
              <w:t xml:space="preserve">  Kapitálové transfery (720)</w:t>
            </w:r>
            <w:r w:rsidRPr="007B7470">
              <w:rPr>
                <w:color w:val="000000" w:themeColor="text1"/>
                <w:vertAlign w:val="superscript"/>
              </w:rPr>
              <w:t>2</w:t>
            </w:r>
          </w:p>
        </w:tc>
        <w:tc>
          <w:tcPr>
            <w:tcW w:w="1430" w:type="dxa"/>
            <w:tcBorders>
              <w:top w:val="nil"/>
              <w:left w:val="nil"/>
              <w:bottom w:val="single" w:sz="4" w:space="0" w:color="auto"/>
              <w:right w:val="single" w:sz="4" w:space="0" w:color="auto"/>
            </w:tcBorders>
          </w:tcPr>
          <w:p w14:paraId="48DF3DE1" w14:textId="77777777" w:rsidR="00D312DE" w:rsidRPr="007B7470" w:rsidRDefault="00D312DE" w:rsidP="00774DA8">
            <w:pPr>
              <w:jc w:val="center"/>
              <w:rPr>
                <w:color w:val="000000" w:themeColor="text1"/>
              </w:rPr>
            </w:pPr>
          </w:p>
        </w:tc>
        <w:tc>
          <w:tcPr>
            <w:tcW w:w="1650" w:type="dxa"/>
            <w:tcBorders>
              <w:top w:val="nil"/>
              <w:left w:val="nil"/>
              <w:bottom w:val="single" w:sz="4" w:space="0" w:color="auto"/>
              <w:right w:val="single" w:sz="4" w:space="0" w:color="auto"/>
            </w:tcBorders>
          </w:tcPr>
          <w:p w14:paraId="3755C6A4"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70B25C9D" w14:textId="77777777" w:rsidR="00D312DE" w:rsidRPr="007B7470" w:rsidRDefault="00D312DE" w:rsidP="00774DA8">
            <w:pPr>
              <w:jc w:val="center"/>
              <w:rPr>
                <w:color w:val="000000" w:themeColor="text1"/>
              </w:rPr>
            </w:pPr>
          </w:p>
        </w:tc>
        <w:tc>
          <w:tcPr>
            <w:tcW w:w="1540" w:type="dxa"/>
            <w:tcBorders>
              <w:top w:val="nil"/>
              <w:left w:val="nil"/>
              <w:bottom w:val="single" w:sz="4" w:space="0" w:color="auto"/>
              <w:right w:val="single" w:sz="4" w:space="0" w:color="auto"/>
            </w:tcBorders>
          </w:tcPr>
          <w:p w14:paraId="0597E77A" w14:textId="77777777" w:rsidR="00D312DE" w:rsidRPr="007B7470" w:rsidRDefault="00D312DE" w:rsidP="00774DA8">
            <w:pPr>
              <w:jc w:val="center"/>
              <w:rPr>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2F97F14A" w14:textId="77777777" w:rsidR="00D312DE" w:rsidRPr="007B7470" w:rsidRDefault="00D312DE" w:rsidP="00774DA8">
            <w:pPr>
              <w:rPr>
                <w:color w:val="000000" w:themeColor="text1"/>
                <w:sz w:val="24"/>
                <w:szCs w:val="24"/>
              </w:rPr>
            </w:pPr>
            <w:r w:rsidRPr="007B7470">
              <w:rPr>
                <w:color w:val="000000" w:themeColor="text1"/>
                <w:sz w:val="24"/>
                <w:szCs w:val="24"/>
              </w:rPr>
              <w:t> </w:t>
            </w:r>
          </w:p>
        </w:tc>
      </w:tr>
      <w:tr w:rsidR="00D312DE" w:rsidRPr="007B7470" w14:paraId="136EF954" w14:textId="77777777" w:rsidTr="00774DA8">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3347BD" w14:textId="77777777" w:rsidR="00D312DE" w:rsidRPr="007B7470" w:rsidRDefault="00D312DE" w:rsidP="00774DA8">
            <w:pPr>
              <w:rPr>
                <w:b/>
                <w:bCs/>
                <w:color w:val="000000" w:themeColor="text1"/>
              </w:rPr>
            </w:pPr>
            <w:r w:rsidRPr="007B7470">
              <w:rPr>
                <w:b/>
                <w:bCs/>
                <w:color w:val="000000" w:themeColor="text1"/>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0853FA0D" w14:textId="77777777" w:rsidR="00D312DE" w:rsidRPr="007B7470" w:rsidRDefault="00D312DE" w:rsidP="00774DA8">
            <w:pPr>
              <w:jc w:val="center"/>
              <w:rPr>
                <w:b/>
                <w:bCs/>
                <w:color w:val="000000" w:themeColor="text1"/>
              </w:rPr>
            </w:pPr>
            <w:r w:rsidRPr="007B7470">
              <w:rPr>
                <w:b/>
                <w:bCs/>
                <w:color w:val="000000" w:themeColor="text1"/>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18AC76C7" w14:textId="77777777" w:rsidR="00D312DE" w:rsidRPr="007B7470" w:rsidRDefault="00D312DE" w:rsidP="00774DA8">
            <w:pPr>
              <w:jc w:val="center"/>
              <w:rPr>
                <w:b/>
                <w:bCs/>
                <w:color w:val="000000" w:themeColor="text1"/>
              </w:rPr>
            </w:pPr>
            <w:r w:rsidRPr="007B7470">
              <w:rPr>
                <w:b/>
                <w:bCs/>
                <w:color w:val="000000" w:themeColor="text1"/>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B5570A8" w14:textId="77777777" w:rsidR="00D312DE" w:rsidRPr="007B7470" w:rsidRDefault="00D312DE" w:rsidP="00774DA8">
            <w:pPr>
              <w:jc w:val="center"/>
              <w:rPr>
                <w:b/>
                <w:bCs/>
                <w:color w:val="000000" w:themeColor="text1"/>
              </w:rPr>
            </w:pPr>
            <w:r w:rsidRPr="007B7470">
              <w:rPr>
                <w:b/>
                <w:bCs/>
                <w:color w:val="000000" w:themeColor="text1"/>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7CFB7FF" w14:textId="77777777" w:rsidR="00D312DE" w:rsidRPr="007B7470" w:rsidRDefault="00D312DE" w:rsidP="00774DA8">
            <w:pPr>
              <w:jc w:val="center"/>
              <w:rPr>
                <w:b/>
                <w:bCs/>
                <w:color w:val="000000" w:themeColor="text1"/>
                <w:sz w:val="24"/>
                <w:szCs w:val="24"/>
              </w:rPr>
            </w:pPr>
            <w:r w:rsidRPr="007B7470">
              <w:rPr>
                <w:b/>
                <w:bCs/>
                <w:color w:val="000000" w:themeColor="text1"/>
                <w:szCs w:val="24"/>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6D278BE" w14:textId="77777777" w:rsidR="00D312DE" w:rsidRPr="007B7470" w:rsidRDefault="00D312DE" w:rsidP="00774DA8">
            <w:pPr>
              <w:rPr>
                <w:color w:val="000000" w:themeColor="text1"/>
                <w:sz w:val="24"/>
                <w:szCs w:val="24"/>
              </w:rPr>
            </w:pPr>
            <w:r w:rsidRPr="007B7470">
              <w:rPr>
                <w:color w:val="000000" w:themeColor="text1"/>
                <w:sz w:val="24"/>
                <w:szCs w:val="24"/>
              </w:rPr>
              <w:t> </w:t>
            </w:r>
          </w:p>
        </w:tc>
      </w:tr>
    </w:tbl>
    <w:p w14:paraId="235FB900" w14:textId="77777777" w:rsidR="00D312DE" w:rsidRPr="007B7470" w:rsidRDefault="00D312DE" w:rsidP="00D312DE">
      <w:pPr>
        <w:tabs>
          <w:tab w:val="num" w:pos="1080"/>
        </w:tabs>
        <w:ind w:left="-900"/>
        <w:jc w:val="both"/>
        <w:rPr>
          <w:bCs/>
        </w:rPr>
      </w:pPr>
      <w:r w:rsidRPr="007B7470">
        <w:rPr>
          <w:bCs/>
          <w:color w:val="000000" w:themeColor="text1"/>
        </w:rPr>
        <w:t xml:space="preserve">  2 –  výdavky rozpísať až do podpo</w:t>
      </w:r>
      <w:r w:rsidRPr="007B7470">
        <w:rPr>
          <w:bCs/>
        </w:rPr>
        <w:t>ložiek platnej ekonomickej klasifikácie</w:t>
      </w:r>
    </w:p>
    <w:p w14:paraId="2A48F24B" w14:textId="77777777" w:rsidR="00D312DE" w:rsidRPr="007B7470" w:rsidRDefault="00D312DE" w:rsidP="00D312DE">
      <w:pPr>
        <w:tabs>
          <w:tab w:val="num" w:pos="1080"/>
        </w:tabs>
        <w:ind w:left="-900"/>
        <w:jc w:val="both"/>
        <w:rPr>
          <w:bCs/>
          <w:sz w:val="24"/>
        </w:rPr>
      </w:pPr>
    </w:p>
    <w:p w14:paraId="4B83F10D" w14:textId="77777777" w:rsidR="00D312DE" w:rsidRPr="007B7470" w:rsidRDefault="00D312DE" w:rsidP="00D312DE">
      <w:pPr>
        <w:tabs>
          <w:tab w:val="num" w:pos="1080"/>
        </w:tabs>
        <w:ind w:left="-900"/>
        <w:jc w:val="both"/>
        <w:rPr>
          <w:b/>
          <w:bCs/>
        </w:rPr>
      </w:pPr>
      <w:r w:rsidRPr="007B7470">
        <w:rPr>
          <w:b/>
          <w:bCs/>
          <w:sz w:val="24"/>
        </w:rPr>
        <w:t xml:space="preserve">  Poznámka:</w:t>
      </w:r>
    </w:p>
    <w:p w14:paraId="1FC35658" w14:textId="77777777" w:rsidR="00D312DE" w:rsidRPr="007B7470" w:rsidRDefault="00D312DE" w:rsidP="00D312DE">
      <w:pPr>
        <w:tabs>
          <w:tab w:val="num" w:pos="1080"/>
        </w:tabs>
        <w:ind w:left="-900"/>
        <w:jc w:val="both"/>
        <w:rPr>
          <w:bCs/>
        </w:rPr>
      </w:pPr>
      <w:r w:rsidRPr="007B7470">
        <w:rPr>
          <w:bCs/>
          <w:sz w:val="24"/>
        </w:rPr>
        <w:t xml:space="preserve">  Ak sa vplyv týka viacerých subjektov verejnej správy, vypĺňa sa samostatná tabuľka za každý subjekt.</w:t>
      </w:r>
    </w:p>
    <w:p w14:paraId="23D4208C" w14:textId="77777777" w:rsidR="00D312DE" w:rsidRPr="007B7470" w:rsidRDefault="00D312DE" w:rsidP="00D312DE">
      <w:pPr>
        <w:tabs>
          <w:tab w:val="num" w:pos="1080"/>
        </w:tabs>
        <w:ind w:left="-900"/>
        <w:jc w:val="both"/>
        <w:rPr>
          <w:bCs/>
        </w:rPr>
      </w:pPr>
    </w:p>
    <w:p w14:paraId="1BF165A4" w14:textId="77777777" w:rsidR="00D312DE" w:rsidRDefault="00D312DE" w:rsidP="00D312DE">
      <w:pPr>
        <w:rPr>
          <w:b/>
          <w:bCs/>
          <w:sz w:val="24"/>
          <w:szCs w:val="24"/>
        </w:rPr>
      </w:pPr>
      <w:r>
        <w:rPr>
          <w:b/>
          <w:bCs/>
          <w:sz w:val="24"/>
          <w:szCs w:val="24"/>
        </w:rPr>
        <w:br w:type="page"/>
      </w:r>
    </w:p>
    <w:p w14:paraId="16D502B2" w14:textId="77777777" w:rsidR="00D312DE" w:rsidRPr="007B7470" w:rsidRDefault="00D312DE" w:rsidP="00D312DE">
      <w:pPr>
        <w:jc w:val="both"/>
        <w:rPr>
          <w:b/>
          <w:sz w:val="24"/>
          <w:szCs w:val="24"/>
        </w:rPr>
      </w:pPr>
      <w:r w:rsidRPr="007B7470">
        <w:rPr>
          <w:b/>
          <w:sz w:val="24"/>
          <w:szCs w:val="24"/>
        </w:rPr>
        <w:lastRenderedPageBreak/>
        <w:t xml:space="preserve">2.2.5. Výpočet vplyvov na dlhodobú udržateľnosť verejných financií </w:t>
      </w:r>
    </w:p>
    <w:p w14:paraId="04D53066" w14:textId="77777777" w:rsidR="00D312DE" w:rsidRPr="007B7470" w:rsidRDefault="00D312DE" w:rsidP="00D312DE">
      <w:pPr>
        <w:jc w:val="both"/>
        <w:rPr>
          <w:sz w:val="24"/>
          <w:szCs w:val="24"/>
        </w:rPr>
      </w:pPr>
    </w:p>
    <w:p w14:paraId="01AE6258" w14:textId="77777777" w:rsidR="00D312DE" w:rsidRPr="007B7470" w:rsidRDefault="00D312DE" w:rsidP="00D312DE">
      <w:pPr>
        <w:ind w:firstLine="708"/>
        <w:jc w:val="both"/>
        <w:rPr>
          <w:sz w:val="24"/>
          <w:szCs w:val="24"/>
        </w:rPr>
      </w:pPr>
      <w:r w:rsidRPr="007B7470">
        <w:rPr>
          <w:sz w:val="24"/>
          <w:szCs w:val="24"/>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19FF80AB" w14:textId="77777777" w:rsidR="00D312DE" w:rsidRPr="007B7470" w:rsidRDefault="00D312DE" w:rsidP="00D312DE">
      <w:pPr>
        <w:jc w:val="both"/>
        <w:rPr>
          <w:sz w:val="24"/>
          <w:szCs w:val="24"/>
        </w:rPr>
      </w:pPr>
    </w:p>
    <w:p w14:paraId="79F7EA86" w14:textId="77777777" w:rsidR="00D312DE" w:rsidRPr="007B7470" w:rsidRDefault="00D312DE" w:rsidP="00D312DE">
      <w:pPr>
        <w:jc w:val="both"/>
      </w:pPr>
      <w:r w:rsidRPr="007B7470">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D312DE" w:rsidRPr="007B7470" w14:paraId="5076A4A9" w14:textId="77777777" w:rsidTr="00774DA8">
        <w:trPr>
          <w:trHeight w:val="284"/>
        </w:trPr>
        <w:tc>
          <w:tcPr>
            <w:tcW w:w="2943" w:type="dxa"/>
            <w:vMerge w:val="restart"/>
            <w:shd w:val="clear" w:color="auto" w:fill="BFBFBF" w:themeFill="background1" w:themeFillShade="BF"/>
            <w:vAlign w:val="center"/>
          </w:tcPr>
          <w:p w14:paraId="36ED15AF" w14:textId="77777777" w:rsidR="00D312DE" w:rsidRPr="007B7470" w:rsidRDefault="00D312DE" w:rsidP="00774DA8">
            <w:pPr>
              <w:overflowPunct w:val="0"/>
              <w:jc w:val="center"/>
              <w:textAlignment w:val="baseline"/>
              <w:rPr>
                <w:b/>
                <w:sz w:val="24"/>
                <w:szCs w:val="24"/>
              </w:rPr>
            </w:pPr>
            <w:r w:rsidRPr="007B7470">
              <w:rPr>
                <w:b/>
                <w:sz w:val="24"/>
                <w:szCs w:val="24"/>
              </w:rPr>
              <w:t>Dlhodobá udržateľnosť</w:t>
            </w:r>
          </w:p>
        </w:tc>
        <w:tc>
          <w:tcPr>
            <w:tcW w:w="7967" w:type="dxa"/>
            <w:gridSpan w:val="5"/>
            <w:shd w:val="clear" w:color="auto" w:fill="BFBFBF" w:themeFill="background1" w:themeFillShade="BF"/>
          </w:tcPr>
          <w:p w14:paraId="4065AFEB" w14:textId="77777777" w:rsidR="00D312DE" w:rsidRPr="007B7470" w:rsidRDefault="00D312DE" w:rsidP="00774DA8">
            <w:pPr>
              <w:overflowPunct w:val="0"/>
              <w:jc w:val="center"/>
              <w:textAlignment w:val="baseline"/>
              <w:rPr>
                <w:b/>
                <w:sz w:val="24"/>
                <w:szCs w:val="24"/>
              </w:rPr>
            </w:pPr>
            <w:r w:rsidRPr="007B7470">
              <w:rPr>
                <w:b/>
                <w:sz w:val="24"/>
                <w:szCs w:val="24"/>
              </w:rPr>
              <w:t>Vplyv na verejné financie</w:t>
            </w:r>
          </w:p>
        </w:tc>
        <w:tc>
          <w:tcPr>
            <w:tcW w:w="3119" w:type="dxa"/>
            <w:vMerge w:val="restart"/>
            <w:shd w:val="clear" w:color="auto" w:fill="BFBFBF" w:themeFill="background1" w:themeFillShade="BF"/>
            <w:vAlign w:val="center"/>
          </w:tcPr>
          <w:p w14:paraId="181A9FF1" w14:textId="77777777" w:rsidR="00D312DE" w:rsidRPr="007B7470" w:rsidRDefault="00D312DE" w:rsidP="00774DA8">
            <w:pPr>
              <w:overflowPunct w:val="0"/>
              <w:jc w:val="center"/>
              <w:textAlignment w:val="baseline"/>
              <w:rPr>
                <w:b/>
                <w:sz w:val="24"/>
                <w:szCs w:val="24"/>
              </w:rPr>
            </w:pPr>
            <w:r w:rsidRPr="007B7470">
              <w:rPr>
                <w:b/>
                <w:sz w:val="24"/>
                <w:szCs w:val="24"/>
              </w:rPr>
              <w:t>Poznámka</w:t>
            </w:r>
          </w:p>
        </w:tc>
      </w:tr>
      <w:tr w:rsidR="00D312DE" w:rsidRPr="007B7470" w14:paraId="3C2EB8BE" w14:textId="77777777" w:rsidTr="00774DA8">
        <w:trPr>
          <w:trHeight w:val="284"/>
        </w:trPr>
        <w:tc>
          <w:tcPr>
            <w:tcW w:w="2943" w:type="dxa"/>
            <w:vMerge/>
            <w:shd w:val="clear" w:color="auto" w:fill="BFBFBF" w:themeFill="background1" w:themeFillShade="BF"/>
          </w:tcPr>
          <w:p w14:paraId="7297C580" w14:textId="77777777" w:rsidR="00D312DE" w:rsidRPr="007B7470" w:rsidRDefault="00D312DE" w:rsidP="00774DA8">
            <w:pPr>
              <w:overflowPunct w:val="0"/>
              <w:jc w:val="both"/>
              <w:textAlignment w:val="baseline"/>
              <w:rPr>
                <w:sz w:val="24"/>
                <w:szCs w:val="24"/>
              </w:rPr>
            </w:pPr>
          </w:p>
        </w:tc>
        <w:tc>
          <w:tcPr>
            <w:tcW w:w="1447" w:type="dxa"/>
            <w:shd w:val="clear" w:color="auto" w:fill="BFBFBF" w:themeFill="background1" w:themeFillShade="BF"/>
          </w:tcPr>
          <w:p w14:paraId="4380C519" w14:textId="77777777" w:rsidR="00D312DE" w:rsidRPr="007B7470" w:rsidRDefault="00D312DE" w:rsidP="00774DA8">
            <w:pPr>
              <w:overflowPunct w:val="0"/>
              <w:jc w:val="center"/>
              <w:textAlignment w:val="baseline"/>
              <w:rPr>
                <w:sz w:val="24"/>
                <w:szCs w:val="24"/>
              </w:rPr>
            </w:pPr>
            <w:r w:rsidRPr="007B7470">
              <w:rPr>
                <w:sz w:val="24"/>
                <w:szCs w:val="24"/>
              </w:rPr>
              <w:t>d</w:t>
            </w:r>
          </w:p>
        </w:tc>
        <w:tc>
          <w:tcPr>
            <w:tcW w:w="1559" w:type="dxa"/>
            <w:shd w:val="clear" w:color="auto" w:fill="BFBFBF" w:themeFill="background1" w:themeFillShade="BF"/>
          </w:tcPr>
          <w:p w14:paraId="3E1624D4" w14:textId="77777777" w:rsidR="00D312DE" w:rsidRPr="007B7470" w:rsidRDefault="00D312DE" w:rsidP="00774DA8">
            <w:pPr>
              <w:overflowPunct w:val="0"/>
              <w:jc w:val="center"/>
              <w:textAlignment w:val="baseline"/>
              <w:rPr>
                <w:sz w:val="24"/>
                <w:szCs w:val="24"/>
              </w:rPr>
            </w:pPr>
            <w:r w:rsidRPr="007B7470">
              <w:rPr>
                <w:sz w:val="24"/>
                <w:szCs w:val="24"/>
              </w:rPr>
              <w:t>d + 10</w:t>
            </w:r>
          </w:p>
        </w:tc>
        <w:tc>
          <w:tcPr>
            <w:tcW w:w="1559" w:type="dxa"/>
            <w:shd w:val="clear" w:color="auto" w:fill="BFBFBF" w:themeFill="background1" w:themeFillShade="BF"/>
          </w:tcPr>
          <w:p w14:paraId="728F9D33" w14:textId="77777777" w:rsidR="00D312DE" w:rsidRPr="007B7470" w:rsidRDefault="00D312DE" w:rsidP="00774DA8">
            <w:pPr>
              <w:overflowPunct w:val="0"/>
              <w:jc w:val="center"/>
              <w:textAlignment w:val="baseline"/>
              <w:rPr>
                <w:sz w:val="24"/>
                <w:szCs w:val="24"/>
              </w:rPr>
            </w:pPr>
            <w:r w:rsidRPr="007B7470">
              <w:rPr>
                <w:sz w:val="24"/>
                <w:szCs w:val="24"/>
              </w:rPr>
              <w:t>d + 20</w:t>
            </w:r>
          </w:p>
        </w:tc>
        <w:tc>
          <w:tcPr>
            <w:tcW w:w="1418" w:type="dxa"/>
            <w:shd w:val="clear" w:color="auto" w:fill="BFBFBF" w:themeFill="background1" w:themeFillShade="BF"/>
          </w:tcPr>
          <w:p w14:paraId="0A8E929C" w14:textId="77777777" w:rsidR="00D312DE" w:rsidRPr="007B7470" w:rsidRDefault="00D312DE" w:rsidP="00774DA8">
            <w:pPr>
              <w:overflowPunct w:val="0"/>
              <w:jc w:val="center"/>
              <w:textAlignment w:val="baseline"/>
              <w:rPr>
                <w:sz w:val="24"/>
                <w:szCs w:val="24"/>
              </w:rPr>
            </w:pPr>
            <w:r w:rsidRPr="007B7470">
              <w:rPr>
                <w:sz w:val="24"/>
                <w:szCs w:val="24"/>
              </w:rPr>
              <w:t>d + 30</w:t>
            </w:r>
          </w:p>
        </w:tc>
        <w:tc>
          <w:tcPr>
            <w:tcW w:w="1984" w:type="dxa"/>
            <w:shd w:val="clear" w:color="auto" w:fill="BFBFBF" w:themeFill="background1" w:themeFillShade="BF"/>
          </w:tcPr>
          <w:p w14:paraId="1A9B1F80" w14:textId="77777777" w:rsidR="00D312DE" w:rsidRPr="007B7470" w:rsidRDefault="00D312DE" w:rsidP="00774DA8">
            <w:pPr>
              <w:overflowPunct w:val="0"/>
              <w:jc w:val="center"/>
              <w:textAlignment w:val="baseline"/>
              <w:rPr>
                <w:sz w:val="24"/>
                <w:szCs w:val="24"/>
              </w:rPr>
            </w:pPr>
            <w:r w:rsidRPr="007B7470">
              <w:rPr>
                <w:sz w:val="24"/>
                <w:szCs w:val="24"/>
              </w:rPr>
              <w:t>d + 40</w:t>
            </w:r>
          </w:p>
        </w:tc>
        <w:tc>
          <w:tcPr>
            <w:tcW w:w="3119" w:type="dxa"/>
            <w:vMerge/>
            <w:shd w:val="clear" w:color="auto" w:fill="BFBFBF" w:themeFill="background1" w:themeFillShade="BF"/>
          </w:tcPr>
          <w:p w14:paraId="4C142726" w14:textId="77777777" w:rsidR="00D312DE" w:rsidRPr="007B7470" w:rsidRDefault="00D312DE" w:rsidP="00774DA8">
            <w:pPr>
              <w:overflowPunct w:val="0"/>
              <w:jc w:val="both"/>
              <w:textAlignment w:val="baseline"/>
              <w:rPr>
                <w:sz w:val="24"/>
                <w:szCs w:val="24"/>
              </w:rPr>
            </w:pPr>
          </w:p>
        </w:tc>
      </w:tr>
      <w:tr w:rsidR="00D312DE" w:rsidRPr="007B7470" w14:paraId="560CFC88" w14:textId="77777777" w:rsidTr="00774DA8">
        <w:trPr>
          <w:trHeight w:val="284"/>
        </w:trPr>
        <w:tc>
          <w:tcPr>
            <w:tcW w:w="2943" w:type="dxa"/>
            <w:shd w:val="clear" w:color="auto" w:fill="auto"/>
            <w:vAlign w:val="bottom"/>
          </w:tcPr>
          <w:p w14:paraId="677225FD" w14:textId="77777777" w:rsidR="00D312DE" w:rsidRPr="007B7470" w:rsidRDefault="00D312DE" w:rsidP="00774DA8">
            <w:pPr>
              <w:overflowPunct w:val="0"/>
              <w:textAlignment w:val="baseline"/>
              <w:rPr>
                <w:sz w:val="24"/>
                <w:szCs w:val="24"/>
              </w:rPr>
            </w:pPr>
            <w:r w:rsidRPr="007B7470">
              <w:rPr>
                <w:sz w:val="24"/>
                <w:szCs w:val="24"/>
              </w:rPr>
              <w:t>Vplyv na výdavky v p. b. HDP</w:t>
            </w:r>
          </w:p>
        </w:tc>
        <w:tc>
          <w:tcPr>
            <w:tcW w:w="1447" w:type="dxa"/>
            <w:shd w:val="clear" w:color="auto" w:fill="auto"/>
          </w:tcPr>
          <w:p w14:paraId="21285A5E" w14:textId="77777777" w:rsidR="00D312DE" w:rsidRPr="007B7470" w:rsidRDefault="00D312DE" w:rsidP="00774DA8">
            <w:pPr>
              <w:overflowPunct w:val="0"/>
              <w:jc w:val="both"/>
              <w:textAlignment w:val="baseline"/>
              <w:rPr>
                <w:sz w:val="24"/>
                <w:szCs w:val="24"/>
              </w:rPr>
            </w:pPr>
          </w:p>
        </w:tc>
        <w:tc>
          <w:tcPr>
            <w:tcW w:w="1559" w:type="dxa"/>
            <w:shd w:val="clear" w:color="auto" w:fill="auto"/>
          </w:tcPr>
          <w:p w14:paraId="241F7A81" w14:textId="77777777" w:rsidR="00D312DE" w:rsidRPr="007B7470" w:rsidRDefault="00D312DE" w:rsidP="00774DA8">
            <w:pPr>
              <w:overflowPunct w:val="0"/>
              <w:jc w:val="both"/>
              <w:textAlignment w:val="baseline"/>
              <w:rPr>
                <w:sz w:val="24"/>
                <w:szCs w:val="24"/>
              </w:rPr>
            </w:pPr>
          </w:p>
        </w:tc>
        <w:tc>
          <w:tcPr>
            <w:tcW w:w="1559" w:type="dxa"/>
            <w:shd w:val="clear" w:color="auto" w:fill="auto"/>
          </w:tcPr>
          <w:p w14:paraId="66AB5CBC" w14:textId="77777777" w:rsidR="00D312DE" w:rsidRPr="007B7470" w:rsidRDefault="00D312DE" w:rsidP="00774DA8">
            <w:pPr>
              <w:overflowPunct w:val="0"/>
              <w:jc w:val="both"/>
              <w:textAlignment w:val="baseline"/>
              <w:rPr>
                <w:sz w:val="24"/>
                <w:szCs w:val="24"/>
              </w:rPr>
            </w:pPr>
          </w:p>
        </w:tc>
        <w:tc>
          <w:tcPr>
            <w:tcW w:w="1418" w:type="dxa"/>
            <w:shd w:val="clear" w:color="auto" w:fill="auto"/>
          </w:tcPr>
          <w:p w14:paraId="57118923" w14:textId="77777777" w:rsidR="00D312DE" w:rsidRPr="007B7470" w:rsidRDefault="00D312DE" w:rsidP="00774DA8">
            <w:pPr>
              <w:overflowPunct w:val="0"/>
              <w:jc w:val="both"/>
              <w:textAlignment w:val="baseline"/>
              <w:rPr>
                <w:sz w:val="24"/>
                <w:szCs w:val="24"/>
              </w:rPr>
            </w:pPr>
          </w:p>
        </w:tc>
        <w:tc>
          <w:tcPr>
            <w:tcW w:w="1984" w:type="dxa"/>
            <w:shd w:val="clear" w:color="auto" w:fill="auto"/>
          </w:tcPr>
          <w:p w14:paraId="56C6F2AF" w14:textId="77777777" w:rsidR="00D312DE" w:rsidRPr="007B7470" w:rsidRDefault="00D312DE" w:rsidP="00774DA8">
            <w:pPr>
              <w:overflowPunct w:val="0"/>
              <w:jc w:val="both"/>
              <w:textAlignment w:val="baseline"/>
              <w:rPr>
                <w:sz w:val="24"/>
                <w:szCs w:val="24"/>
              </w:rPr>
            </w:pPr>
          </w:p>
        </w:tc>
        <w:tc>
          <w:tcPr>
            <w:tcW w:w="3119" w:type="dxa"/>
            <w:shd w:val="clear" w:color="auto" w:fill="auto"/>
          </w:tcPr>
          <w:p w14:paraId="2958FDCA" w14:textId="77777777" w:rsidR="00D312DE" w:rsidRPr="007B7470" w:rsidRDefault="00D312DE" w:rsidP="00774DA8">
            <w:pPr>
              <w:overflowPunct w:val="0"/>
              <w:jc w:val="both"/>
              <w:textAlignment w:val="baseline"/>
              <w:rPr>
                <w:sz w:val="24"/>
                <w:szCs w:val="24"/>
              </w:rPr>
            </w:pPr>
          </w:p>
        </w:tc>
      </w:tr>
      <w:tr w:rsidR="00D312DE" w:rsidRPr="007B7470" w14:paraId="7561FFCF" w14:textId="77777777" w:rsidTr="00774DA8">
        <w:trPr>
          <w:trHeight w:val="284"/>
        </w:trPr>
        <w:tc>
          <w:tcPr>
            <w:tcW w:w="2943" w:type="dxa"/>
            <w:shd w:val="clear" w:color="auto" w:fill="auto"/>
          </w:tcPr>
          <w:p w14:paraId="4B40D88E" w14:textId="77777777" w:rsidR="00D312DE" w:rsidRPr="007B7470" w:rsidRDefault="00D312DE" w:rsidP="00774DA8">
            <w:pPr>
              <w:overflowPunct w:val="0"/>
              <w:textAlignment w:val="baseline"/>
              <w:rPr>
                <w:sz w:val="24"/>
                <w:szCs w:val="24"/>
              </w:rPr>
            </w:pPr>
            <w:r w:rsidRPr="007B7470">
              <w:rPr>
                <w:sz w:val="24"/>
                <w:szCs w:val="24"/>
              </w:rPr>
              <w:t>Vplyv na príjmy v p. b. HDP</w:t>
            </w:r>
          </w:p>
        </w:tc>
        <w:tc>
          <w:tcPr>
            <w:tcW w:w="1447" w:type="dxa"/>
            <w:shd w:val="clear" w:color="auto" w:fill="auto"/>
          </w:tcPr>
          <w:p w14:paraId="11C08FB0" w14:textId="77777777" w:rsidR="00D312DE" w:rsidRPr="007B7470" w:rsidRDefault="00D312DE" w:rsidP="00774DA8">
            <w:pPr>
              <w:overflowPunct w:val="0"/>
              <w:jc w:val="both"/>
              <w:textAlignment w:val="baseline"/>
              <w:rPr>
                <w:sz w:val="24"/>
                <w:szCs w:val="24"/>
              </w:rPr>
            </w:pPr>
          </w:p>
        </w:tc>
        <w:tc>
          <w:tcPr>
            <w:tcW w:w="1559" w:type="dxa"/>
            <w:shd w:val="clear" w:color="auto" w:fill="auto"/>
          </w:tcPr>
          <w:p w14:paraId="23550D15" w14:textId="77777777" w:rsidR="00D312DE" w:rsidRPr="007B7470" w:rsidRDefault="00D312DE" w:rsidP="00774DA8">
            <w:pPr>
              <w:overflowPunct w:val="0"/>
              <w:jc w:val="both"/>
              <w:textAlignment w:val="baseline"/>
              <w:rPr>
                <w:sz w:val="24"/>
                <w:szCs w:val="24"/>
              </w:rPr>
            </w:pPr>
          </w:p>
        </w:tc>
        <w:tc>
          <w:tcPr>
            <w:tcW w:w="1559" w:type="dxa"/>
            <w:shd w:val="clear" w:color="auto" w:fill="auto"/>
          </w:tcPr>
          <w:p w14:paraId="10E3B6AC" w14:textId="77777777" w:rsidR="00D312DE" w:rsidRPr="007B7470" w:rsidRDefault="00D312DE" w:rsidP="00774DA8">
            <w:pPr>
              <w:overflowPunct w:val="0"/>
              <w:jc w:val="both"/>
              <w:textAlignment w:val="baseline"/>
              <w:rPr>
                <w:sz w:val="24"/>
                <w:szCs w:val="24"/>
              </w:rPr>
            </w:pPr>
          </w:p>
        </w:tc>
        <w:tc>
          <w:tcPr>
            <w:tcW w:w="1418" w:type="dxa"/>
            <w:shd w:val="clear" w:color="auto" w:fill="auto"/>
          </w:tcPr>
          <w:p w14:paraId="0AE3A85F" w14:textId="77777777" w:rsidR="00D312DE" w:rsidRPr="007B7470" w:rsidRDefault="00D312DE" w:rsidP="00774DA8">
            <w:pPr>
              <w:overflowPunct w:val="0"/>
              <w:jc w:val="both"/>
              <w:textAlignment w:val="baseline"/>
              <w:rPr>
                <w:sz w:val="24"/>
                <w:szCs w:val="24"/>
              </w:rPr>
            </w:pPr>
          </w:p>
        </w:tc>
        <w:tc>
          <w:tcPr>
            <w:tcW w:w="1984" w:type="dxa"/>
            <w:shd w:val="clear" w:color="auto" w:fill="auto"/>
          </w:tcPr>
          <w:p w14:paraId="5ABF0DB7" w14:textId="77777777" w:rsidR="00D312DE" w:rsidRPr="007B7470" w:rsidRDefault="00D312DE" w:rsidP="00774DA8">
            <w:pPr>
              <w:overflowPunct w:val="0"/>
              <w:jc w:val="both"/>
              <w:textAlignment w:val="baseline"/>
              <w:rPr>
                <w:sz w:val="24"/>
                <w:szCs w:val="24"/>
              </w:rPr>
            </w:pPr>
          </w:p>
        </w:tc>
        <w:tc>
          <w:tcPr>
            <w:tcW w:w="3119" w:type="dxa"/>
            <w:shd w:val="clear" w:color="auto" w:fill="auto"/>
          </w:tcPr>
          <w:p w14:paraId="6E7E1113" w14:textId="77777777" w:rsidR="00D312DE" w:rsidRPr="007B7470" w:rsidRDefault="00D312DE" w:rsidP="00774DA8">
            <w:pPr>
              <w:overflowPunct w:val="0"/>
              <w:jc w:val="both"/>
              <w:textAlignment w:val="baseline"/>
              <w:rPr>
                <w:sz w:val="24"/>
                <w:szCs w:val="24"/>
              </w:rPr>
            </w:pPr>
          </w:p>
        </w:tc>
      </w:tr>
      <w:tr w:rsidR="00D312DE" w:rsidRPr="007B7470" w14:paraId="21E36978" w14:textId="77777777" w:rsidTr="00774DA8">
        <w:trPr>
          <w:trHeight w:val="284"/>
        </w:trPr>
        <w:tc>
          <w:tcPr>
            <w:tcW w:w="2943" w:type="dxa"/>
            <w:shd w:val="clear" w:color="auto" w:fill="auto"/>
          </w:tcPr>
          <w:p w14:paraId="4B9F966B" w14:textId="77777777" w:rsidR="00D312DE" w:rsidRPr="007B7470" w:rsidRDefault="00D312DE" w:rsidP="00774DA8">
            <w:pPr>
              <w:overflowPunct w:val="0"/>
              <w:textAlignment w:val="baseline"/>
              <w:rPr>
                <w:sz w:val="24"/>
                <w:szCs w:val="24"/>
              </w:rPr>
            </w:pPr>
            <w:r w:rsidRPr="007B7470">
              <w:rPr>
                <w:sz w:val="24"/>
                <w:szCs w:val="24"/>
              </w:rPr>
              <w:t>Vplyv na bilanciu  v p. b. HDP</w:t>
            </w:r>
          </w:p>
        </w:tc>
        <w:tc>
          <w:tcPr>
            <w:tcW w:w="1447" w:type="dxa"/>
            <w:shd w:val="clear" w:color="auto" w:fill="auto"/>
          </w:tcPr>
          <w:p w14:paraId="445A6834" w14:textId="77777777" w:rsidR="00D312DE" w:rsidRPr="007B7470" w:rsidRDefault="00D312DE" w:rsidP="00774DA8">
            <w:pPr>
              <w:overflowPunct w:val="0"/>
              <w:jc w:val="both"/>
              <w:textAlignment w:val="baseline"/>
              <w:rPr>
                <w:sz w:val="24"/>
                <w:szCs w:val="24"/>
              </w:rPr>
            </w:pPr>
          </w:p>
        </w:tc>
        <w:tc>
          <w:tcPr>
            <w:tcW w:w="1559" w:type="dxa"/>
            <w:shd w:val="clear" w:color="auto" w:fill="auto"/>
          </w:tcPr>
          <w:p w14:paraId="5B5C6ADB" w14:textId="77777777" w:rsidR="00D312DE" w:rsidRPr="007B7470" w:rsidRDefault="00D312DE" w:rsidP="00774DA8">
            <w:pPr>
              <w:overflowPunct w:val="0"/>
              <w:jc w:val="both"/>
              <w:textAlignment w:val="baseline"/>
              <w:rPr>
                <w:sz w:val="24"/>
                <w:szCs w:val="24"/>
              </w:rPr>
            </w:pPr>
          </w:p>
        </w:tc>
        <w:tc>
          <w:tcPr>
            <w:tcW w:w="1559" w:type="dxa"/>
            <w:shd w:val="clear" w:color="auto" w:fill="auto"/>
          </w:tcPr>
          <w:p w14:paraId="037C36D8" w14:textId="77777777" w:rsidR="00D312DE" w:rsidRPr="007B7470" w:rsidRDefault="00D312DE" w:rsidP="00774DA8">
            <w:pPr>
              <w:overflowPunct w:val="0"/>
              <w:jc w:val="both"/>
              <w:textAlignment w:val="baseline"/>
              <w:rPr>
                <w:sz w:val="24"/>
                <w:szCs w:val="24"/>
              </w:rPr>
            </w:pPr>
          </w:p>
        </w:tc>
        <w:tc>
          <w:tcPr>
            <w:tcW w:w="1418" w:type="dxa"/>
            <w:shd w:val="clear" w:color="auto" w:fill="auto"/>
          </w:tcPr>
          <w:p w14:paraId="4F50A36E" w14:textId="77777777" w:rsidR="00D312DE" w:rsidRPr="007B7470" w:rsidRDefault="00D312DE" w:rsidP="00774DA8">
            <w:pPr>
              <w:overflowPunct w:val="0"/>
              <w:jc w:val="both"/>
              <w:textAlignment w:val="baseline"/>
              <w:rPr>
                <w:sz w:val="24"/>
                <w:szCs w:val="24"/>
              </w:rPr>
            </w:pPr>
          </w:p>
        </w:tc>
        <w:tc>
          <w:tcPr>
            <w:tcW w:w="1984" w:type="dxa"/>
            <w:shd w:val="clear" w:color="auto" w:fill="auto"/>
          </w:tcPr>
          <w:p w14:paraId="639A9E2E" w14:textId="77777777" w:rsidR="00D312DE" w:rsidRPr="007B7470" w:rsidRDefault="00D312DE" w:rsidP="00774DA8">
            <w:pPr>
              <w:overflowPunct w:val="0"/>
              <w:jc w:val="both"/>
              <w:textAlignment w:val="baseline"/>
              <w:rPr>
                <w:sz w:val="24"/>
                <w:szCs w:val="24"/>
              </w:rPr>
            </w:pPr>
          </w:p>
        </w:tc>
        <w:tc>
          <w:tcPr>
            <w:tcW w:w="3119" w:type="dxa"/>
            <w:shd w:val="clear" w:color="auto" w:fill="auto"/>
          </w:tcPr>
          <w:p w14:paraId="3DB34824" w14:textId="77777777" w:rsidR="00D312DE" w:rsidRPr="007B7470" w:rsidRDefault="00D312DE" w:rsidP="00774DA8">
            <w:pPr>
              <w:overflowPunct w:val="0"/>
              <w:jc w:val="both"/>
              <w:textAlignment w:val="baseline"/>
              <w:rPr>
                <w:sz w:val="24"/>
                <w:szCs w:val="24"/>
              </w:rPr>
            </w:pPr>
          </w:p>
        </w:tc>
      </w:tr>
    </w:tbl>
    <w:p w14:paraId="2C51D2A6" w14:textId="77777777" w:rsidR="00D312DE" w:rsidRPr="007B7470" w:rsidRDefault="00D312DE" w:rsidP="00D312DE">
      <w:pPr>
        <w:jc w:val="both"/>
        <w:rPr>
          <w:sz w:val="24"/>
          <w:szCs w:val="24"/>
        </w:rPr>
      </w:pPr>
    </w:p>
    <w:p w14:paraId="5A0AEAAB" w14:textId="77777777" w:rsidR="00D312DE" w:rsidRPr="007B7470" w:rsidRDefault="00D312DE" w:rsidP="00D312DE">
      <w:pPr>
        <w:jc w:val="both"/>
        <w:rPr>
          <w:b/>
          <w:sz w:val="24"/>
          <w:szCs w:val="24"/>
        </w:rPr>
      </w:pPr>
      <w:r w:rsidRPr="007B7470">
        <w:rPr>
          <w:b/>
          <w:sz w:val="24"/>
          <w:szCs w:val="24"/>
        </w:rPr>
        <w:t xml:space="preserve">Poznámka: </w:t>
      </w:r>
    </w:p>
    <w:p w14:paraId="6FD97D15" w14:textId="77777777" w:rsidR="00D312DE" w:rsidRPr="007B7470" w:rsidRDefault="00D312DE" w:rsidP="00D312DE">
      <w:pPr>
        <w:jc w:val="both"/>
        <w:rPr>
          <w:sz w:val="24"/>
          <w:szCs w:val="24"/>
        </w:rPr>
      </w:pPr>
      <w:r w:rsidRPr="007B7470">
        <w:rPr>
          <w:sz w:val="24"/>
          <w:szCs w:val="24"/>
        </w:rPr>
        <w:t xml:space="preserve">Písmeno „d“ označuje prvý rok nasledujúcej dekády. </w:t>
      </w:r>
    </w:p>
    <w:p w14:paraId="05A07C1A" w14:textId="77777777" w:rsidR="00D312DE" w:rsidRPr="007B7470" w:rsidRDefault="00D312DE" w:rsidP="00D312DE">
      <w:pPr>
        <w:jc w:val="both"/>
        <w:rPr>
          <w:sz w:val="24"/>
          <w:szCs w:val="24"/>
        </w:rPr>
      </w:pPr>
      <w:r w:rsidRPr="007B7470">
        <w:rPr>
          <w:sz w:val="24"/>
          <w:szCs w:val="24"/>
        </w:rPr>
        <w:t xml:space="preserve">Tabuľka sa vypĺňa pre každé opatrenie samostatne. V prípade zavádzania viacerých opatrení sa vyplní aj tabuľka obsahujúca aj kumulatívny efekt zavedenia všetkých opatrení súčasne.“  </w:t>
      </w:r>
    </w:p>
    <w:p w14:paraId="78C5B374" w14:textId="77777777" w:rsidR="00D312DE" w:rsidRPr="007B7470" w:rsidRDefault="00D312DE" w:rsidP="00D312DE">
      <w:pPr>
        <w:rPr>
          <w:b/>
          <w:bCs/>
          <w:sz w:val="24"/>
          <w:szCs w:val="24"/>
        </w:rPr>
        <w:sectPr w:rsidR="00D312DE" w:rsidRPr="007B7470">
          <w:pgSz w:w="16838" w:h="11906" w:orient="landscape"/>
          <w:pgMar w:top="1418" w:right="1418" w:bottom="1418" w:left="1418" w:header="709" w:footer="709" w:gutter="0"/>
          <w:cols w:space="708"/>
          <w:docGrid w:linePitch="360"/>
        </w:sectPr>
      </w:pPr>
    </w:p>
    <w:p w14:paraId="7CA3E214" w14:textId="77777777" w:rsidR="00D312DE" w:rsidRPr="00895898" w:rsidRDefault="00D312DE" w:rsidP="00D312DE">
      <w:pPr>
        <w:jc w:val="center"/>
        <w:rPr>
          <w:rFonts w:eastAsia="Calibri"/>
          <w:b/>
          <w:sz w:val="28"/>
          <w:szCs w:val="28"/>
        </w:rPr>
      </w:pPr>
      <w:r w:rsidRPr="00895898">
        <w:rPr>
          <w:rFonts w:eastAsia="Calibri"/>
          <w:b/>
          <w:sz w:val="28"/>
          <w:szCs w:val="28"/>
        </w:rPr>
        <w:lastRenderedPageBreak/>
        <w:t>Analýza vplyvov na podnikateľské prostredie</w:t>
      </w:r>
    </w:p>
    <w:p w14:paraId="3625266E" w14:textId="77777777" w:rsidR="00D312DE" w:rsidRPr="00895898" w:rsidRDefault="00D312DE" w:rsidP="00D312DE">
      <w:pPr>
        <w:jc w:val="both"/>
        <w:rPr>
          <w:rFonts w:eastAsia="Calibri"/>
          <w:b/>
          <w:sz w:val="24"/>
          <w:szCs w:val="24"/>
        </w:rPr>
      </w:pPr>
    </w:p>
    <w:p w14:paraId="4A402BE4" w14:textId="77777777" w:rsidR="00D312DE" w:rsidRPr="00A4085D" w:rsidRDefault="00D312DE" w:rsidP="00D312DE">
      <w:pPr>
        <w:jc w:val="both"/>
        <w:rPr>
          <w:rFonts w:eastAsia="Calibri"/>
          <w:sz w:val="24"/>
          <w:szCs w:val="24"/>
        </w:rPr>
      </w:pPr>
      <w:r w:rsidRPr="001F1B43">
        <w:rPr>
          <w:rFonts w:eastAsia="Calibri"/>
          <w:b/>
          <w:sz w:val="24"/>
          <w:szCs w:val="24"/>
        </w:rPr>
        <w:t>Názov materiálu:</w:t>
      </w:r>
      <w:r>
        <w:rPr>
          <w:rFonts w:eastAsia="Calibri"/>
          <w:b/>
          <w:sz w:val="24"/>
          <w:szCs w:val="24"/>
        </w:rPr>
        <w:t xml:space="preserve"> </w:t>
      </w:r>
      <w:r w:rsidRPr="00A4085D">
        <w:rPr>
          <w:rFonts w:eastAsia="Calibri"/>
          <w:sz w:val="24"/>
          <w:szCs w:val="24"/>
        </w:rPr>
        <w:t>Návrh zákona, ktorým sa mení a dopĺňa zákon č. 213/2019 Z. z. o odplatách a o poskytovaní príspevku v civilnom letectve a o zmene a doplnení niektorých zákonov v znení neskorších predpisov</w:t>
      </w:r>
    </w:p>
    <w:p w14:paraId="1AE0B32E" w14:textId="77777777" w:rsidR="00D312DE" w:rsidRPr="001F1B43" w:rsidRDefault="00D312DE" w:rsidP="00D312DE">
      <w:pPr>
        <w:jc w:val="both"/>
        <w:rPr>
          <w:rFonts w:eastAsia="Calibri"/>
          <w:b/>
          <w:sz w:val="24"/>
          <w:szCs w:val="24"/>
        </w:rPr>
      </w:pPr>
    </w:p>
    <w:p w14:paraId="3946AE06" w14:textId="77777777" w:rsidR="00D312DE" w:rsidRPr="00A4085D" w:rsidRDefault="00D312DE" w:rsidP="00D312DE">
      <w:pPr>
        <w:jc w:val="both"/>
        <w:rPr>
          <w:rFonts w:eastAsia="Calibri"/>
          <w:sz w:val="24"/>
          <w:szCs w:val="24"/>
        </w:rPr>
      </w:pPr>
      <w:r w:rsidRPr="001F1B43">
        <w:rPr>
          <w:rFonts w:eastAsia="Calibri"/>
          <w:b/>
          <w:sz w:val="24"/>
          <w:szCs w:val="24"/>
        </w:rPr>
        <w:t>Predkladateľ:</w:t>
      </w:r>
      <w:r>
        <w:rPr>
          <w:rFonts w:eastAsia="Calibri"/>
          <w:b/>
          <w:sz w:val="24"/>
          <w:szCs w:val="24"/>
        </w:rPr>
        <w:t xml:space="preserve"> </w:t>
      </w:r>
      <w:r>
        <w:rPr>
          <w:rFonts w:eastAsia="Calibri"/>
          <w:sz w:val="24"/>
          <w:szCs w:val="24"/>
        </w:rPr>
        <w:t>Ministerstvo dopravy Slovenskej republiky</w:t>
      </w:r>
    </w:p>
    <w:p w14:paraId="678EEC80" w14:textId="77777777" w:rsidR="00D312DE" w:rsidRPr="001F1B43" w:rsidRDefault="00D312DE" w:rsidP="00D312DE">
      <w:pPr>
        <w:jc w:val="both"/>
        <w:rPr>
          <w:rFonts w:eastAsia="Calibri"/>
          <w:b/>
          <w:sz w:val="24"/>
          <w:szCs w:val="24"/>
        </w:rPr>
      </w:pPr>
    </w:p>
    <w:p w14:paraId="7113DFE9" w14:textId="77777777" w:rsidR="00D312DE" w:rsidRPr="001F1B43" w:rsidRDefault="00D312DE" w:rsidP="00D312DE">
      <w:pPr>
        <w:jc w:val="both"/>
        <w:rPr>
          <w:rFonts w:eastAsia="Calibri"/>
          <w:b/>
          <w:sz w:val="24"/>
          <w:szCs w:val="24"/>
        </w:rPr>
      </w:pPr>
      <w:r w:rsidRPr="001F1B43">
        <w:rPr>
          <w:rFonts w:eastAsia="Calibri"/>
          <w:b/>
          <w:sz w:val="24"/>
          <w:szCs w:val="24"/>
        </w:rPr>
        <w:t>3.1 Náklady regulácie</w:t>
      </w:r>
    </w:p>
    <w:p w14:paraId="2281DFB0" w14:textId="77777777" w:rsidR="00D312DE" w:rsidRPr="001F1B43" w:rsidRDefault="00D312DE" w:rsidP="00D312DE">
      <w:pPr>
        <w:tabs>
          <w:tab w:val="left" w:pos="8025"/>
        </w:tabs>
        <w:rPr>
          <w:rFonts w:eastAsia="Calibri"/>
          <w:bCs/>
          <w:i/>
          <w:iCs/>
          <w:sz w:val="24"/>
          <w:szCs w:val="24"/>
        </w:rPr>
      </w:pPr>
      <w:r w:rsidRPr="001F1B43">
        <w:rPr>
          <w:rFonts w:eastAsia="Calibri"/>
          <w:b/>
          <w:i/>
          <w:iCs/>
          <w:sz w:val="24"/>
          <w:szCs w:val="24"/>
        </w:rPr>
        <w:t xml:space="preserve">3.1.1 Súhrnná tabuľka nákladov regulácie </w:t>
      </w:r>
      <w:r>
        <w:rPr>
          <w:rFonts w:eastAsia="Calibri"/>
          <w:b/>
          <w:i/>
          <w:iCs/>
          <w:sz w:val="24"/>
          <w:szCs w:val="24"/>
        </w:rPr>
        <w:tab/>
      </w:r>
    </w:p>
    <w:p w14:paraId="6B6F2818" w14:textId="77777777" w:rsidR="00D312DE" w:rsidRPr="00D8247C" w:rsidRDefault="00D312DE" w:rsidP="00D312DE">
      <w:pPr>
        <w:jc w:val="both"/>
        <w:rPr>
          <w:rFonts w:eastAsia="Calibri"/>
          <w:i/>
          <w:sz w:val="24"/>
          <w:szCs w:val="24"/>
        </w:rPr>
      </w:pPr>
      <w:r w:rsidRPr="00D8247C">
        <w:rPr>
          <w:rFonts w:eastAsia="Calibri"/>
          <w:i/>
          <w:sz w:val="24"/>
          <w:szCs w:val="24"/>
        </w:rPr>
        <w:t>Tabuľka č. 1: Zmeny nákladov (ročne) v prepočte na podnikateľské prostredie (PP), vyhodnotenie mechanizmu znižovania byrokracie a náklado</w:t>
      </w:r>
      <w:r>
        <w:rPr>
          <w:rFonts w:eastAsia="Calibri"/>
          <w:i/>
          <w:sz w:val="24"/>
          <w:szCs w:val="24"/>
        </w:rPr>
        <w:t xml:space="preserve">v, náklady </w:t>
      </w:r>
      <w:r w:rsidRPr="00804BC8">
        <w:rPr>
          <w:rFonts w:eastAsia="Calibri"/>
          <w:i/>
          <w:sz w:val="24"/>
          <w:szCs w:val="24"/>
        </w:rPr>
        <w:t>goldplatingu</w:t>
      </w:r>
      <w:r>
        <w:rPr>
          <w:rStyle w:val="Odkaznapoznmkupodiarou"/>
          <w:rFonts w:eastAsia="Calibri"/>
          <w:i/>
          <w:sz w:val="24"/>
          <w:szCs w:val="24"/>
        </w:rPr>
        <w:footnoteReference w:id="1"/>
      </w:r>
      <w:r>
        <w:rPr>
          <w:rFonts w:eastAsia="Calibri"/>
          <w:i/>
          <w:sz w:val="24"/>
          <w:szCs w:val="24"/>
        </w:rPr>
        <w:t xml:space="preserve"> na podnikateľské prostredie</w:t>
      </w:r>
      <w:r w:rsidRPr="00D8247C">
        <w:rPr>
          <w:rFonts w:eastAsia="Calibri"/>
          <w:i/>
          <w:sz w:val="24"/>
          <w:szCs w:val="24"/>
        </w:rPr>
        <w:t xml:space="preserve">. </w:t>
      </w:r>
    </w:p>
    <w:p w14:paraId="226213A9" w14:textId="77777777" w:rsidR="00D312DE" w:rsidRPr="00D8247C" w:rsidRDefault="00D312DE" w:rsidP="00D312DE">
      <w:pPr>
        <w:jc w:val="both"/>
        <w:rPr>
          <w:rFonts w:eastAsia="Calibri"/>
          <w:i/>
          <w:sz w:val="24"/>
          <w:szCs w:val="24"/>
        </w:rPr>
      </w:pPr>
      <w:r w:rsidRPr="00D8247C">
        <w:rPr>
          <w:rFonts w:eastAsia="Calibri"/>
          <w:i/>
          <w:sz w:val="24"/>
          <w:szCs w:val="24"/>
        </w:rPr>
        <w:t xml:space="preserve">Nahraďte rovnakou tabuľkou po vyplnení Kalkulačky nákladov podnikateľského prostredia, ktorá je povinnou prílohou tejto analýzy a nájdete ju na </w:t>
      </w:r>
      <w:hyperlink r:id="rId14" w:history="1">
        <w:r w:rsidRPr="00D8247C">
          <w:rPr>
            <w:rFonts w:eastAsia="Calibri"/>
            <w:i/>
            <w:color w:val="0563C1"/>
            <w:sz w:val="24"/>
            <w:szCs w:val="24"/>
            <w:u w:val="single"/>
          </w:rPr>
          <w:t>webovom sídle MH SR</w:t>
        </w:r>
      </w:hyperlink>
      <w:r w:rsidRPr="00D8247C">
        <w:rPr>
          <w:rFonts w:eastAsia="Calibri"/>
          <w:i/>
          <w:sz w:val="24"/>
          <w:szCs w:val="24"/>
        </w:rPr>
        <w:t xml:space="preserve">, (ďalej len </w:t>
      </w:r>
      <w:r>
        <w:rPr>
          <w:rFonts w:eastAsia="Calibri"/>
          <w:i/>
          <w:sz w:val="24"/>
          <w:szCs w:val="24"/>
        </w:rPr>
        <w:t>„</w:t>
      </w:r>
      <w:r w:rsidRPr="00D8247C">
        <w:rPr>
          <w:rFonts w:eastAsia="Calibri"/>
          <w:i/>
          <w:sz w:val="24"/>
          <w:szCs w:val="24"/>
        </w:rPr>
        <w:t>Kalkulačka nákladov</w:t>
      </w:r>
      <w:r>
        <w:rPr>
          <w:rFonts w:eastAsia="Calibri"/>
          <w:i/>
          <w:sz w:val="24"/>
          <w:szCs w:val="24"/>
        </w:rPr>
        <w:t>“</w:t>
      </w:r>
      <w:r w:rsidRPr="00D8247C">
        <w:rPr>
          <w:rFonts w:eastAsia="Calibri"/>
          <w:i/>
          <w:sz w:val="24"/>
          <w:szCs w:val="24"/>
        </w:rPr>
        <w:t>):</w:t>
      </w:r>
    </w:p>
    <w:tbl>
      <w:tblPr>
        <w:tblW w:w="8300" w:type="dxa"/>
        <w:jc w:val="center"/>
        <w:tblCellMar>
          <w:left w:w="70" w:type="dxa"/>
          <w:right w:w="70" w:type="dxa"/>
        </w:tblCellMar>
        <w:tblLook w:val="04A0" w:firstRow="1" w:lastRow="0" w:firstColumn="1" w:lastColumn="0" w:noHBand="0" w:noVBand="1"/>
      </w:tblPr>
      <w:tblGrid>
        <w:gridCol w:w="4540"/>
        <w:gridCol w:w="1880"/>
        <w:gridCol w:w="1880"/>
      </w:tblGrid>
      <w:tr w:rsidR="00D312DE" w:rsidRPr="00E42F5F" w14:paraId="5293DB76" w14:textId="77777777" w:rsidTr="00774DA8">
        <w:trPr>
          <w:trHeight w:val="675"/>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7990673" w14:textId="77777777" w:rsidR="00D312DE" w:rsidRPr="00E42F5F" w:rsidRDefault="00D312DE" w:rsidP="00774DA8">
            <w:pPr>
              <w:jc w:val="center"/>
              <w:rPr>
                <w:b/>
                <w:bCs/>
                <w:i/>
                <w:iCs/>
                <w:color w:val="000000"/>
              </w:rPr>
            </w:pPr>
            <w:r w:rsidRPr="00E42F5F">
              <w:rPr>
                <w:b/>
                <w:bCs/>
                <w:i/>
                <w:iCs/>
                <w:color w:val="000000"/>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34992B44" w14:textId="77777777" w:rsidR="00D312DE" w:rsidRPr="00E42F5F" w:rsidRDefault="00D312DE" w:rsidP="00774DA8">
            <w:pPr>
              <w:jc w:val="center"/>
              <w:rPr>
                <w:b/>
                <w:bCs/>
                <w:color w:val="000000"/>
              </w:rPr>
            </w:pPr>
            <w:r w:rsidRPr="00E42F5F">
              <w:rPr>
                <w:b/>
                <w:bCs/>
                <w:color w:val="000000"/>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731DA019" w14:textId="77777777" w:rsidR="00D312DE" w:rsidRPr="00E42F5F" w:rsidRDefault="00D312DE" w:rsidP="00774DA8">
            <w:pPr>
              <w:jc w:val="center"/>
              <w:rPr>
                <w:b/>
                <w:bCs/>
                <w:color w:val="000000"/>
              </w:rPr>
            </w:pPr>
            <w:r w:rsidRPr="00E42F5F">
              <w:rPr>
                <w:b/>
                <w:bCs/>
                <w:color w:val="000000"/>
              </w:rPr>
              <w:t>Zníženie nákladov v € na PP</w:t>
            </w:r>
          </w:p>
        </w:tc>
      </w:tr>
      <w:tr w:rsidR="00D312DE" w:rsidRPr="00E42F5F" w14:paraId="1D79107B" w14:textId="77777777" w:rsidTr="00774DA8">
        <w:trPr>
          <w:trHeight w:val="81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0D572BCA" w14:textId="77777777" w:rsidR="00D312DE" w:rsidRPr="00E42F5F" w:rsidRDefault="00D312DE" w:rsidP="00774DA8">
            <w:pPr>
              <w:rPr>
                <w:b/>
                <w:bCs/>
                <w:i/>
                <w:iCs/>
                <w:color w:val="000000"/>
              </w:rPr>
            </w:pPr>
            <w:r w:rsidRPr="00E42F5F">
              <w:rPr>
                <w:b/>
                <w:bCs/>
                <w:i/>
                <w:iCs/>
                <w:color w:val="000000"/>
              </w:rPr>
              <w:t>A.Dane, odvody, clá a poplatky, ktorých cieľom je znižovať negatívne externality</w:t>
            </w:r>
          </w:p>
        </w:tc>
        <w:tc>
          <w:tcPr>
            <w:tcW w:w="1880" w:type="dxa"/>
            <w:tcBorders>
              <w:top w:val="nil"/>
              <w:left w:val="nil"/>
              <w:bottom w:val="single" w:sz="4" w:space="0" w:color="auto"/>
              <w:right w:val="single" w:sz="4" w:space="0" w:color="auto"/>
            </w:tcBorders>
            <w:shd w:val="clear" w:color="000000" w:fill="FFC000"/>
            <w:vAlign w:val="center"/>
            <w:hideMark/>
          </w:tcPr>
          <w:p w14:paraId="6437A9C4" w14:textId="77777777" w:rsidR="00D312DE" w:rsidRPr="00E42F5F" w:rsidRDefault="00D312DE" w:rsidP="00774DA8">
            <w:pPr>
              <w:jc w:val="center"/>
              <w:rPr>
                <w:b/>
                <w:bCs/>
                <w:color w:val="000000"/>
              </w:rPr>
            </w:pPr>
            <w:r w:rsidRPr="00E42F5F">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4678A5AF" w14:textId="77777777" w:rsidR="00D312DE" w:rsidRPr="00E42F5F" w:rsidRDefault="00D312DE" w:rsidP="00774DA8">
            <w:pPr>
              <w:jc w:val="center"/>
              <w:rPr>
                <w:b/>
                <w:bCs/>
                <w:color w:val="000000"/>
              </w:rPr>
            </w:pPr>
            <w:r w:rsidRPr="00E42F5F">
              <w:rPr>
                <w:b/>
                <w:bCs/>
                <w:color w:val="000000"/>
              </w:rPr>
              <w:t>0</w:t>
            </w:r>
          </w:p>
        </w:tc>
      </w:tr>
      <w:tr w:rsidR="00D312DE" w:rsidRPr="00E42F5F" w14:paraId="3E4F01A5" w14:textId="77777777" w:rsidTr="00774DA8">
        <w:trPr>
          <w:trHeight w:val="30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4879F35C" w14:textId="77777777" w:rsidR="00D312DE" w:rsidRPr="00E42F5F" w:rsidRDefault="00D312DE" w:rsidP="00774DA8">
            <w:pPr>
              <w:rPr>
                <w:b/>
                <w:bCs/>
                <w:i/>
                <w:iCs/>
                <w:color w:val="000000"/>
              </w:rPr>
            </w:pPr>
            <w:r w:rsidRPr="00E42F5F">
              <w:rPr>
                <w:b/>
                <w:bCs/>
                <w:i/>
                <w:iCs/>
                <w:color w:val="000000"/>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0979DE80" w14:textId="77777777" w:rsidR="00D312DE" w:rsidRPr="00E42F5F" w:rsidRDefault="00D312DE" w:rsidP="00774DA8">
            <w:pPr>
              <w:jc w:val="center"/>
              <w:rPr>
                <w:b/>
                <w:bCs/>
                <w:color w:val="000000"/>
              </w:rPr>
            </w:pPr>
            <w:r w:rsidRPr="00E42F5F">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23599251" w14:textId="77777777" w:rsidR="00D312DE" w:rsidRPr="00E42F5F" w:rsidRDefault="00D312DE" w:rsidP="00774DA8">
            <w:pPr>
              <w:jc w:val="center"/>
              <w:rPr>
                <w:b/>
                <w:bCs/>
                <w:color w:val="000000"/>
              </w:rPr>
            </w:pPr>
            <w:r w:rsidRPr="00E42F5F">
              <w:rPr>
                <w:b/>
                <w:bCs/>
                <w:color w:val="000000"/>
              </w:rPr>
              <w:t>200 000</w:t>
            </w:r>
          </w:p>
        </w:tc>
      </w:tr>
      <w:tr w:rsidR="00D312DE" w:rsidRPr="00E42F5F" w14:paraId="442C4048" w14:textId="77777777" w:rsidTr="00774DA8">
        <w:trPr>
          <w:trHeight w:val="30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77FEF712" w14:textId="77777777" w:rsidR="00D312DE" w:rsidRPr="00E42F5F" w:rsidRDefault="00D312DE" w:rsidP="00774DA8">
            <w:pPr>
              <w:rPr>
                <w:b/>
                <w:bCs/>
                <w:i/>
                <w:iCs/>
                <w:color w:val="000000"/>
              </w:rPr>
            </w:pPr>
            <w:r w:rsidRPr="00E42F5F">
              <w:rPr>
                <w:b/>
                <w:bCs/>
                <w:i/>
                <w:iCs/>
                <w:color w:val="000000"/>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0B596F78" w14:textId="77777777" w:rsidR="00D312DE" w:rsidRPr="00E42F5F" w:rsidRDefault="00D312DE" w:rsidP="00774DA8">
            <w:pPr>
              <w:jc w:val="center"/>
              <w:rPr>
                <w:b/>
                <w:bCs/>
                <w:color w:val="000000"/>
              </w:rPr>
            </w:pPr>
            <w:r w:rsidRPr="00E42F5F">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011600E0" w14:textId="77777777" w:rsidR="00D312DE" w:rsidRPr="00E42F5F" w:rsidRDefault="00D312DE" w:rsidP="00774DA8">
            <w:pPr>
              <w:jc w:val="center"/>
              <w:rPr>
                <w:b/>
                <w:bCs/>
                <w:color w:val="000000"/>
              </w:rPr>
            </w:pPr>
            <w:r w:rsidRPr="00E42F5F">
              <w:rPr>
                <w:b/>
                <w:bCs/>
                <w:color w:val="000000"/>
              </w:rPr>
              <w:t>0</w:t>
            </w:r>
          </w:p>
        </w:tc>
      </w:tr>
      <w:tr w:rsidR="00D312DE" w:rsidRPr="00E42F5F" w14:paraId="6431124E" w14:textId="77777777" w:rsidTr="00774DA8">
        <w:trPr>
          <w:trHeight w:val="30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70AAD8C1" w14:textId="77777777" w:rsidR="00D312DE" w:rsidRPr="00E42F5F" w:rsidRDefault="00D312DE" w:rsidP="00774DA8">
            <w:pPr>
              <w:rPr>
                <w:b/>
                <w:bCs/>
                <w:i/>
                <w:iCs/>
                <w:color w:val="000000"/>
              </w:rPr>
            </w:pPr>
            <w:r w:rsidRPr="00E42F5F">
              <w:rPr>
                <w:b/>
                <w:bCs/>
                <w:i/>
                <w:iCs/>
                <w:color w:val="000000"/>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654A5E2B" w14:textId="77777777" w:rsidR="00D312DE" w:rsidRPr="00E42F5F" w:rsidRDefault="00D312DE" w:rsidP="00774DA8">
            <w:pPr>
              <w:jc w:val="center"/>
              <w:rPr>
                <w:b/>
                <w:bCs/>
                <w:color w:val="000000"/>
              </w:rPr>
            </w:pPr>
            <w:r w:rsidRPr="00E42F5F">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710B93C6" w14:textId="77777777" w:rsidR="00D312DE" w:rsidRPr="00E42F5F" w:rsidRDefault="00D312DE" w:rsidP="00774DA8">
            <w:pPr>
              <w:jc w:val="center"/>
              <w:rPr>
                <w:b/>
                <w:bCs/>
                <w:color w:val="000000"/>
              </w:rPr>
            </w:pPr>
            <w:r w:rsidRPr="00E42F5F">
              <w:rPr>
                <w:b/>
                <w:bCs/>
                <w:color w:val="000000"/>
              </w:rPr>
              <w:t>0</w:t>
            </w:r>
          </w:p>
        </w:tc>
      </w:tr>
      <w:tr w:rsidR="00D312DE" w:rsidRPr="00E42F5F" w14:paraId="076E5A7A" w14:textId="77777777" w:rsidTr="00774DA8">
        <w:trPr>
          <w:trHeight w:val="300"/>
          <w:jc w:val="center"/>
        </w:trPr>
        <w:tc>
          <w:tcPr>
            <w:tcW w:w="4540" w:type="dxa"/>
            <w:tcBorders>
              <w:top w:val="nil"/>
              <w:left w:val="single" w:sz="8" w:space="0" w:color="auto"/>
              <w:bottom w:val="nil"/>
              <w:right w:val="single" w:sz="4" w:space="0" w:color="auto"/>
            </w:tcBorders>
            <w:shd w:val="clear" w:color="auto" w:fill="auto"/>
            <w:vAlign w:val="center"/>
            <w:hideMark/>
          </w:tcPr>
          <w:p w14:paraId="49983272" w14:textId="77777777" w:rsidR="00D312DE" w:rsidRPr="00E42F5F" w:rsidRDefault="00D312DE" w:rsidP="00774DA8">
            <w:pPr>
              <w:rPr>
                <w:b/>
                <w:bCs/>
                <w:i/>
                <w:iCs/>
                <w:color w:val="000000"/>
              </w:rPr>
            </w:pPr>
            <w:r w:rsidRPr="00E42F5F">
              <w:rPr>
                <w:b/>
                <w:bCs/>
                <w:i/>
                <w:iCs/>
                <w:color w:val="000000"/>
              </w:rPr>
              <w:t>E. Administratívne náklady</w:t>
            </w:r>
          </w:p>
        </w:tc>
        <w:tc>
          <w:tcPr>
            <w:tcW w:w="1880" w:type="dxa"/>
            <w:tcBorders>
              <w:top w:val="nil"/>
              <w:left w:val="nil"/>
              <w:bottom w:val="nil"/>
              <w:right w:val="single" w:sz="4" w:space="0" w:color="auto"/>
            </w:tcBorders>
            <w:shd w:val="clear" w:color="000000" w:fill="FFC000"/>
            <w:vAlign w:val="center"/>
            <w:hideMark/>
          </w:tcPr>
          <w:p w14:paraId="6ED41FC5" w14:textId="77777777" w:rsidR="00D312DE" w:rsidRPr="00E42F5F" w:rsidRDefault="00D312DE" w:rsidP="00774DA8">
            <w:pPr>
              <w:jc w:val="center"/>
              <w:rPr>
                <w:b/>
                <w:bCs/>
                <w:color w:val="000000"/>
              </w:rPr>
            </w:pPr>
            <w:r w:rsidRPr="00E42F5F">
              <w:rPr>
                <w:b/>
                <w:bCs/>
                <w:color w:val="000000"/>
              </w:rPr>
              <w:t>3</w:t>
            </w:r>
          </w:p>
        </w:tc>
        <w:tc>
          <w:tcPr>
            <w:tcW w:w="1880" w:type="dxa"/>
            <w:tcBorders>
              <w:top w:val="nil"/>
              <w:left w:val="nil"/>
              <w:bottom w:val="nil"/>
              <w:right w:val="single" w:sz="8" w:space="0" w:color="auto"/>
            </w:tcBorders>
            <w:shd w:val="clear" w:color="000000" w:fill="92D050"/>
            <w:vAlign w:val="center"/>
            <w:hideMark/>
          </w:tcPr>
          <w:p w14:paraId="5AD3B908" w14:textId="77777777" w:rsidR="00D312DE" w:rsidRPr="00E42F5F" w:rsidRDefault="00D312DE" w:rsidP="00774DA8">
            <w:pPr>
              <w:jc w:val="center"/>
              <w:rPr>
                <w:b/>
                <w:bCs/>
                <w:color w:val="000000"/>
              </w:rPr>
            </w:pPr>
            <w:r w:rsidRPr="00E42F5F">
              <w:rPr>
                <w:b/>
                <w:bCs/>
                <w:color w:val="000000"/>
              </w:rPr>
              <w:t>0</w:t>
            </w:r>
          </w:p>
        </w:tc>
      </w:tr>
      <w:tr w:rsidR="00D312DE" w:rsidRPr="00E42F5F" w14:paraId="18817467" w14:textId="77777777" w:rsidTr="00774DA8">
        <w:trPr>
          <w:trHeight w:val="300"/>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91A362" w14:textId="77777777" w:rsidR="00D312DE" w:rsidRPr="00E42F5F" w:rsidRDefault="00D312DE" w:rsidP="00774DA8">
            <w:pPr>
              <w:rPr>
                <w:b/>
                <w:bCs/>
                <w:i/>
                <w:iCs/>
                <w:color w:val="000000"/>
              </w:rPr>
            </w:pPr>
            <w:r w:rsidRPr="00E42F5F">
              <w:rPr>
                <w:b/>
                <w:bCs/>
                <w:i/>
                <w:iCs/>
                <w:color w:val="000000"/>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0135AEC3" w14:textId="77777777" w:rsidR="00D312DE" w:rsidRPr="00E42F5F" w:rsidRDefault="00D312DE" w:rsidP="00774DA8">
            <w:pPr>
              <w:jc w:val="center"/>
              <w:rPr>
                <w:b/>
                <w:bCs/>
                <w:color w:val="000000"/>
              </w:rPr>
            </w:pPr>
            <w:r w:rsidRPr="00E42F5F">
              <w:rPr>
                <w:b/>
                <w:bCs/>
                <w:color w:val="000000"/>
              </w:rPr>
              <w:t>3</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037E1F3F" w14:textId="77777777" w:rsidR="00D312DE" w:rsidRPr="00E42F5F" w:rsidRDefault="00D312DE" w:rsidP="00774DA8">
            <w:pPr>
              <w:jc w:val="center"/>
              <w:rPr>
                <w:b/>
                <w:bCs/>
                <w:color w:val="000000"/>
              </w:rPr>
            </w:pPr>
            <w:r w:rsidRPr="00E42F5F">
              <w:rPr>
                <w:b/>
                <w:bCs/>
                <w:color w:val="000000"/>
              </w:rPr>
              <w:t>200 000</w:t>
            </w:r>
          </w:p>
        </w:tc>
      </w:tr>
      <w:tr w:rsidR="00D312DE" w:rsidRPr="00E42F5F" w14:paraId="5EF4EF87" w14:textId="77777777" w:rsidTr="00774DA8">
        <w:trPr>
          <w:trHeight w:val="300"/>
          <w:jc w:val="center"/>
        </w:trPr>
        <w:tc>
          <w:tcPr>
            <w:tcW w:w="4540" w:type="dxa"/>
            <w:tcBorders>
              <w:top w:val="nil"/>
              <w:left w:val="nil"/>
              <w:bottom w:val="nil"/>
              <w:right w:val="nil"/>
            </w:tcBorders>
            <w:shd w:val="clear" w:color="auto" w:fill="auto"/>
            <w:vAlign w:val="center"/>
            <w:hideMark/>
          </w:tcPr>
          <w:p w14:paraId="395B6174" w14:textId="77777777" w:rsidR="00D312DE" w:rsidRPr="00E42F5F" w:rsidRDefault="00D312DE" w:rsidP="00774DA8">
            <w:pPr>
              <w:jc w:val="center"/>
              <w:rPr>
                <w:b/>
                <w:bCs/>
                <w:color w:val="000000"/>
              </w:rPr>
            </w:pPr>
          </w:p>
        </w:tc>
        <w:tc>
          <w:tcPr>
            <w:tcW w:w="1880" w:type="dxa"/>
            <w:tcBorders>
              <w:top w:val="nil"/>
              <w:left w:val="nil"/>
              <w:bottom w:val="nil"/>
              <w:right w:val="nil"/>
            </w:tcBorders>
            <w:shd w:val="clear" w:color="auto" w:fill="auto"/>
            <w:vAlign w:val="center"/>
            <w:hideMark/>
          </w:tcPr>
          <w:p w14:paraId="01B66509" w14:textId="77777777" w:rsidR="00D312DE" w:rsidRPr="00E42F5F" w:rsidRDefault="00D312DE" w:rsidP="00774DA8"/>
        </w:tc>
        <w:tc>
          <w:tcPr>
            <w:tcW w:w="1880" w:type="dxa"/>
            <w:tcBorders>
              <w:top w:val="nil"/>
              <w:left w:val="nil"/>
              <w:bottom w:val="nil"/>
              <w:right w:val="nil"/>
            </w:tcBorders>
            <w:shd w:val="clear" w:color="auto" w:fill="auto"/>
            <w:vAlign w:val="center"/>
            <w:hideMark/>
          </w:tcPr>
          <w:p w14:paraId="4D4EB14F" w14:textId="77777777" w:rsidR="00D312DE" w:rsidRPr="00E42F5F" w:rsidRDefault="00D312DE" w:rsidP="00774DA8"/>
        </w:tc>
      </w:tr>
      <w:tr w:rsidR="00D312DE" w:rsidRPr="00E42F5F" w14:paraId="3BA38E7B" w14:textId="77777777" w:rsidTr="00774DA8">
        <w:trPr>
          <w:trHeight w:val="600"/>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595F7FD" w14:textId="77777777" w:rsidR="00D312DE" w:rsidRPr="00E42F5F" w:rsidRDefault="00D312DE" w:rsidP="00774DA8">
            <w:pPr>
              <w:rPr>
                <w:b/>
                <w:bCs/>
                <w:i/>
                <w:iCs/>
                <w:color w:val="000000"/>
              </w:rPr>
            </w:pPr>
            <w:r w:rsidRPr="00E42F5F">
              <w:rPr>
                <w:b/>
                <w:bCs/>
                <w:i/>
                <w:iCs/>
                <w:color w:val="000000"/>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15579EF9" w14:textId="77777777" w:rsidR="00D312DE" w:rsidRPr="00E42F5F" w:rsidRDefault="00D312DE" w:rsidP="00774DA8">
            <w:pPr>
              <w:jc w:val="center"/>
              <w:rPr>
                <w:b/>
                <w:bCs/>
                <w:color w:val="000000"/>
              </w:rPr>
            </w:pPr>
            <w:r w:rsidRPr="00E42F5F">
              <w:rPr>
                <w:b/>
                <w:bCs/>
                <w:color w:val="000000"/>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5D7A65E3" w14:textId="77777777" w:rsidR="00D312DE" w:rsidRPr="00E42F5F" w:rsidRDefault="00D312DE" w:rsidP="00774DA8">
            <w:pPr>
              <w:jc w:val="center"/>
              <w:rPr>
                <w:b/>
                <w:bCs/>
                <w:color w:val="000000"/>
              </w:rPr>
            </w:pPr>
            <w:r w:rsidRPr="00E42F5F">
              <w:rPr>
                <w:b/>
                <w:bCs/>
                <w:color w:val="000000"/>
              </w:rPr>
              <w:t>Zníženie nákladov v € na PP</w:t>
            </w:r>
          </w:p>
        </w:tc>
      </w:tr>
      <w:tr w:rsidR="00D312DE" w:rsidRPr="00E42F5F" w14:paraId="375B6E52" w14:textId="77777777" w:rsidTr="00774DA8">
        <w:trPr>
          <w:trHeight w:val="990"/>
          <w:jc w:val="center"/>
        </w:trPr>
        <w:tc>
          <w:tcPr>
            <w:tcW w:w="4540" w:type="dxa"/>
            <w:tcBorders>
              <w:top w:val="nil"/>
              <w:left w:val="single" w:sz="8" w:space="0" w:color="auto"/>
              <w:bottom w:val="nil"/>
              <w:right w:val="single" w:sz="4" w:space="0" w:color="auto"/>
            </w:tcBorders>
            <w:shd w:val="clear" w:color="auto" w:fill="auto"/>
            <w:vAlign w:val="center"/>
            <w:hideMark/>
          </w:tcPr>
          <w:p w14:paraId="0C9DD66F" w14:textId="77777777" w:rsidR="00D312DE" w:rsidRPr="00E42F5F" w:rsidRDefault="00D312DE" w:rsidP="00774DA8">
            <w:pPr>
              <w:rPr>
                <w:b/>
                <w:bCs/>
                <w:i/>
                <w:iCs/>
                <w:color w:val="000000"/>
              </w:rPr>
            </w:pPr>
            <w:r w:rsidRPr="00E42F5F">
              <w:rPr>
                <w:b/>
                <w:bCs/>
                <w:i/>
                <w:iCs/>
                <w:color w:val="000000"/>
              </w:rPr>
              <w:t>F. Úplná harmonizácia práva EÚ</w:t>
            </w:r>
            <w:r w:rsidRPr="00E42F5F">
              <w:rPr>
                <w:b/>
                <w:bCs/>
                <w:i/>
                <w:iCs/>
                <w:color w:val="000000"/>
              </w:rPr>
              <w:br/>
            </w:r>
            <w:r w:rsidRPr="00E42F5F">
              <w:rPr>
                <w:i/>
                <w:iCs/>
                <w:color w:val="000000"/>
                <w:sz w:val="16"/>
                <w:szCs w:val="16"/>
              </w:rPr>
              <w:t>(okrem daní, odvodov, ciel a poplatkov, ktorých cieľom je znižovať negatívne externality)</w:t>
            </w:r>
          </w:p>
        </w:tc>
        <w:tc>
          <w:tcPr>
            <w:tcW w:w="1880" w:type="dxa"/>
            <w:tcBorders>
              <w:top w:val="nil"/>
              <w:left w:val="nil"/>
              <w:bottom w:val="nil"/>
              <w:right w:val="single" w:sz="4" w:space="0" w:color="auto"/>
            </w:tcBorders>
            <w:shd w:val="clear" w:color="000000" w:fill="FFC000"/>
            <w:vAlign w:val="center"/>
            <w:hideMark/>
          </w:tcPr>
          <w:p w14:paraId="1E381A52" w14:textId="77777777" w:rsidR="00D312DE" w:rsidRPr="00E42F5F" w:rsidRDefault="00D312DE" w:rsidP="00774DA8">
            <w:pPr>
              <w:jc w:val="center"/>
              <w:rPr>
                <w:b/>
                <w:bCs/>
                <w:color w:val="000000"/>
              </w:rPr>
            </w:pPr>
            <w:r w:rsidRPr="00E42F5F">
              <w:rPr>
                <w:b/>
                <w:bCs/>
                <w:color w:val="000000"/>
              </w:rPr>
              <w:t>0</w:t>
            </w:r>
          </w:p>
        </w:tc>
        <w:tc>
          <w:tcPr>
            <w:tcW w:w="1880" w:type="dxa"/>
            <w:tcBorders>
              <w:top w:val="nil"/>
              <w:left w:val="nil"/>
              <w:bottom w:val="nil"/>
              <w:right w:val="single" w:sz="8" w:space="0" w:color="auto"/>
            </w:tcBorders>
            <w:shd w:val="clear" w:color="000000" w:fill="92D050"/>
            <w:vAlign w:val="center"/>
            <w:hideMark/>
          </w:tcPr>
          <w:p w14:paraId="695685E4" w14:textId="77777777" w:rsidR="00D312DE" w:rsidRPr="00E42F5F" w:rsidRDefault="00D312DE" w:rsidP="00774DA8">
            <w:pPr>
              <w:jc w:val="center"/>
              <w:rPr>
                <w:b/>
                <w:bCs/>
                <w:color w:val="000000"/>
              </w:rPr>
            </w:pPr>
            <w:r w:rsidRPr="00E42F5F">
              <w:rPr>
                <w:b/>
                <w:bCs/>
                <w:color w:val="000000"/>
              </w:rPr>
              <w:t>0</w:t>
            </w:r>
          </w:p>
        </w:tc>
      </w:tr>
      <w:tr w:rsidR="00D312DE" w:rsidRPr="00E42F5F" w14:paraId="28F1D4B4" w14:textId="77777777" w:rsidTr="00774DA8">
        <w:trPr>
          <w:trHeight w:val="270"/>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9A4083F" w14:textId="77777777" w:rsidR="00D312DE" w:rsidRPr="00E42F5F" w:rsidRDefault="00D312DE" w:rsidP="00774DA8">
            <w:pPr>
              <w:rPr>
                <w:b/>
                <w:bCs/>
                <w:i/>
                <w:iCs/>
                <w:color w:val="000000"/>
              </w:rPr>
            </w:pPr>
            <w:r w:rsidRPr="00E42F5F">
              <w:rPr>
                <w:b/>
                <w:bCs/>
                <w:i/>
                <w:iCs/>
                <w:color w:val="000000"/>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34DD252A" w14:textId="77777777" w:rsidR="00D312DE" w:rsidRPr="00E42F5F" w:rsidRDefault="00D312DE" w:rsidP="00774DA8">
            <w:pPr>
              <w:jc w:val="center"/>
              <w:rPr>
                <w:b/>
                <w:bCs/>
                <w:color w:val="000000"/>
              </w:rPr>
            </w:pPr>
            <w:r w:rsidRPr="00E42F5F">
              <w:rPr>
                <w:b/>
                <w:bCs/>
                <w:color w:val="000000"/>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22E792A7" w14:textId="77777777" w:rsidR="00D312DE" w:rsidRPr="00E42F5F" w:rsidRDefault="00D312DE" w:rsidP="00774DA8">
            <w:pPr>
              <w:jc w:val="center"/>
              <w:rPr>
                <w:b/>
                <w:bCs/>
                <w:color w:val="000000"/>
              </w:rPr>
            </w:pPr>
            <w:r w:rsidRPr="00E42F5F">
              <w:rPr>
                <w:b/>
                <w:bCs/>
                <w:color w:val="000000"/>
              </w:rPr>
              <w:t>0</w:t>
            </w:r>
          </w:p>
        </w:tc>
      </w:tr>
      <w:tr w:rsidR="00D312DE" w:rsidRPr="00E42F5F" w14:paraId="1B9A4075" w14:textId="77777777" w:rsidTr="00774DA8">
        <w:trPr>
          <w:trHeight w:val="270"/>
          <w:jc w:val="center"/>
        </w:trPr>
        <w:tc>
          <w:tcPr>
            <w:tcW w:w="4540" w:type="dxa"/>
            <w:tcBorders>
              <w:top w:val="nil"/>
              <w:left w:val="nil"/>
              <w:bottom w:val="nil"/>
              <w:right w:val="nil"/>
            </w:tcBorders>
            <w:shd w:val="clear" w:color="auto" w:fill="auto"/>
            <w:noWrap/>
            <w:vAlign w:val="bottom"/>
            <w:hideMark/>
          </w:tcPr>
          <w:p w14:paraId="6079D488" w14:textId="77777777" w:rsidR="00D312DE" w:rsidRPr="00E42F5F" w:rsidRDefault="00D312DE" w:rsidP="00774DA8">
            <w:pPr>
              <w:jc w:val="center"/>
              <w:rPr>
                <w:b/>
                <w:bCs/>
                <w:color w:val="000000"/>
              </w:rPr>
            </w:pPr>
          </w:p>
        </w:tc>
        <w:tc>
          <w:tcPr>
            <w:tcW w:w="1880" w:type="dxa"/>
            <w:tcBorders>
              <w:top w:val="nil"/>
              <w:left w:val="nil"/>
              <w:bottom w:val="nil"/>
              <w:right w:val="nil"/>
            </w:tcBorders>
            <w:shd w:val="clear" w:color="auto" w:fill="auto"/>
            <w:vAlign w:val="center"/>
            <w:hideMark/>
          </w:tcPr>
          <w:p w14:paraId="3CDB48C3" w14:textId="77777777" w:rsidR="00D312DE" w:rsidRPr="00E42F5F" w:rsidRDefault="00D312DE" w:rsidP="00774DA8"/>
        </w:tc>
        <w:tc>
          <w:tcPr>
            <w:tcW w:w="1880" w:type="dxa"/>
            <w:tcBorders>
              <w:top w:val="nil"/>
              <w:left w:val="nil"/>
              <w:bottom w:val="nil"/>
              <w:right w:val="nil"/>
            </w:tcBorders>
            <w:shd w:val="clear" w:color="auto" w:fill="auto"/>
            <w:vAlign w:val="center"/>
            <w:hideMark/>
          </w:tcPr>
          <w:p w14:paraId="43833522" w14:textId="77777777" w:rsidR="00D312DE" w:rsidRPr="00E42F5F" w:rsidRDefault="00D312DE" w:rsidP="00774DA8"/>
        </w:tc>
      </w:tr>
      <w:tr w:rsidR="00D312DE" w:rsidRPr="00E42F5F" w14:paraId="5FA5B903" w14:textId="77777777" w:rsidTr="00774DA8">
        <w:trPr>
          <w:trHeight w:val="270"/>
          <w:jc w:val="center"/>
        </w:trPr>
        <w:tc>
          <w:tcPr>
            <w:tcW w:w="4540" w:type="dxa"/>
            <w:tcBorders>
              <w:top w:val="nil"/>
              <w:left w:val="nil"/>
              <w:bottom w:val="nil"/>
              <w:right w:val="nil"/>
            </w:tcBorders>
            <w:shd w:val="clear" w:color="auto" w:fill="auto"/>
            <w:noWrap/>
            <w:vAlign w:val="bottom"/>
            <w:hideMark/>
          </w:tcPr>
          <w:p w14:paraId="07A77996" w14:textId="77777777" w:rsidR="00D312DE" w:rsidRPr="00E42F5F" w:rsidRDefault="00D312DE" w:rsidP="00774DA8"/>
        </w:tc>
        <w:tc>
          <w:tcPr>
            <w:tcW w:w="1880" w:type="dxa"/>
            <w:tcBorders>
              <w:top w:val="nil"/>
              <w:left w:val="nil"/>
              <w:bottom w:val="nil"/>
              <w:right w:val="nil"/>
            </w:tcBorders>
            <w:shd w:val="clear" w:color="auto" w:fill="auto"/>
            <w:vAlign w:val="center"/>
            <w:hideMark/>
          </w:tcPr>
          <w:p w14:paraId="3EF021FF" w14:textId="77777777" w:rsidR="00D312DE" w:rsidRPr="00E42F5F" w:rsidRDefault="00D312DE" w:rsidP="00774DA8"/>
        </w:tc>
        <w:tc>
          <w:tcPr>
            <w:tcW w:w="1880" w:type="dxa"/>
            <w:tcBorders>
              <w:top w:val="nil"/>
              <w:left w:val="nil"/>
              <w:bottom w:val="nil"/>
              <w:right w:val="nil"/>
            </w:tcBorders>
            <w:shd w:val="clear" w:color="auto" w:fill="auto"/>
            <w:vAlign w:val="center"/>
            <w:hideMark/>
          </w:tcPr>
          <w:p w14:paraId="1D54F773" w14:textId="77777777" w:rsidR="00D312DE" w:rsidRPr="00E42F5F" w:rsidRDefault="00D312DE" w:rsidP="00774DA8"/>
        </w:tc>
      </w:tr>
      <w:tr w:rsidR="00D312DE" w:rsidRPr="00E42F5F" w14:paraId="787FF032" w14:textId="77777777" w:rsidTr="00774DA8">
        <w:trPr>
          <w:trHeight w:val="330"/>
          <w:jc w:val="center"/>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3B797CE" w14:textId="77777777" w:rsidR="00D312DE" w:rsidRPr="00E42F5F" w:rsidRDefault="00D312DE" w:rsidP="00774DA8">
            <w:pPr>
              <w:rPr>
                <w:i/>
                <w:iCs/>
                <w:color w:val="000000"/>
              </w:rPr>
            </w:pPr>
            <w:r w:rsidRPr="00E42F5F">
              <w:rPr>
                <w:i/>
                <w:iCs/>
                <w:color w:val="000000"/>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6547B35E" w14:textId="77777777" w:rsidR="00D312DE" w:rsidRPr="00E42F5F" w:rsidRDefault="00D312DE" w:rsidP="00774DA8">
            <w:pPr>
              <w:jc w:val="center"/>
              <w:rPr>
                <w:b/>
                <w:bCs/>
                <w:color w:val="000000"/>
              </w:rPr>
            </w:pPr>
            <w:r w:rsidRPr="00E42F5F">
              <w:rPr>
                <w:b/>
                <w:bCs/>
                <w:color w:val="000000"/>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0AB90EF8" w14:textId="77777777" w:rsidR="00D312DE" w:rsidRPr="00E42F5F" w:rsidRDefault="00D312DE" w:rsidP="00774DA8">
            <w:pPr>
              <w:jc w:val="center"/>
              <w:rPr>
                <w:b/>
                <w:bCs/>
                <w:color w:val="000000"/>
              </w:rPr>
            </w:pPr>
            <w:r w:rsidRPr="00E42F5F">
              <w:rPr>
                <w:b/>
                <w:bCs/>
                <w:color w:val="000000"/>
              </w:rPr>
              <w:t>OUT</w:t>
            </w:r>
          </w:p>
        </w:tc>
      </w:tr>
      <w:tr w:rsidR="00D312DE" w:rsidRPr="00E42F5F" w14:paraId="2B0A752E" w14:textId="77777777" w:rsidTr="00774DA8">
        <w:trPr>
          <w:trHeight w:val="345"/>
          <w:jc w:val="center"/>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5F2E9F87" w14:textId="77777777" w:rsidR="00D312DE" w:rsidRPr="00E42F5F" w:rsidRDefault="00D312DE" w:rsidP="00774DA8">
            <w:pPr>
              <w:rPr>
                <w:i/>
                <w:iCs/>
                <w:color w:val="000000"/>
              </w:rPr>
            </w:pPr>
            <w:r w:rsidRPr="00E42F5F">
              <w:rPr>
                <w:i/>
                <w:iCs/>
                <w:color w:val="000000"/>
              </w:rPr>
              <w:t>H</w:t>
            </w:r>
            <w:r w:rsidRPr="00E42F5F">
              <w:rPr>
                <w:b/>
                <w:bCs/>
                <w:i/>
                <w:iCs/>
                <w:color w:val="000000"/>
              </w:rPr>
              <w:t>.</w:t>
            </w:r>
            <w:r w:rsidRPr="00E42F5F">
              <w:rPr>
                <w:i/>
                <w:iCs/>
                <w:color w:val="000000"/>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1AAAF781" w14:textId="77777777" w:rsidR="00D312DE" w:rsidRPr="00E42F5F" w:rsidRDefault="00D312DE" w:rsidP="00774DA8">
            <w:pPr>
              <w:jc w:val="center"/>
              <w:rPr>
                <w:b/>
                <w:bCs/>
                <w:color w:val="000000"/>
              </w:rPr>
            </w:pPr>
            <w:r w:rsidRPr="00E42F5F">
              <w:rPr>
                <w:b/>
                <w:bCs/>
                <w:color w:val="000000"/>
              </w:rPr>
              <w:t>3</w:t>
            </w:r>
          </w:p>
        </w:tc>
        <w:tc>
          <w:tcPr>
            <w:tcW w:w="1880" w:type="dxa"/>
            <w:tcBorders>
              <w:top w:val="nil"/>
              <w:left w:val="nil"/>
              <w:bottom w:val="single" w:sz="8" w:space="0" w:color="auto"/>
              <w:right w:val="single" w:sz="8" w:space="0" w:color="auto"/>
            </w:tcBorders>
            <w:shd w:val="clear" w:color="000000" w:fill="92D050"/>
            <w:vAlign w:val="center"/>
            <w:hideMark/>
          </w:tcPr>
          <w:p w14:paraId="2BE5D433" w14:textId="77777777" w:rsidR="00D312DE" w:rsidRPr="00E42F5F" w:rsidRDefault="00D312DE" w:rsidP="00774DA8">
            <w:pPr>
              <w:jc w:val="center"/>
              <w:rPr>
                <w:b/>
                <w:bCs/>
                <w:color w:val="000000"/>
              </w:rPr>
            </w:pPr>
            <w:r w:rsidRPr="00E42F5F">
              <w:rPr>
                <w:b/>
                <w:bCs/>
                <w:color w:val="000000"/>
              </w:rPr>
              <w:t>200 000</w:t>
            </w:r>
          </w:p>
        </w:tc>
      </w:tr>
    </w:tbl>
    <w:p w14:paraId="4B3E3895" w14:textId="77777777" w:rsidR="00D312DE" w:rsidRDefault="00D312DE" w:rsidP="00D312DE">
      <w:pPr>
        <w:rPr>
          <w:rFonts w:eastAsia="Calibri"/>
          <w:b/>
          <w:sz w:val="24"/>
          <w:szCs w:val="24"/>
        </w:rPr>
      </w:pPr>
    </w:p>
    <w:p w14:paraId="2D0D81EC" w14:textId="77777777" w:rsidR="00D312DE" w:rsidRPr="00895898" w:rsidRDefault="00D312DE" w:rsidP="00D312DE">
      <w:pPr>
        <w:rPr>
          <w:rFonts w:eastAsia="Calibri"/>
          <w:b/>
          <w:sz w:val="24"/>
          <w:szCs w:val="24"/>
        </w:rPr>
        <w:sectPr w:rsidR="00D312DE" w:rsidRPr="00895898" w:rsidSect="00D312DE">
          <w:headerReference w:type="default" r:id="rId15"/>
          <w:pgSz w:w="11906" w:h="16838"/>
          <w:pgMar w:top="993" w:right="1417" w:bottom="1417" w:left="1417" w:header="708" w:footer="708" w:gutter="0"/>
          <w:cols w:space="708"/>
          <w:docGrid w:linePitch="360"/>
        </w:sectPr>
      </w:pPr>
    </w:p>
    <w:p w14:paraId="7A3E13BF" w14:textId="77777777" w:rsidR="00D312DE" w:rsidRPr="001F1B43" w:rsidRDefault="00D312DE" w:rsidP="00D312DE">
      <w:pPr>
        <w:rPr>
          <w:rFonts w:eastAsia="Calibri"/>
          <w:b/>
          <w:i/>
          <w:iCs/>
          <w:sz w:val="24"/>
          <w:szCs w:val="24"/>
        </w:rPr>
      </w:pPr>
      <w:r w:rsidRPr="001F1B43">
        <w:rPr>
          <w:rFonts w:eastAsia="Calibri"/>
          <w:b/>
          <w:i/>
          <w:iCs/>
          <w:sz w:val="24"/>
          <w:szCs w:val="24"/>
        </w:rPr>
        <w:lastRenderedPageBreak/>
        <w:t>3.1.2 Výpočty vplyvov jednotlivých regulácií na zmeny v nákladoch podnikateľov</w:t>
      </w:r>
      <w:r w:rsidRPr="00D8247C">
        <w:rPr>
          <w:rFonts w:eastAsia="Calibri"/>
          <w:i/>
          <w:sz w:val="24"/>
          <w:szCs w:val="24"/>
        </w:rPr>
        <w:tab/>
      </w:r>
      <w:r w:rsidRPr="00D8247C">
        <w:rPr>
          <w:rFonts w:eastAsia="Calibri"/>
          <w:i/>
          <w:sz w:val="24"/>
          <w:szCs w:val="24"/>
        </w:rPr>
        <w:tab/>
      </w:r>
      <w:r w:rsidRPr="00D8247C">
        <w:rPr>
          <w:rFonts w:eastAsia="Calibri"/>
          <w:i/>
          <w:sz w:val="24"/>
          <w:szCs w:val="24"/>
        </w:rPr>
        <w:tab/>
      </w:r>
      <w:r w:rsidRPr="00D8247C">
        <w:rPr>
          <w:rFonts w:eastAsia="Calibri"/>
          <w:i/>
          <w:sz w:val="24"/>
          <w:szCs w:val="24"/>
        </w:rPr>
        <w:tab/>
      </w:r>
      <w:r w:rsidRPr="00D8247C">
        <w:rPr>
          <w:rFonts w:eastAsia="Calibri"/>
          <w:i/>
          <w:sz w:val="24"/>
          <w:szCs w:val="24"/>
        </w:rPr>
        <w:tab/>
      </w:r>
      <w:r w:rsidRPr="00D8247C">
        <w:rPr>
          <w:rFonts w:eastAsia="Calibri"/>
          <w:i/>
          <w:sz w:val="24"/>
          <w:szCs w:val="24"/>
        </w:rPr>
        <w:tab/>
      </w:r>
      <w:r w:rsidRPr="00D8247C">
        <w:rPr>
          <w:rFonts w:eastAsia="Calibri"/>
          <w:i/>
          <w:sz w:val="24"/>
          <w:szCs w:val="24"/>
        </w:rPr>
        <w:tab/>
      </w:r>
      <w:r w:rsidRPr="00D8247C">
        <w:rPr>
          <w:rFonts w:eastAsia="Calibri"/>
          <w:i/>
          <w:sz w:val="24"/>
          <w:szCs w:val="24"/>
        </w:rPr>
        <w:tab/>
      </w:r>
    </w:p>
    <w:p w14:paraId="3A887E7F" w14:textId="77777777" w:rsidR="00D312DE" w:rsidRDefault="00D312DE" w:rsidP="00D312DE">
      <w:pPr>
        <w:jc w:val="both"/>
        <w:rPr>
          <w:rFonts w:eastAsia="Calibri"/>
          <w:i/>
          <w:sz w:val="24"/>
          <w:szCs w:val="24"/>
        </w:rPr>
      </w:pPr>
      <w:r w:rsidRPr="00D8247C">
        <w:rPr>
          <w:rFonts w:eastAsia="Calibri"/>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D312DE" w:rsidRPr="000A6B7F" w14:paraId="2AA06BE3" w14:textId="77777777" w:rsidTr="00774DA8">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169AE92" w14:textId="77777777" w:rsidR="00D312DE" w:rsidRPr="000A6B7F" w:rsidRDefault="00D312DE" w:rsidP="00774DA8">
            <w:pPr>
              <w:jc w:val="center"/>
              <w:rPr>
                <w:b/>
                <w:bCs/>
                <w:color w:val="000000"/>
              </w:rPr>
            </w:pPr>
            <w:r w:rsidRPr="000A6B7F">
              <w:rPr>
                <w:b/>
                <w:bCs/>
                <w:color w:val="000000"/>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E5AE81C" w14:textId="77777777" w:rsidR="00D312DE" w:rsidRPr="000A6B7F" w:rsidRDefault="00D312DE" w:rsidP="00774DA8">
            <w:pPr>
              <w:jc w:val="center"/>
              <w:rPr>
                <w:b/>
                <w:bCs/>
                <w:color w:val="000000"/>
              </w:rPr>
            </w:pPr>
            <w:r w:rsidRPr="000A6B7F">
              <w:rPr>
                <w:b/>
                <w:bCs/>
                <w:color w:val="000000"/>
              </w:rPr>
              <w:t xml:space="preserve">Zrozumiteľný a stručný opis regulácie </w:t>
            </w:r>
            <w:r w:rsidRPr="000A6B7F">
              <w:rPr>
                <w:b/>
                <w:bCs/>
                <w:color w:val="000000"/>
              </w:rPr>
              <w:br/>
              <w:t>(dôvod zvýšenia/zníženia nákladov na PP</w:t>
            </w:r>
            <w:r>
              <w:rPr>
                <w:b/>
                <w:bCs/>
                <w:color w:val="000000"/>
              </w:rPr>
              <w:t xml:space="preserve"> a dôvod ponechania nákladov na PP, ktoré sú goldplatngom</w:t>
            </w:r>
            <w:r w:rsidRPr="000A6B7F">
              <w:rPr>
                <w:b/>
                <w:bCs/>
                <w:color w:val="000000"/>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3087688B" w14:textId="77777777" w:rsidR="00D312DE" w:rsidRPr="000A6B7F" w:rsidRDefault="00D312DE" w:rsidP="00774DA8">
            <w:pPr>
              <w:jc w:val="center"/>
              <w:rPr>
                <w:b/>
                <w:bCs/>
                <w:color w:val="000000"/>
              </w:rPr>
            </w:pPr>
            <w:r w:rsidRPr="000A6B7F">
              <w:rPr>
                <w:b/>
                <w:bCs/>
                <w:color w:val="000000"/>
              </w:rPr>
              <w:t>Číslo normy</w:t>
            </w:r>
            <w:r w:rsidRPr="000A6B7F">
              <w:rPr>
                <w:b/>
                <w:bCs/>
                <w:color w:val="000000"/>
              </w:rPr>
              <w:br/>
            </w:r>
            <w:r w:rsidRPr="000A6B7F">
              <w:rPr>
                <w:color w:val="000000"/>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5C26566" w14:textId="77777777" w:rsidR="00D312DE" w:rsidRPr="000A6B7F" w:rsidRDefault="00D312DE" w:rsidP="00774DA8">
            <w:pPr>
              <w:jc w:val="center"/>
              <w:rPr>
                <w:b/>
                <w:bCs/>
                <w:color w:val="000000"/>
              </w:rPr>
            </w:pPr>
            <w:r w:rsidRPr="000A6B7F">
              <w:rPr>
                <w:b/>
                <w:bCs/>
                <w:color w:val="000000"/>
              </w:rPr>
              <w:t>Lokalizácia</w:t>
            </w:r>
            <w:r w:rsidRPr="000A6B7F">
              <w:rPr>
                <w:b/>
                <w:bCs/>
                <w:color w:val="000000"/>
              </w:rPr>
              <w:br/>
              <w:t>(§, ods.</w:t>
            </w:r>
            <w:r>
              <w:rPr>
                <w:b/>
                <w:bCs/>
                <w:color w:val="000000"/>
              </w:rPr>
              <w:t>, čl.,...</w:t>
            </w:r>
            <w:r w:rsidRPr="000A6B7F">
              <w:rPr>
                <w:b/>
                <w:bCs/>
                <w:color w:val="000000"/>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B8F025" w14:textId="77777777" w:rsidR="00D312DE" w:rsidRDefault="00D312DE" w:rsidP="00774DA8">
            <w:pPr>
              <w:jc w:val="center"/>
              <w:rPr>
                <w:color w:val="000000"/>
              </w:rPr>
            </w:pPr>
            <w:r w:rsidRPr="000A6B7F">
              <w:rPr>
                <w:b/>
                <w:bCs/>
                <w:color w:val="000000"/>
              </w:rPr>
              <w:t xml:space="preserve">Pôvod regulácie: </w:t>
            </w:r>
            <w:r w:rsidRPr="000A6B7F">
              <w:rPr>
                <w:b/>
                <w:bCs/>
                <w:color w:val="000000"/>
              </w:rPr>
              <w:br/>
            </w:r>
            <w:r>
              <w:rPr>
                <w:color w:val="000000"/>
              </w:rPr>
              <w:t>SK</w:t>
            </w:r>
            <w:r w:rsidRPr="000A6B7F">
              <w:rPr>
                <w:color w:val="000000"/>
              </w:rPr>
              <w:t>/EÚ úplná harm./</w:t>
            </w:r>
          </w:p>
          <w:p w14:paraId="5AE1791B" w14:textId="77777777" w:rsidR="00D312DE" w:rsidRPr="000A6B7F" w:rsidRDefault="00D312DE" w:rsidP="00774DA8">
            <w:pPr>
              <w:jc w:val="center"/>
              <w:rPr>
                <w:b/>
                <w:bCs/>
                <w:color w:val="000000"/>
              </w:rPr>
            </w:pPr>
            <w:r>
              <w:rPr>
                <w:color w:val="000000"/>
              </w:rPr>
              <w:t>G</w:t>
            </w:r>
            <w:r w:rsidRPr="000A6B7F">
              <w:rPr>
                <w:color w:val="000000"/>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EFED75" w14:textId="77777777" w:rsidR="00D312DE" w:rsidRPr="000A6B7F" w:rsidRDefault="00D312DE" w:rsidP="00774DA8">
            <w:pPr>
              <w:jc w:val="center"/>
              <w:rPr>
                <w:b/>
                <w:bCs/>
                <w:color w:val="000000"/>
              </w:rPr>
            </w:pPr>
            <w:r w:rsidRPr="000A6B7F">
              <w:rPr>
                <w:b/>
                <w:bCs/>
                <w:color w:val="000000"/>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756385" w14:textId="77777777" w:rsidR="00D312DE" w:rsidRPr="000A6B7F" w:rsidRDefault="00D312DE" w:rsidP="00774DA8">
            <w:pPr>
              <w:jc w:val="center"/>
              <w:rPr>
                <w:b/>
                <w:bCs/>
                <w:color w:val="000000"/>
              </w:rPr>
            </w:pPr>
            <w:r w:rsidRPr="000A6B7F">
              <w:rPr>
                <w:b/>
                <w:bCs/>
                <w:color w:val="000000"/>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7799C4" w14:textId="77777777" w:rsidR="00D312DE" w:rsidRDefault="00D312DE" w:rsidP="00774DA8">
            <w:pPr>
              <w:jc w:val="center"/>
              <w:rPr>
                <w:b/>
                <w:bCs/>
                <w:color w:val="000000"/>
              </w:rPr>
            </w:pPr>
            <w:r w:rsidRPr="00895898">
              <w:rPr>
                <w:b/>
                <w:bCs/>
                <w:color w:val="000000"/>
              </w:rPr>
              <w:t xml:space="preserve">Počet </w:t>
            </w:r>
          </w:p>
          <w:p w14:paraId="6652D3BC" w14:textId="77777777" w:rsidR="00D312DE" w:rsidRPr="00895898" w:rsidRDefault="00D312DE" w:rsidP="00774DA8">
            <w:pPr>
              <w:jc w:val="center"/>
              <w:rPr>
                <w:b/>
                <w:bCs/>
                <w:color w:val="000000"/>
              </w:rPr>
            </w:pPr>
            <w:r>
              <w:rPr>
                <w:b/>
                <w:bCs/>
                <w:color w:val="000000"/>
              </w:rPr>
              <w:t>dotk.</w:t>
            </w:r>
            <w:r w:rsidRPr="00895898">
              <w:rPr>
                <w:b/>
                <w:bCs/>
                <w:color w:val="000000"/>
              </w:rPr>
              <w:t xml:space="preserve"> subjektov </w:t>
            </w:r>
            <w:r>
              <w:rPr>
                <w:b/>
                <w:bCs/>
                <w:color w:val="000000"/>
              </w:rPr>
              <w:t>spolu</w:t>
            </w:r>
            <w:r w:rsidRPr="00895898">
              <w:rPr>
                <w:b/>
                <w:bCs/>
                <w:color w:val="00000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291C3EB" w14:textId="77777777" w:rsidR="00D312DE" w:rsidRPr="000A6B7F" w:rsidRDefault="00D312DE" w:rsidP="00774DA8">
            <w:pPr>
              <w:jc w:val="center"/>
              <w:rPr>
                <w:b/>
                <w:bCs/>
                <w:color w:val="000000"/>
              </w:rPr>
            </w:pPr>
            <w:r w:rsidRPr="000A6B7F">
              <w:rPr>
                <w:b/>
                <w:bCs/>
                <w:color w:val="000000"/>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15C211" w14:textId="77777777" w:rsidR="00D312DE" w:rsidRPr="000A6B7F" w:rsidRDefault="00D312DE" w:rsidP="00774DA8">
            <w:pPr>
              <w:jc w:val="center"/>
              <w:rPr>
                <w:b/>
                <w:bCs/>
                <w:color w:val="000000"/>
              </w:rPr>
            </w:pPr>
            <w:r>
              <w:rPr>
                <w:b/>
                <w:bCs/>
                <w:color w:val="000000"/>
              </w:rPr>
              <w:t>Vplyv na kateg. dotk. subjekt.</w:t>
            </w:r>
            <w:r w:rsidRPr="000A6B7F">
              <w:rPr>
                <w:b/>
                <w:bCs/>
                <w:color w:val="000000"/>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C3131E" w14:textId="77777777" w:rsidR="00D312DE" w:rsidRPr="00895898" w:rsidRDefault="00D312DE" w:rsidP="00774DA8">
            <w:pPr>
              <w:jc w:val="center"/>
              <w:rPr>
                <w:bCs/>
                <w:color w:val="000000"/>
              </w:rPr>
            </w:pPr>
            <w:r w:rsidRPr="000A6B7F">
              <w:rPr>
                <w:b/>
                <w:bCs/>
                <w:color w:val="000000"/>
              </w:rPr>
              <w:t>Druh vplyvu</w:t>
            </w:r>
            <w:r w:rsidRPr="000A6B7F">
              <w:rPr>
                <w:b/>
                <w:bCs/>
                <w:color w:val="000000"/>
              </w:rPr>
              <w:br/>
            </w:r>
            <w:r w:rsidRPr="00895898">
              <w:rPr>
                <w:bCs/>
                <w:color w:val="000000"/>
              </w:rPr>
              <w:t xml:space="preserve">In (zvyšuje náklady) / </w:t>
            </w:r>
          </w:p>
          <w:p w14:paraId="44C13300" w14:textId="77777777" w:rsidR="00D312DE" w:rsidRPr="00895898" w:rsidRDefault="00D312DE" w:rsidP="00774DA8">
            <w:pPr>
              <w:jc w:val="center"/>
              <w:rPr>
                <w:b/>
                <w:bCs/>
                <w:color w:val="000000"/>
              </w:rPr>
            </w:pPr>
            <w:r w:rsidRPr="00895898">
              <w:rPr>
                <w:bCs/>
                <w:color w:val="000000"/>
              </w:rPr>
              <w:t>Out (znižuje náklady</w:t>
            </w:r>
            <w:r w:rsidRPr="00895898">
              <w:rPr>
                <w:b/>
                <w:bCs/>
                <w:color w:val="000000"/>
              </w:rPr>
              <w:t>)</w:t>
            </w:r>
          </w:p>
          <w:p w14:paraId="42CE5D51" w14:textId="77777777" w:rsidR="00D312DE" w:rsidRPr="000A6B7F" w:rsidRDefault="00D312DE" w:rsidP="00774DA8">
            <w:pPr>
              <w:jc w:val="center"/>
              <w:rPr>
                <w:b/>
                <w:bCs/>
                <w:color w:val="000000"/>
              </w:rPr>
            </w:pPr>
            <w:r w:rsidRPr="000A6B7F">
              <w:rPr>
                <w:color w:val="000000"/>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DECFDC" w14:textId="77777777" w:rsidR="00D312DE" w:rsidRPr="006B5D74" w:rsidRDefault="00D312DE" w:rsidP="00774DA8">
            <w:pPr>
              <w:jc w:val="center"/>
              <w:rPr>
                <w:b/>
                <w:bCs/>
                <w:color w:val="000000"/>
                <w:sz w:val="18"/>
                <w:szCs w:val="18"/>
              </w:rPr>
            </w:pPr>
            <w:r w:rsidRPr="006B5D74">
              <w:rPr>
                <w:b/>
                <w:bCs/>
                <w:color w:val="000000"/>
                <w:sz w:val="18"/>
                <w:szCs w:val="18"/>
              </w:rPr>
              <w:t>1in</w:t>
            </w:r>
          </w:p>
          <w:p w14:paraId="5BD8DFD2" w14:textId="77777777" w:rsidR="00D312DE" w:rsidRPr="006B5D74" w:rsidRDefault="00D312DE" w:rsidP="00774DA8">
            <w:pPr>
              <w:jc w:val="center"/>
              <w:rPr>
                <w:b/>
                <w:bCs/>
                <w:color w:val="000000"/>
                <w:sz w:val="18"/>
                <w:szCs w:val="18"/>
              </w:rPr>
            </w:pPr>
            <w:r w:rsidRPr="006B5D74">
              <w:rPr>
                <w:b/>
                <w:bCs/>
                <w:color w:val="000000"/>
                <w:sz w:val="18"/>
                <w:szCs w:val="18"/>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0F5E46" w14:textId="77777777" w:rsidR="00D312DE" w:rsidRPr="006B5D74" w:rsidRDefault="00D312DE" w:rsidP="00774DA8">
            <w:pPr>
              <w:jc w:val="center"/>
              <w:rPr>
                <w:b/>
                <w:bCs/>
                <w:color w:val="000000"/>
                <w:sz w:val="18"/>
                <w:szCs w:val="18"/>
              </w:rPr>
            </w:pPr>
            <w:r w:rsidRPr="006B5D74">
              <w:rPr>
                <w:b/>
                <w:bCs/>
                <w:color w:val="000000"/>
                <w:sz w:val="18"/>
                <w:szCs w:val="18"/>
              </w:rPr>
              <w:t>Goldplating celkom</w:t>
            </w:r>
          </w:p>
        </w:tc>
      </w:tr>
      <w:tr w:rsidR="00D312DE" w:rsidRPr="00895898" w14:paraId="1EA80B04" w14:textId="77777777" w:rsidTr="00774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757AFBD" w14:textId="77777777" w:rsidR="00D312DE" w:rsidRPr="00DC1553" w:rsidRDefault="00D312DE" w:rsidP="00774DA8">
            <w:r w:rsidRPr="00DC1553">
              <w:rPr>
                <w:color w:val="000000"/>
              </w:rPr>
              <w:t>1</w:t>
            </w:r>
          </w:p>
        </w:tc>
        <w:tc>
          <w:tcPr>
            <w:tcW w:w="1740" w:type="dxa"/>
            <w:shd w:val="clear" w:color="auto" w:fill="auto"/>
            <w:vAlign w:val="center"/>
          </w:tcPr>
          <w:p w14:paraId="29FDE26B" w14:textId="77777777" w:rsidR="00D312DE" w:rsidRPr="00DC1553" w:rsidRDefault="00D312DE" w:rsidP="00774DA8">
            <w:r w:rsidRPr="00DC1553">
              <w:rPr>
                <w:color w:val="000000"/>
              </w:rPr>
              <w:t>poskytnutie príspevku v civilnom letectve na nový účel</w:t>
            </w:r>
          </w:p>
        </w:tc>
        <w:tc>
          <w:tcPr>
            <w:tcW w:w="992" w:type="dxa"/>
            <w:vAlign w:val="center"/>
          </w:tcPr>
          <w:p w14:paraId="0BE3E6E9" w14:textId="77777777" w:rsidR="00D312DE" w:rsidRPr="00DC1553" w:rsidRDefault="00D312DE" w:rsidP="00774DA8">
            <w:r w:rsidRPr="00DC1553">
              <w:rPr>
                <w:color w:val="000000"/>
              </w:rPr>
              <w:t>návrh zákona</w:t>
            </w:r>
          </w:p>
        </w:tc>
        <w:tc>
          <w:tcPr>
            <w:tcW w:w="1134" w:type="dxa"/>
            <w:vAlign w:val="center"/>
          </w:tcPr>
          <w:p w14:paraId="411E296C" w14:textId="77777777" w:rsidR="00D312DE" w:rsidRPr="00DC1553" w:rsidRDefault="00D312DE" w:rsidP="00774DA8">
            <w:r w:rsidRPr="00DC1553">
              <w:rPr>
                <w:color w:val="000000"/>
              </w:rPr>
              <w:t>čl. I, novelizačný bod 11 (§ 16 ods. 1)</w:t>
            </w:r>
          </w:p>
        </w:tc>
        <w:tc>
          <w:tcPr>
            <w:tcW w:w="1843" w:type="dxa"/>
            <w:shd w:val="clear" w:color="auto" w:fill="auto"/>
            <w:vAlign w:val="center"/>
          </w:tcPr>
          <w:p w14:paraId="3D27F797" w14:textId="77777777" w:rsidR="00D312DE" w:rsidRPr="00DC1553" w:rsidRDefault="00D312DE" w:rsidP="00774DA8">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DC1553">
              <w:rPr>
                <w:rFonts w:ascii="Times New Roman" w:hAnsi="Times New Roman" w:cs="Times New Roman"/>
                <w:color w:val="000000"/>
                <w:sz w:val="20"/>
                <w:szCs w:val="20"/>
              </w:rPr>
              <w:t>1.SK</w:t>
            </w:r>
          </w:p>
        </w:tc>
        <w:tc>
          <w:tcPr>
            <w:tcW w:w="992" w:type="dxa"/>
            <w:vAlign w:val="center"/>
          </w:tcPr>
          <w:p w14:paraId="41523026" w14:textId="77777777" w:rsidR="00D312DE" w:rsidRPr="00DC1553" w:rsidRDefault="00D312DE" w:rsidP="00774DA8">
            <w:pPr>
              <w:rPr>
                <w:color w:val="000000"/>
              </w:rPr>
            </w:pPr>
            <w:r w:rsidRPr="00DC1553">
              <w:rPr>
                <w:color w:val="000000"/>
              </w:rPr>
              <w:t>01.</w:t>
            </w:r>
            <w:r>
              <w:rPr>
                <w:color w:val="000000"/>
              </w:rPr>
              <w:t>01</w:t>
            </w:r>
            <w:r w:rsidRPr="00DC1553">
              <w:rPr>
                <w:color w:val="000000"/>
              </w:rPr>
              <w:t>.24</w:t>
            </w:r>
          </w:p>
        </w:tc>
        <w:tc>
          <w:tcPr>
            <w:tcW w:w="1160" w:type="dxa"/>
            <w:shd w:val="clear" w:color="auto" w:fill="auto"/>
            <w:noWrap/>
            <w:vAlign w:val="center"/>
          </w:tcPr>
          <w:p w14:paraId="090E08E9" w14:textId="77777777" w:rsidR="00D312DE" w:rsidRPr="00DC1553" w:rsidRDefault="00D312DE" w:rsidP="00774DA8">
            <w:pPr>
              <w:rPr>
                <w:color w:val="000000"/>
              </w:rPr>
            </w:pPr>
            <w:r w:rsidRPr="00DC1553">
              <w:rPr>
                <w:color w:val="000000"/>
              </w:rPr>
              <w:t>leteckí dopravcovia</w:t>
            </w:r>
          </w:p>
        </w:tc>
        <w:tc>
          <w:tcPr>
            <w:tcW w:w="1108" w:type="dxa"/>
            <w:vAlign w:val="center"/>
          </w:tcPr>
          <w:p w14:paraId="7A7883B8" w14:textId="77777777" w:rsidR="00D312DE" w:rsidRPr="00DC1553" w:rsidRDefault="00D312DE" w:rsidP="00774DA8">
            <w:r w:rsidRPr="00DC1553">
              <w:rPr>
                <w:color w:val="000000"/>
              </w:rPr>
              <w:t xml:space="preserve">1 </w:t>
            </w:r>
          </w:p>
        </w:tc>
        <w:tc>
          <w:tcPr>
            <w:tcW w:w="851" w:type="dxa"/>
            <w:shd w:val="clear" w:color="auto" w:fill="auto"/>
            <w:noWrap/>
            <w:vAlign w:val="center"/>
          </w:tcPr>
          <w:p w14:paraId="7C622912" w14:textId="77777777" w:rsidR="00D312DE" w:rsidRPr="00DC1553" w:rsidRDefault="00D312DE" w:rsidP="00774DA8">
            <w:r w:rsidRPr="00DC1553">
              <w:rPr>
                <w:color w:val="000000"/>
              </w:rPr>
              <w:t>3</w:t>
            </w:r>
          </w:p>
        </w:tc>
        <w:tc>
          <w:tcPr>
            <w:tcW w:w="843" w:type="dxa"/>
            <w:shd w:val="clear" w:color="auto" w:fill="auto"/>
            <w:noWrap/>
            <w:vAlign w:val="center"/>
          </w:tcPr>
          <w:p w14:paraId="5CCE81DC" w14:textId="77777777" w:rsidR="00D312DE" w:rsidRPr="00DC1553" w:rsidRDefault="00D312DE" w:rsidP="00774DA8">
            <w:pPr>
              <w:rPr>
                <w:color w:val="000000"/>
              </w:rPr>
            </w:pPr>
            <w:r w:rsidRPr="00DC1553">
              <w:rPr>
                <w:color w:val="000000"/>
              </w:rPr>
              <w:t>3</w:t>
            </w:r>
          </w:p>
        </w:tc>
        <w:tc>
          <w:tcPr>
            <w:tcW w:w="1000" w:type="dxa"/>
            <w:shd w:val="clear" w:color="auto" w:fill="auto"/>
            <w:noWrap/>
            <w:vAlign w:val="center"/>
          </w:tcPr>
          <w:p w14:paraId="7958CB88" w14:textId="77777777" w:rsidR="00D312DE" w:rsidRPr="00DC1553" w:rsidRDefault="00D312DE" w:rsidP="00774DA8">
            <w:r w:rsidRPr="00DC1553">
              <w:rPr>
                <w:color w:val="000000"/>
              </w:rPr>
              <w:t>In (zvyšuje náklady)</w:t>
            </w:r>
          </w:p>
        </w:tc>
        <w:tc>
          <w:tcPr>
            <w:tcW w:w="708" w:type="dxa"/>
            <w:shd w:val="clear" w:color="auto" w:fill="auto"/>
            <w:noWrap/>
            <w:vAlign w:val="center"/>
          </w:tcPr>
          <w:p w14:paraId="5E850ED9" w14:textId="77777777" w:rsidR="00D312DE" w:rsidRPr="00DC1553" w:rsidRDefault="00D312DE" w:rsidP="00774DA8">
            <w:pPr>
              <w:rPr>
                <w:color w:val="000000"/>
              </w:rPr>
            </w:pPr>
            <w:r w:rsidRPr="00DC1553">
              <w:t>3</w:t>
            </w:r>
          </w:p>
        </w:tc>
        <w:tc>
          <w:tcPr>
            <w:tcW w:w="1134" w:type="dxa"/>
            <w:vAlign w:val="center"/>
          </w:tcPr>
          <w:p w14:paraId="31979125" w14:textId="77777777" w:rsidR="00D312DE" w:rsidRPr="00DC1553" w:rsidRDefault="00D312DE" w:rsidP="00774DA8">
            <w:r w:rsidRPr="00DC1553">
              <w:rPr>
                <w:color w:val="000000"/>
              </w:rPr>
              <w:t>0</w:t>
            </w:r>
          </w:p>
        </w:tc>
      </w:tr>
      <w:tr w:rsidR="00D312DE" w:rsidRPr="00895898" w14:paraId="7C26EEF6" w14:textId="77777777" w:rsidTr="00774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FBB5260" w14:textId="77777777" w:rsidR="00D312DE" w:rsidRPr="00DC1553" w:rsidRDefault="00D312DE" w:rsidP="00774DA8">
            <w:r w:rsidRPr="00DC1553">
              <w:rPr>
                <w:color w:val="000000"/>
              </w:rPr>
              <w:t>2</w:t>
            </w:r>
          </w:p>
        </w:tc>
        <w:tc>
          <w:tcPr>
            <w:tcW w:w="1740" w:type="dxa"/>
            <w:shd w:val="clear" w:color="auto" w:fill="auto"/>
            <w:vAlign w:val="center"/>
          </w:tcPr>
          <w:p w14:paraId="4053F003" w14:textId="77777777" w:rsidR="00D312DE" w:rsidRPr="00DC1553" w:rsidRDefault="00D312DE" w:rsidP="00774DA8">
            <w:r w:rsidRPr="00DC1553">
              <w:rPr>
                <w:color w:val="000000"/>
              </w:rPr>
              <w:t>poskytnutie príspevku v civilnom letectve na nový účel</w:t>
            </w:r>
          </w:p>
        </w:tc>
        <w:tc>
          <w:tcPr>
            <w:tcW w:w="992" w:type="dxa"/>
            <w:vAlign w:val="center"/>
          </w:tcPr>
          <w:p w14:paraId="6F2B7356" w14:textId="77777777" w:rsidR="00D312DE" w:rsidRPr="00DC1553" w:rsidRDefault="00D312DE" w:rsidP="00774DA8">
            <w:r w:rsidRPr="00DC1553">
              <w:rPr>
                <w:color w:val="000000"/>
              </w:rPr>
              <w:t>návrh zákona</w:t>
            </w:r>
          </w:p>
        </w:tc>
        <w:tc>
          <w:tcPr>
            <w:tcW w:w="1134" w:type="dxa"/>
            <w:vAlign w:val="center"/>
          </w:tcPr>
          <w:p w14:paraId="70F498AF" w14:textId="77777777" w:rsidR="00D312DE" w:rsidRPr="00DC1553" w:rsidRDefault="00D312DE" w:rsidP="00774DA8">
            <w:r w:rsidRPr="00DC1553">
              <w:rPr>
                <w:color w:val="000000"/>
              </w:rPr>
              <w:t>čl. I, novelizačný bod 2 (§ 12 ods. 3 nové písm. g)</w:t>
            </w:r>
          </w:p>
        </w:tc>
        <w:tc>
          <w:tcPr>
            <w:tcW w:w="1843" w:type="dxa"/>
            <w:shd w:val="clear" w:color="auto" w:fill="auto"/>
            <w:vAlign w:val="center"/>
          </w:tcPr>
          <w:p w14:paraId="729267E2" w14:textId="77777777" w:rsidR="00D312DE" w:rsidRPr="00DC1553" w:rsidDel="00801596" w:rsidRDefault="00D312DE" w:rsidP="00774DA8">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DC1553">
              <w:rPr>
                <w:rFonts w:ascii="Times New Roman" w:hAnsi="Times New Roman" w:cs="Times New Roman"/>
                <w:color w:val="000000"/>
                <w:sz w:val="20"/>
                <w:szCs w:val="20"/>
              </w:rPr>
              <w:t>1.SK</w:t>
            </w:r>
          </w:p>
        </w:tc>
        <w:tc>
          <w:tcPr>
            <w:tcW w:w="992" w:type="dxa"/>
            <w:vAlign w:val="center"/>
          </w:tcPr>
          <w:p w14:paraId="75A8421C" w14:textId="77777777" w:rsidR="00D312DE" w:rsidRPr="00DC1553" w:rsidRDefault="00D312DE" w:rsidP="00774DA8">
            <w:pPr>
              <w:rPr>
                <w:color w:val="000000"/>
              </w:rPr>
            </w:pPr>
            <w:r>
              <w:rPr>
                <w:color w:val="000000"/>
              </w:rPr>
              <w:t>01.01</w:t>
            </w:r>
            <w:r w:rsidRPr="00DC1553">
              <w:rPr>
                <w:color w:val="000000"/>
              </w:rPr>
              <w:t>.24</w:t>
            </w:r>
          </w:p>
        </w:tc>
        <w:tc>
          <w:tcPr>
            <w:tcW w:w="1160" w:type="dxa"/>
            <w:shd w:val="clear" w:color="auto" w:fill="auto"/>
            <w:noWrap/>
            <w:vAlign w:val="center"/>
          </w:tcPr>
          <w:p w14:paraId="52FD137F" w14:textId="77777777" w:rsidR="00D312DE" w:rsidRPr="00DC1553" w:rsidRDefault="00D312DE" w:rsidP="00774DA8">
            <w:pPr>
              <w:rPr>
                <w:color w:val="000000"/>
              </w:rPr>
            </w:pPr>
            <w:r w:rsidRPr="00DC1553">
              <w:rPr>
                <w:color w:val="000000"/>
              </w:rPr>
              <w:t>leteckí dopravcovia</w:t>
            </w:r>
          </w:p>
        </w:tc>
        <w:tc>
          <w:tcPr>
            <w:tcW w:w="1108" w:type="dxa"/>
            <w:vAlign w:val="center"/>
          </w:tcPr>
          <w:p w14:paraId="51E1DB8F" w14:textId="77777777" w:rsidR="00D312DE" w:rsidRPr="00DC1553" w:rsidRDefault="00D312DE" w:rsidP="00774DA8">
            <w:r w:rsidRPr="00DC1553">
              <w:rPr>
                <w:color w:val="000000"/>
              </w:rPr>
              <w:t xml:space="preserve">1 </w:t>
            </w:r>
          </w:p>
        </w:tc>
        <w:tc>
          <w:tcPr>
            <w:tcW w:w="851" w:type="dxa"/>
            <w:shd w:val="clear" w:color="auto" w:fill="auto"/>
            <w:noWrap/>
            <w:vAlign w:val="center"/>
          </w:tcPr>
          <w:p w14:paraId="60B0D06B" w14:textId="77777777" w:rsidR="00D312DE" w:rsidRPr="00DC1553" w:rsidRDefault="00D312DE" w:rsidP="00774DA8">
            <w:r w:rsidRPr="00DC1553">
              <w:rPr>
                <w:color w:val="000000"/>
              </w:rPr>
              <w:t>200 000</w:t>
            </w:r>
          </w:p>
        </w:tc>
        <w:tc>
          <w:tcPr>
            <w:tcW w:w="843" w:type="dxa"/>
            <w:shd w:val="clear" w:color="auto" w:fill="auto"/>
            <w:noWrap/>
            <w:vAlign w:val="center"/>
          </w:tcPr>
          <w:p w14:paraId="7A38800B" w14:textId="77777777" w:rsidR="00D312DE" w:rsidRPr="00DC1553" w:rsidRDefault="00D312DE" w:rsidP="00774DA8">
            <w:pPr>
              <w:rPr>
                <w:color w:val="000000"/>
              </w:rPr>
            </w:pPr>
            <w:r w:rsidRPr="00DC1553">
              <w:rPr>
                <w:color w:val="000000"/>
              </w:rPr>
              <w:t>200 000</w:t>
            </w:r>
          </w:p>
        </w:tc>
        <w:tc>
          <w:tcPr>
            <w:tcW w:w="1000" w:type="dxa"/>
            <w:shd w:val="clear" w:color="auto" w:fill="auto"/>
            <w:noWrap/>
            <w:vAlign w:val="center"/>
          </w:tcPr>
          <w:p w14:paraId="64952AC4" w14:textId="77777777" w:rsidR="00D312DE" w:rsidRPr="00DC1553" w:rsidRDefault="00D312DE" w:rsidP="00774DA8">
            <w:r w:rsidRPr="00DC1553">
              <w:rPr>
                <w:color w:val="000000"/>
              </w:rPr>
              <w:t>Out (znižuje náklady)</w:t>
            </w:r>
          </w:p>
        </w:tc>
        <w:tc>
          <w:tcPr>
            <w:tcW w:w="708" w:type="dxa"/>
            <w:shd w:val="clear" w:color="auto" w:fill="auto"/>
            <w:noWrap/>
            <w:vAlign w:val="center"/>
          </w:tcPr>
          <w:p w14:paraId="49969C4F" w14:textId="77777777" w:rsidR="00D312DE" w:rsidRPr="00DC1553" w:rsidRDefault="00D312DE" w:rsidP="00774DA8">
            <w:pPr>
              <w:rPr>
                <w:color w:val="000000"/>
              </w:rPr>
            </w:pPr>
            <w:r w:rsidRPr="00DC1553">
              <w:t>200 000</w:t>
            </w:r>
          </w:p>
        </w:tc>
        <w:tc>
          <w:tcPr>
            <w:tcW w:w="1134" w:type="dxa"/>
            <w:vAlign w:val="center"/>
          </w:tcPr>
          <w:p w14:paraId="31F76D40" w14:textId="77777777" w:rsidR="00D312DE" w:rsidRPr="00DC1553" w:rsidRDefault="00D312DE" w:rsidP="00774DA8">
            <w:r w:rsidRPr="00DC1553">
              <w:rPr>
                <w:color w:val="000000"/>
              </w:rPr>
              <w:t>0</w:t>
            </w:r>
          </w:p>
        </w:tc>
      </w:tr>
      <w:tr w:rsidR="00D312DE" w:rsidRPr="00895898" w14:paraId="3DF2A342" w14:textId="77777777" w:rsidTr="00774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CAA54D7" w14:textId="77777777" w:rsidR="00D312DE" w:rsidRPr="00895898" w:rsidRDefault="00D312DE" w:rsidP="00774DA8"/>
        </w:tc>
        <w:tc>
          <w:tcPr>
            <w:tcW w:w="1740" w:type="dxa"/>
            <w:shd w:val="clear" w:color="auto" w:fill="auto"/>
            <w:vAlign w:val="center"/>
          </w:tcPr>
          <w:p w14:paraId="2D85B784" w14:textId="77777777" w:rsidR="00D312DE" w:rsidRPr="00895898" w:rsidRDefault="00D312DE" w:rsidP="00774DA8"/>
        </w:tc>
        <w:tc>
          <w:tcPr>
            <w:tcW w:w="992" w:type="dxa"/>
          </w:tcPr>
          <w:p w14:paraId="7DDDFCB8" w14:textId="77777777" w:rsidR="00D312DE" w:rsidRPr="00895898" w:rsidRDefault="00D312DE" w:rsidP="00774DA8"/>
        </w:tc>
        <w:tc>
          <w:tcPr>
            <w:tcW w:w="1134" w:type="dxa"/>
          </w:tcPr>
          <w:p w14:paraId="483520C5" w14:textId="77777777" w:rsidR="00D312DE" w:rsidRPr="00895898" w:rsidRDefault="00D312DE" w:rsidP="00774DA8"/>
        </w:tc>
        <w:tc>
          <w:tcPr>
            <w:tcW w:w="1843" w:type="dxa"/>
            <w:shd w:val="clear" w:color="auto" w:fill="auto"/>
            <w:vAlign w:val="center"/>
          </w:tcPr>
          <w:p w14:paraId="3936FE35" w14:textId="77777777" w:rsidR="00D312DE" w:rsidDel="00801596" w:rsidRDefault="00D312DE" w:rsidP="00774DA8">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0DC30C87" w14:textId="77777777" w:rsidR="00D312DE" w:rsidRPr="00895898" w:rsidRDefault="00D312DE" w:rsidP="00774DA8">
            <w:pPr>
              <w:rPr>
                <w:color w:val="000000"/>
              </w:rPr>
            </w:pPr>
          </w:p>
        </w:tc>
        <w:tc>
          <w:tcPr>
            <w:tcW w:w="1160" w:type="dxa"/>
            <w:shd w:val="clear" w:color="auto" w:fill="auto"/>
            <w:noWrap/>
            <w:vAlign w:val="center"/>
          </w:tcPr>
          <w:p w14:paraId="0EC43F48" w14:textId="77777777" w:rsidR="00D312DE" w:rsidRPr="00895898" w:rsidRDefault="00D312DE" w:rsidP="00774DA8">
            <w:pPr>
              <w:rPr>
                <w:color w:val="000000"/>
              </w:rPr>
            </w:pPr>
          </w:p>
        </w:tc>
        <w:tc>
          <w:tcPr>
            <w:tcW w:w="1108" w:type="dxa"/>
          </w:tcPr>
          <w:p w14:paraId="19BC7564" w14:textId="77777777" w:rsidR="00D312DE" w:rsidRPr="00895898" w:rsidRDefault="00D312DE" w:rsidP="00774DA8"/>
        </w:tc>
        <w:tc>
          <w:tcPr>
            <w:tcW w:w="851" w:type="dxa"/>
            <w:shd w:val="clear" w:color="auto" w:fill="auto"/>
            <w:noWrap/>
            <w:vAlign w:val="center"/>
          </w:tcPr>
          <w:p w14:paraId="6DF034B3" w14:textId="77777777" w:rsidR="00D312DE" w:rsidRPr="00895898" w:rsidRDefault="00D312DE" w:rsidP="00774DA8"/>
        </w:tc>
        <w:tc>
          <w:tcPr>
            <w:tcW w:w="843" w:type="dxa"/>
            <w:shd w:val="clear" w:color="auto" w:fill="auto"/>
            <w:noWrap/>
            <w:vAlign w:val="center"/>
          </w:tcPr>
          <w:p w14:paraId="332299C9" w14:textId="77777777" w:rsidR="00D312DE" w:rsidRPr="00895898" w:rsidRDefault="00D312DE" w:rsidP="00774DA8">
            <w:pPr>
              <w:rPr>
                <w:color w:val="000000"/>
              </w:rPr>
            </w:pPr>
          </w:p>
        </w:tc>
        <w:tc>
          <w:tcPr>
            <w:tcW w:w="1000" w:type="dxa"/>
            <w:shd w:val="clear" w:color="auto" w:fill="auto"/>
            <w:noWrap/>
            <w:vAlign w:val="center"/>
          </w:tcPr>
          <w:p w14:paraId="51727714" w14:textId="77777777" w:rsidR="00D312DE" w:rsidRPr="00895898" w:rsidRDefault="00D312DE" w:rsidP="00774DA8"/>
        </w:tc>
        <w:tc>
          <w:tcPr>
            <w:tcW w:w="708" w:type="dxa"/>
            <w:shd w:val="clear" w:color="auto" w:fill="auto"/>
            <w:noWrap/>
            <w:vAlign w:val="center"/>
          </w:tcPr>
          <w:p w14:paraId="2F4F29E9" w14:textId="77777777" w:rsidR="00D312DE" w:rsidRPr="00895898" w:rsidRDefault="00D312DE" w:rsidP="00774DA8">
            <w:pPr>
              <w:rPr>
                <w:color w:val="000000"/>
              </w:rPr>
            </w:pPr>
          </w:p>
        </w:tc>
        <w:tc>
          <w:tcPr>
            <w:tcW w:w="1134" w:type="dxa"/>
            <w:vAlign w:val="center"/>
          </w:tcPr>
          <w:p w14:paraId="0B079BDA" w14:textId="77777777" w:rsidR="00D312DE" w:rsidRPr="00895898" w:rsidRDefault="00D312DE" w:rsidP="00774DA8"/>
        </w:tc>
      </w:tr>
      <w:tr w:rsidR="00D312DE" w:rsidRPr="00895898" w14:paraId="2701A8E0" w14:textId="77777777" w:rsidTr="00774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06DE322" w14:textId="77777777" w:rsidR="00D312DE" w:rsidRPr="00895898" w:rsidRDefault="00D312DE" w:rsidP="00774DA8"/>
        </w:tc>
        <w:tc>
          <w:tcPr>
            <w:tcW w:w="1740" w:type="dxa"/>
            <w:shd w:val="clear" w:color="auto" w:fill="auto"/>
            <w:vAlign w:val="center"/>
          </w:tcPr>
          <w:p w14:paraId="32AF661F" w14:textId="77777777" w:rsidR="00D312DE" w:rsidRPr="00895898" w:rsidRDefault="00D312DE" w:rsidP="00774DA8"/>
        </w:tc>
        <w:tc>
          <w:tcPr>
            <w:tcW w:w="992" w:type="dxa"/>
          </w:tcPr>
          <w:p w14:paraId="0DED73C7" w14:textId="77777777" w:rsidR="00D312DE" w:rsidRPr="00895898" w:rsidRDefault="00D312DE" w:rsidP="00774DA8"/>
        </w:tc>
        <w:tc>
          <w:tcPr>
            <w:tcW w:w="1134" w:type="dxa"/>
          </w:tcPr>
          <w:p w14:paraId="697F5BD4" w14:textId="77777777" w:rsidR="00D312DE" w:rsidRPr="00895898" w:rsidRDefault="00D312DE" w:rsidP="00774DA8"/>
        </w:tc>
        <w:tc>
          <w:tcPr>
            <w:tcW w:w="1843" w:type="dxa"/>
            <w:shd w:val="clear" w:color="auto" w:fill="auto"/>
            <w:vAlign w:val="center"/>
          </w:tcPr>
          <w:p w14:paraId="55F2B93E" w14:textId="77777777" w:rsidR="00D312DE" w:rsidDel="00801596" w:rsidRDefault="00D312DE" w:rsidP="00774DA8">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5BB96892" w14:textId="77777777" w:rsidR="00D312DE" w:rsidRPr="00895898" w:rsidRDefault="00D312DE" w:rsidP="00774DA8">
            <w:pPr>
              <w:rPr>
                <w:color w:val="000000"/>
              </w:rPr>
            </w:pPr>
          </w:p>
        </w:tc>
        <w:tc>
          <w:tcPr>
            <w:tcW w:w="1160" w:type="dxa"/>
            <w:shd w:val="clear" w:color="auto" w:fill="auto"/>
            <w:noWrap/>
            <w:vAlign w:val="center"/>
          </w:tcPr>
          <w:p w14:paraId="72ED9C33" w14:textId="77777777" w:rsidR="00D312DE" w:rsidRPr="00895898" w:rsidRDefault="00D312DE" w:rsidP="00774DA8">
            <w:pPr>
              <w:rPr>
                <w:color w:val="000000"/>
              </w:rPr>
            </w:pPr>
          </w:p>
        </w:tc>
        <w:tc>
          <w:tcPr>
            <w:tcW w:w="1108" w:type="dxa"/>
          </w:tcPr>
          <w:p w14:paraId="208E57B3" w14:textId="77777777" w:rsidR="00D312DE" w:rsidRPr="00895898" w:rsidRDefault="00D312DE" w:rsidP="00774DA8"/>
        </w:tc>
        <w:tc>
          <w:tcPr>
            <w:tcW w:w="851" w:type="dxa"/>
            <w:shd w:val="clear" w:color="auto" w:fill="auto"/>
            <w:noWrap/>
            <w:vAlign w:val="center"/>
          </w:tcPr>
          <w:p w14:paraId="0FC73B95" w14:textId="77777777" w:rsidR="00D312DE" w:rsidRPr="00895898" w:rsidRDefault="00D312DE" w:rsidP="00774DA8"/>
        </w:tc>
        <w:tc>
          <w:tcPr>
            <w:tcW w:w="843" w:type="dxa"/>
            <w:shd w:val="clear" w:color="auto" w:fill="auto"/>
            <w:noWrap/>
            <w:vAlign w:val="center"/>
          </w:tcPr>
          <w:p w14:paraId="69457687" w14:textId="77777777" w:rsidR="00D312DE" w:rsidRPr="00895898" w:rsidRDefault="00D312DE" w:rsidP="00774DA8">
            <w:pPr>
              <w:rPr>
                <w:color w:val="000000"/>
              </w:rPr>
            </w:pPr>
          </w:p>
        </w:tc>
        <w:tc>
          <w:tcPr>
            <w:tcW w:w="1000" w:type="dxa"/>
            <w:shd w:val="clear" w:color="auto" w:fill="auto"/>
            <w:noWrap/>
            <w:vAlign w:val="center"/>
          </w:tcPr>
          <w:p w14:paraId="28E10A1D" w14:textId="77777777" w:rsidR="00D312DE" w:rsidRPr="00895898" w:rsidRDefault="00D312DE" w:rsidP="00774DA8"/>
        </w:tc>
        <w:tc>
          <w:tcPr>
            <w:tcW w:w="708" w:type="dxa"/>
            <w:shd w:val="clear" w:color="auto" w:fill="auto"/>
            <w:noWrap/>
            <w:vAlign w:val="center"/>
          </w:tcPr>
          <w:p w14:paraId="5C4DB1AE" w14:textId="77777777" w:rsidR="00D312DE" w:rsidRPr="00895898" w:rsidRDefault="00D312DE" w:rsidP="00774DA8">
            <w:pPr>
              <w:rPr>
                <w:color w:val="000000"/>
              </w:rPr>
            </w:pPr>
          </w:p>
        </w:tc>
        <w:tc>
          <w:tcPr>
            <w:tcW w:w="1134" w:type="dxa"/>
            <w:vAlign w:val="center"/>
          </w:tcPr>
          <w:p w14:paraId="2BA6546D" w14:textId="77777777" w:rsidR="00D312DE" w:rsidRPr="00895898" w:rsidRDefault="00D312DE" w:rsidP="00774DA8"/>
        </w:tc>
      </w:tr>
      <w:tr w:rsidR="00D312DE" w:rsidRPr="00895898" w14:paraId="171C0E6E" w14:textId="77777777" w:rsidTr="00774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5B85399" w14:textId="77777777" w:rsidR="00D312DE" w:rsidRPr="00895898" w:rsidRDefault="00D312DE" w:rsidP="00774DA8"/>
        </w:tc>
        <w:tc>
          <w:tcPr>
            <w:tcW w:w="1740" w:type="dxa"/>
            <w:shd w:val="clear" w:color="auto" w:fill="auto"/>
            <w:vAlign w:val="center"/>
          </w:tcPr>
          <w:p w14:paraId="0B6BCD3B" w14:textId="77777777" w:rsidR="00D312DE" w:rsidRPr="00895898" w:rsidRDefault="00D312DE" w:rsidP="00774DA8"/>
        </w:tc>
        <w:tc>
          <w:tcPr>
            <w:tcW w:w="992" w:type="dxa"/>
          </w:tcPr>
          <w:p w14:paraId="41AD1033" w14:textId="77777777" w:rsidR="00D312DE" w:rsidRPr="00895898" w:rsidRDefault="00D312DE" w:rsidP="00774DA8"/>
        </w:tc>
        <w:tc>
          <w:tcPr>
            <w:tcW w:w="1134" w:type="dxa"/>
          </w:tcPr>
          <w:p w14:paraId="27533E1C" w14:textId="77777777" w:rsidR="00D312DE" w:rsidRPr="00895898" w:rsidRDefault="00D312DE" w:rsidP="00774DA8"/>
        </w:tc>
        <w:tc>
          <w:tcPr>
            <w:tcW w:w="1843" w:type="dxa"/>
            <w:shd w:val="clear" w:color="auto" w:fill="auto"/>
            <w:vAlign w:val="center"/>
          </w:tcPr>
          <w:p w14:paraId="3F8279E2" w14:textId="77777777" w:rsidR="00D312DE" w:rsidDel="00801596" w:rsidRDefault="00D312DE" w:rsidP="00774DA8">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0B8AB868" w14:textId="77777777" w:rsidR="00D312DE" w:rsidRPr="00895898" w:rsidRDefault="00D312DE" w:rsidP="00774DA8">
            <w:pPr>
              <w:rPr>
                <w:color w:val="000000"/>
              </w:rPr>
            </w:pPr>
          </w:p>
        </w:tc>
        <w:tc>
          <w:tcPr>
            <w:tcW w:w="1160" w:type="dxa"/>
            <w:shd w:val="clear" w:color="auto" w:fill="auto"/>
            <w:noWrap/>
            <w:vAlign w:val="center"/>
          </w:tcPr>
          <w:p w14:paraId="63D1376F" w14:textId="77777777" w:rsidR="00D312DE" w:rsidRPr="00895898" w:rsidRDefault="00D312DE" w:rsidP="00774DA8">
            <w:pPr>
              <w:rPr>
                <w:color w:val="000000"/>
              </w:rPr>
            </w:pPr>
          </w:p>
        </w:tc>
        <w:tc>
          <w:tcPr>
            <w:tcW w:w="1108" w:type="dxa"/>
          </w:tcPr>
          <w:p w14:paraId="6C488C5E" w14:textId="77777777" w:rsidR="00D312DE" w:rsidRPr="00895898" w:rsidRDefault="00D312DE" w:rsidP="00774DA8"/>
        </w:tc>
        <w:tc>
          <w:tcPr>
            <w:tcW w:w="851" w:type="dxa"/>
            <w:shd w:val="clear" w:color="auto" w:fill="auto"/>
            <w:noWrap/>
            <w:vAlign w:val="center"/>
          </w:tcPr>
          <w:p w14:paraId="363DD355" w14:textId="77777777" w:rsidR="00D312DE" w:rsidRPr="00895898" w:rsidRDefault="00D312DE" w:rsidP="00774DA8"/>
        </w:tc>
        <w:tc>
          <w:tcPr>
            <w:tcW w:w="843" w:type="dxa"/>
            <w:shd w:val="clear" w:color="auto" w:fill="auto"/>
            <w:noWrap/>
            <w:vAlign w:val="center"/>
          </w:tcPr>
          <w:p w14:paraId="7CE12DFB" w14:textId="77777777" w:rsidR="00D312DE" w:rsidRPr="00895898" w:rsidRDefault="00D312DE" w:rsidP="00774DA8">
            <w:pPr>
              <w:rPr>
                <w:color w:val="000000"/>
              </w:rPr>
            </w:pPr>
          </w:p>
        </w:tc>
        <w:tc>
          <w:tcPr>
            <w:tcW w:w="1000" w:type="dxa"/>
            <w:shd w:val="clear" w:color="auto" w:fill="auto"/>
            <w:noWrap/>
            <w:vAlign w:val="center"/>
          </w:tcPr>
          <w:p w14:paraId="65ADE8AC" w14:textId="77777777" w:rsidR="00D312DE" w:rsidRPr="00895898" w:rsidRDefault="00D312DE" w:rsidP="00774DA8"/>
        </w:tc>
        <w:tc>
          <w:tcPr>
            <w:tcW w:w="708" w:type="dxa"/>
            <w:shd w:val="clear" w:color="auto" w:fill="auto"/>
            <w:noWrap/>
            <w:vAlign w:val="center"/>
          </w:tcPr>
          <w:p w14:paraId="5BC3FD4D" w14:textId="77777777" w:rsidR="00D312DE" w:rsidRPr="00895898" w:rsidRDefault="00D312DE" w:rsidP="00774DA8">
            <w:pPr>
              <w:rPr>
                <w:color w:val="000000"/>
              </w:rPr>
            </w:pPr>
          </w:p>
        </w:tc>
        <w:tc>
          <w:tcPr>
            <w:tcW w:w="1134" w:type="dxa"/>
            <w:vAlign w:val="center"/>
          </w:tcPr>
          <w:p w14:paraId="08D9659E" w14:textId="77777777" w:rsidR="00D312DE" w:rsidRPr="00895898" w:rsidRDefault="00D312DE" w:rsidP="00774DA8"/>
        </w:tc>
      </w:tr>
      <w:tr w:rsidR="00D312DE" w:rsidRPr="00895898" w14:paraId="64B73F8E" w14:textId="77777777" w:rsidTr="00774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A6255FF" w14:textId="77777777" w:rsidR="00D312DE" w:rsidRPr="00895898" w:rsidRDefault="00D312DE" w:rsidP="00774DA8"/>
        </w:tc>
        <w:tc>
          <w:tcPr>
            <w:tcW w:w="1740" w:type="dxa"/>
            <w:shd w:val="clear" w:color="auto" w:fill="auto"/>
            <w:vAlign w:val="center"/>
          </w:tcPr>
          <w:p w14:paraId="1989EEC8" w14:textId="77777777" w:rsidR="00D312DE" w:rsidRPr="00895898" w:rsidRDefault="00D312DE" w:rsidP="00774DA8"/>
        </w:tc>
        <w:tc>
          <w:tcPr>
            <w:tcW w:w="992" w:type="dxa"/>
          </w:tcPr>
          <w:p w14:paraId="5B9A2BA6" w14:textId="77777777" w:rsidR="00D312DE" w:rsidRPr="00895898" w:rsidRDefault="00D312DE" w:rsidP="00774DA8"/>
        </w:tc>
        <w:tc>
          <w:tcPr>
            <w:tcW w:w="1134" w:type="dxa"/>
          </w:tcPr>
          <w:p w14:paraId="44895399" w14:textId="77777777" w:rsidR="00D312DE" w:rsidRPr="00895898" w:rsidRDefault="00D312DE" w:rsidP="00774DA8"/>
        </w:tc>
        <w:tc>
          <w:tcPr>
            <w:tcW w:w="1843" w:type="dxa"/>
            <w:shd w:val="clear" w:color="auto" w:fill="auto"/>
            <w:vAlign w:val="center"/>
          </w:tcPr>
          <w:p w14:paraId="6358FBAE" w14:textId="77777777" w:rsidR="00D312DE" w:rsidDel="00801596" w:rsidRDefault="00D312DE" w:rsidP="00774DA8">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67BC4003" w14:textId="77777777" w:rsidR="00D312DE" w:rsidRPr="00895898" w:rsidRDefault="00D312DE" w:rsidP="00774DA8">
            <w:pPr>
              <w:rPr>
                <w:color w:val="000000"/>
              </w:rPr>
            </w:pPr>
          </w:p>
        </w:tc>
        <w:tc>
          <w:tcPr>
            <w:tcW w:w="1160" w:type="dxa"/>
            <w:shd w:val="clear" w:color="auto" w:fill="auto"/>
            <w:noWrap/>
            <w:vAlign w:val="center"/>
          </w:tcPr>
          <w:p w14:paraId="3BF0B252" w14:textId="77777777" w:rsidR="00D312DE" w:rsidRPr="00895898" w:rsidRDefault="00D312DE" w:rsidP="00774DA8">
            <w:pPr>
              <w:rPr>
                <w:color w:val="000000"/>
              </w:rPr>
            </w:pPr>
          </w:p>
        </w:tc>
        <w:tc>
          <w:tcPr>
            <w:tcW w:w="1108" w:type="dxa"/>
          </w:tcPr>
          <w:p w14:paraId="1BF5B79A" w14:textId="77777777" w:rsidR="00D312DE" w:rsidRPr="00895898" w:rsidRDefault="00D312DE" w:rsidP="00774DA8"/>
        </w:tc>
        <w:tc>
          <w:tcPr>
            <w:tcW w:w="851" w:type="dxa"/>
            <w:shd w:val="clear" w:color="auto" w:fill="auto"/>
            <w:noWrap/>
            <w:vAlign w:val="center"/>
          </w:tcPr>
          <w:p w14:paraId="3C91512F" w14:textId="77777777" w:rsidR="00D312DE" w:rsidRPr="00895898" w:rsidRDefault="00D312DE" w:rsidP="00774DA8"/>
        </w:tc>
        <w:tc>
          <w:tcPr>
            <w:tcW w:w="843" w:type="dxa"/>
            <w:shd w:val="clear" w:color="auto" w:fill="auto"/>
            <w:noWrap/>
            <w:vAlign w:val="center"/>
          </w:tcPr>
          <w:p w14:paraId="2DE4416E" w14:textId="77777777" w:rsidR="00D312DE" w:rsidRPr="00895898" w:rsidRDefault="00D312DE" w:rsidP="00774DA8">
            <w:pPr>
              <w:rPr>
                <w:color w:val="000000"/>
              </w:rPr>
            </w:pPr>
          </w:p>
        </w:tc>
        <w:tc>
          <w:tcPr>
            <w:tcW w:w="1000" w:type="dxa"/>
            <w:shd w:val="clear" w:color="auto" w:fill="auto"/>
            <w:noWrap/>
            <w:vAlign w:val="center"/>
          </w:tcPr>
          <w:p w14:paraId="28AEEC22" w14:textId="77777777" w:rsidR="00D312DE" w:rsidRPr="00895898" w:rsidRDefault="00D312DE" w:rsidP="00774DA8"/>
        </w:tc>
        <w:tc>
          <w:tcPr>
            <w:tcW w:w="708" w:type="dxa"/>
            <w:shd w:val="clear" w:color="auto" w:fill="auto"/>
            <w:noWrap/>
            <w:vAlign w:val="center"/>
          </w:tcPr>
          <w:p w14:paraId="59A59FA7" w14:textId="77777777" w:rsidR="00D312DE" w:rsidRPr="00895898" w:rsidRDefault="00D312DE" w:rsidP="00774DA8">
            <w:pPr>
              <w:rPr>
                <w:color w:val="000000"/>
              </w:rPr>
            </w:pPr>
          </w:p>
        </w:tc>
        <w:tc>
          <w:tcPr>
            <w:tcW w:w="1134" w:type="dxa"/>
            <w:vAlign w:val="center"/>
          </w:tcPr>
          <w:p w14:paraId="41EAB890" w14:textId="77777777" w:rsidR="00D312DE" w:rsidRPr="00895898" w:rsidRDefault="00D312DE" w:rsidP="00774DA8"/>
        </w:tc>
      </w:tr>
      <w:tr w:rsidR="00D312DE" w:rsidRPr="00895898" w14:paraId="6EB8BD79" w14:textId="77777777" w:rsidTr="00774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50E2338" w14:textId="77777777" w:rsidR="00D312DE" w:rsidRPr="00895898" w:rsidRDefault="00D312DE" w:rsidP="00774DA8"/>
        </w:tc>
        <w:tc>
          <w:tcPr>
            <w:tcW w:w="1740" w:type="dxa"/>
            <w:shd w:val="clear" w:color="auto" w:fill="auto"/>
            <w:vAlign w:val="center"/>
          </w:tcPr>
          <w:p w14:paraId="6A6A061D" w14:textId="77777777" w:rsidR="00D312DE" w:rsidRPr="00895898" w:rsidRDefault="00D312DE" w:rsidP="00774DA8"/>
        </w:tc>
        <w:tc>
          <w:tcPr>
            <w:tcW w:w="992" w:type="dxa"/>
          </w:tcPr>
          <w:p w14:paraId="00798086" w14:textId="77777777" w:rsidR="00D312DE" w:rsidRPr="00895898" w:rsidRDefault="00D312DE" w:rsidP="00774DA8"/>
        </w:tc>
        <w:tc>
          <w:tcPr>
            <w:tcW w:w="1134" w:type="dxa"/>
          </w:tcPr>
          <w:p w14:paraId="50443D11" w14:textId="77777777" w:rsidR="00D312DE" w:rsidRPr="00895898" w:rsidRDefault="00D312DE" w:rsidP="00774DA8"/>
        </w:tc>
        <w:tc>
          <w:tcPr>
            <w:tcW w:w="1843" w:type="dxa"/>
            <w:shd w:val="clear" w:color="auto" w:fill="auto"/>
            <w:vAlign w:val="center"/>
          </w:tcPr>
          <w:p w14:paraId="64E78B58" w14:textId="77777777" w:rsidR="00D312DE" w:rsidDel="00801596" w:rsidRDefault="00D312DE" w:rsidP="00774DA8">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21D98FEE" w14:textId="77777777" w:rsidR="00D312DE" w:rsidRPr="00895898" w:rsidRDefault="00D312DE" w:rsidP="00774DA8">
            <w:pPr>
              <w:rPr>
                <w:color w:val="000000"/>
              </w:rPr>
            </w:pPr>
          </w:p>
        </w:tc>
        <w:tc>
          <w:tcPr>
            <w:tcW w:w="1160" w:type="dxa"/>
            <w:shd w:val="clear" w:color="auto" w:fill="auto"/>
            <w:noWrap/>
            <w:vAlign w:val="center"/>
          </w:tcPr>
          <w:p w14:paraId="32735296" w14:textId="77777777" w:rsidR="00D312DE" w:rsidRPr="00895898" w:rsidRDefault="00D312DE" w:rsidP="00774DA8">
            <w:pPr>
              <w:rPr>
                <w:color w:val="000000"/>
              </w:rPr>
            </w:pPr>
          </w:p>
        </w:tc>
        <w:tc>
          <w:tcPr>
            <w:tcW w:w="1108" w:type="dxa"/>
          </w:tcPr>
          <w:p w14:paraId="0D341605" w14:textId="77777777" w:rsidR="00D312DE" w:rsidRPr="00895898" w:rsidRDefault="00D312DE" w:rsidP="00774DA8"/>
        </w:tc>
        <w:tc>
          <w:tcPr>
            <w:tcW w:w="851" w:type="dxa"/>
            <w:shd w:val="clear" w:color="auto" w:fill="auto"/>
            <w:noWrap/>
            <w:vAlign w:val="center"/>
          </w:tcPr>
          <w:p w14:paraId="223D62E8" w14:textId="77777777" w:rsidR="00D312DE" w:rsidRPr="00895898" w:rsidRDefault="00D312DE" w:rsidP="00774DA8"/>
        </w:tc>
        <w:tc>
          <w:tcPr>
            <w:tcW w:w="843" w:type="dxa"/>
            <w:shd w:val="clear" w:color="auto" w:fill="auto"/>
            <w:noWrap/>
            <w:vAlign w:val="center"/>
          </w:tcPr>
          <w:p w14:paraId="280834C0" w14:textId="77777777" w:rsidR="00D312DE" w:rsidRPr="00895898" w:rsidRDefault="00D312DE" w:rsidP="00774DA8">
            <w:pPr>
              <w:rPr>
                <w:color w:val="000000"/>
              </w:rPr>
            </w:pPr>
          </w:p>
        </w:tc>
        <w:tc>
          <w:tcPr>
            <w:tcW w:w="1000" w:type="dxa"/>
            <w:shd w:val="clear" w:color="auto" w:fill="auto"/>
            <w:noWrap/>
            <w:vAlign w:val="center"/>
          </w:tcPr>
          <w:p w14:paraId="5DDC74C0" w14:textId="77777777" w:rsidR="00D312DE" w:rsidRPr="00895898" w:rsidRDefault="00D312DE" w:rsidP="00774DA8"/>
        </w:tc>
        <w:tc>
          <w:tcPr>
            <w:tcW w:w="708" w:type="dxa"/>
            <w:shd w:val="clear" w:color="auto" w:fill="auto"/>
            <w:noWrap/>
            <w:vAlign w:val="center"/>
          </w:tcPr>
          <w:p w14:paraId="6D77E322" w14:textId="77777777" w:rsidR="00D312DE" w:rsidRPr="00895898" w:rsidRDefault="00D312DE" w:rsidP="00774DA8">
            <w:pPr>
              <w:rPr>
                <w:color w:val="000000"/>
              </w:rPr>
            </w:pPr>
          </w:p>
        </w:tc>
        <w:tc>
          <w:tcPr>
            <w:tcW w:w="1134" w:type="dxa"/>
            <w:vAlign w:val="center"/>
          </w:tcPr>
          <w:p w14:paraId="2B517315" w14:textId="77777777" w:rsidR="00D312DE" w:rsidRPr="00895898" w:rsidRDefault="00D312DE" w:rsidP="00774DA8"/>
        </w:tc>
      </w:tr>
    </w:tbl>
    <w:p w14:paraId="4049CAC9" w14:textId="77777777" w:rsidR="00D312DE" w:rsidRPr="00895898" w:rsidRDefault="00D312DE" w:rsidP="00D312DE">
      <w:pPr>
        <w:jc w:val="both"/>
        <w:rPr>
          <w:rFonts w:eastAsia="Calibri"/>
          <w:i/>
        </w:rPr>
      </w:pPr>
    </w:p>
    <w:p w14:paraId="69F5565C" w14:textId="77777777" w:rsidR="00D312DE" w:rsidRPr="00895898" w:rsidRDefault="00D312DE" w:rsidP="00D312DE">
      <w:pPr>
        <w:jc w:val="both"/>
        <w:rPr>
          <w:rFonts w:eastAsia="Calibri"/>
          <w:b/>
          <w:bCs/>
          <w:i/>
          <w:sz w:val="24"/>
          <w:szCs w:val="24"/>
        </w:rPr>
        <w:sectPr w:rsidR="00D312DE" w:rsidRPr="00895898" w:rsidSect="00142154">
          <w:pgSz w:w="16838" w:h="11906" w:orient="landscape"/>
          <w:pgMar w:top="1417" w:right="1417" w:bottom="1417" w:left="1417" w:header="708" w:footer="708" w:gutter="0"/>
          <w:cols w:space="708"/>
          <w:docGrid w:linePitch="360"/>
        </w:sectPr>
      </w:pPr>
    </w:p>
    <w:p w14:paraId="03FF035B" w14:textId="77777777" w:rsidR="00D312DE" w:rsidRPr="001F1B43" w:rsidRDefault="00D312DE" w:rsidP="00D312DE">
      <w:pPr>
        <w:jc w:val="both"/>
        <w:rPr>
          <w:rFonts w:eastAsia="Calibri"/>
          <w:b/>
          <w:bCs/>
          <w:i/>
          <w:sz w:val="24"/>
          <w:szCs w:val="24"/>
          <w:u w:val="single"/>
        </w:rPr>
      </w:pPr>
      <w:r>
        <w:rPr>
          <w:rFonts w:eastAsia="Calibri"/>
          <w:b/>
          <w:bCs/>
          <w:i/>
          <w:sz w:val="24"/>
          <w:szCs w:val="24"/>
          <w:u w:val="single"/>
        </w:rPr>
        <w:lastRenderedPageBreak/>
        <w:t xml:space="preserve">3.1.3 </w:t>
      </w:r>
      <w:r w:rsidRPr="001F1B43">
        <w:rPr>
          <w:rFonts w:eastAsia="Calibri"/>
          <w:b/>
          <w:bCs/>
          <w:i/>
          <w:sz w:val="24"/>
          <w:szCs w:val="24"/>
          <w:u w:val="single"/>
        </w:rPr>
        <w:t xml:space="preserve">Doplňujúce informácie k spôsobu výpočtu vplyvov jednotlivých regulácií na zmenu nákladov </w:t>
      </w:r>
    </w:p>
    <w:p w14:paraId="69307E2B" w14:textId="77777777" w:rsidR="00D312DE" w:rsidRDefault="00D312DE" w:rsidP="00D312DE">
      <w:pPr>
        <w:jc w:val="both"/>
        <w:rPr>
          <w:rFonts w:eastAsia="Calibri"/>
          <w:bCs/>
          <w:i/>
          <w:iCs/>
          <w:color w:val="000000"/>
          <w:sz w:val="24"/>
          <w:szCs w:val="24"/>
        </w:rPr>
      </w:pPr>
      <w:r w:rsidRPr="00D8247C">
        <w:rPr>
          <w:rFonts w:eastAsia="Calibri"/>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eastAsia="Calibri"/>
          <w:bCs/>
          <w:i/>
          <w:iCs/>
          <w:color w:val="000000"/>
          <w:sz w:val="24"/>
          <w:szCs w:val="24"/>
        </w:rPr>
        <w:t xml:space="preserve"> </w:t>
      </w:r>
      <w:r w:rsidRPr="00A000DA">
        <w:rPr>
          <w:rFonts w:eastAsia="Calibri"/>
          <w:bCs/>
          <w:i/>
          <w:iCs/>
          <w:color w:val="000000"/>
          <w:sz w:val="24"/>
          <w:szCs w:val="24"/>
        </w:rPr>
        <w:t>a poplatky, ktorých cieľom je znižovať negatívne externality</w:t>
      </w:r>
      <w:r w:rsidRPr="00D8247C">
        <w:rPr>
          <w:rFonts w:eastAsia="Calibri"/>
          <w:bCs/>
          <w:i/>
          <w:iCs/>
          <w:color w:val="000000"/>
          <w:sz w:val="24"/>
          <w:szCs w:val="24"/>
        </w:rPr>
        <w:t xml:space="preserve">, B. </w:t>
      </w:r>
      <w:r>
        <w:rPr>
          <w:rFonts w:eastAsia="Calibri"/>
          <w:bCs/>
          <w:i/>
          <w:iCs/>
          <w:color w:val="000000"/>
          <w:sz w:val="24"/>
          <w:szCs w:val="24"/>
        </w:rPr>
        <w:t>Iné p</w:t>
      </w:r>
      <w:r w:rsidRPr="00D8247C">
        <w:rPr>
          <w:rFonts w:eastAsia="Calibri"/>
          <w:bCs/>
          <w:i/>
          <w:iCs/>
          <w:color w:val="000000"/>
          <w:sz w:val="24"/>
          <w:szCs w:val="24"/>
        </w:rPr>
        <w:t>oplatky</w:t>
      </w:r>
      <w:r w:rsidRPr="00952CF6">
        <w:rPr>
          <w:rFonts w:eastAsia="Calibri"/>
          <w:bCs/>
          <w:i/>
          <w:iCs/>
          <w:color w:val="000000"/>
          <w:sz w:val="24"/>
          <w:szCs w:val="24"/>
        </w:rPr>
        <w:t>,</w:t>
      </w:r>
      <w:r w:rsidRPr="00D8247C">
        <w:rPr>
          <w:rFonts w:eastAsia="Calibri"/>
          <w:bCs/>
          <w:i/>
          <w:iCs/>
          <w:color w:val="000000"/>
          <w:sz w:val="24"/>
          <w:szCs w:val="24"/>
        </w:rPr>
        <w:t xml:space="preserve"> C. </w:t>
      </w:r>
      <w:r>
        <w:rPr>
          <w:rFonts w:eastAsia="Calibri"/>
          <w:bCs/>
          <w:i/>
          <w:iCs/>
          <w:color w:val="000000"/>
          <w:sz w:val="24"/>
          <w:szCs w:val="24"/>
        </w:rPr>
        <w:t>Sankcie</w:t>
      </w:r>
      <w:r w:rsidRPr="00D8247C">
        <w:rPr>
          <w:rFonts w:eastAsia="Calibri"/>
          <w:bCs/>
          <w:i/>
          <w:iCs/>
          <w:color w:val="000000"/>
          <w:sz w:val="24"/>
          <w:szCs w:val="24"/>
        </w:rPr>
        <w:t xml:space="preserve">, D. </w:t>
      </w:r>
      <w:r>
        <w:rPr>
          <w:rFonts w:eastAsia="Calibri"/>
          <w:bCs/>
          <w:i/>
          <w:iCs/>
          <w:color w:val="000000"/>
          <w:sz w:val="24"/>
          <w:szCs w:val="24"/>
        </w:rPr>
        <w:t xml:space="preserve">Nepriame finančné náklady, E. </w:t>
      </w:r>
      <w:r w:rsidRPr="00D8247C">
        <w:rPr>
          <w:rFonts w:eastAsia="Calibri"/>
          <w:bCs/>
          <w:i/>
          <w:iCs/>
          <w:color w:val="000000"/>
          <w:sz w:val="24"/>
          <w:szCs w:val="24"/>
        </w:rPr>
        <w:t xml:space="preserve">Administratívne náklady). Rozčleňte ich a vypočítajte v súlade s metodickým postupom. </w:t>
      </w:r>
    </w:p>
    <w:p w14:paraId="046515BC" w14:textId="77777777" w:rsidR="00D312DE" w:rsidRDefault="00D312DE" w:rsidP="00D312DE">
      <w:pPr>
        <w:jc w:val="both"/>
        <w:rPr>
          <w:rFonts w:eastAsia="Calibri"/>
          <w:bCs/>
          <w:i/>
          <w:iCs/>
          <w:color w:val="000000"/>
          <w:sz w:val="24"/>
          <w:szCs w:val="24"/>
        </w:rPr>
      </w:pPr>
    </w:p>
    <w:p w14:paraId="34FF862B" w14:textId="77777777" w:rsidR="00D312DE" w:rsidRPr="00162902" w:rsidRDefault="00D312DE" w:rsidP="00D312DE">
      <w:pPr>
        <w:jc w:val="both"/>
        <w:rPr>
          <w:rFonts w:eastAsia="Calibri"/>
          <w:sz w:val="24"/>
          <w:szCs w:val="24"/>
        </w:rPr>
      </w:pPr>
      <w:r>
        <w:rPr>
          <w:rFonts w:eastAsia="Calibri"/>
          <w:sz w:val="24"/>
          <w:szCs w:val="24"/>
        </w:rPr>
        <w:t xml:space="preserve">Návrh zákona </w:t>
      </w:r>
      <w:r w:rsidRPr="00162902">
        <w:rPr>
          <w:rFonts w:eastAsia="Calibri"/>
          <w:sz w:val="24"/>
          <w:szCs w:val="24"/>
        </w:rPr>
        <w:t>predstavuje novelu zákona č. 213/2019 Z. z. v znení neskorších predpisov, na</w:t>
      </w:r>
      <w:r>
        <w:rPr>
          <w:rFonts w:eastAsia="Calibri"/>
          <w:sz w:val="24"/>
          <w:szCs w:val="24"/>
        </w:rPr>
        <w:t> </w:t>
      </w:r>
      <w:r w:rsidRPr="00162902">
        <w:rPr>
          <w:rFonts w:eastAsia="Calibri"/>
          <w:sz w:val="24"/>
          <w:szCs w:val="24"/>
        </w:rPr>
        <w:t xml:space="preserve">základe ktorej bude možné, v prípade zabezpečenia finančných prostriedkov, poskytnúť príspevok </w:t>
      </w:r>
      <w:r>
        <w:rPr>
          <w:rFonts w:eastAsia="Calibri"/>
          <w:sz w:val="24"/>
          <w:szCs w:val="24"/>
        </w:rPr>
        <w:t xml:space="preserve">v civilnom letectve </w:t>
      </w:r>
      <w:r w:rsidRPr="00162902">
        <w:rPr>
          <w:rFonts w:eastAsia="Calibri"/>
          <w:sz w:val="24"/>
          <w:szCs w:val="24"/>
        </w:rPr>
        <w:t>aj na ďalš</w:t>
      </w:r>
      <w:r>
        <w:rPr>
          <w:rFonts w:eastAsia="Calibri"/>
          <w:sz w:val="24"/>
          <w:szCs w:val="24"/>
        </w:rPr>
        <w:t>í</w:t>
      </w:r>
      <w:r w:rsidRPr="00162902">
        <w:rPr>
          <w:rFonts w:eastAsia="Calibri"/>
          <w:sz w:val="24"/>
          <w:szCs w:val="24"/>
        </w:rPr>
        <w:t xml:space="preserve"> nov</w:t>
      </w:r>
      <w:r>
        <w:rPr>
          <w:rFonts w:eastAsia="Calibri"/>
          <w:sz w:val="24"/>
          <w:szCs w:val="24"/>
        </w:rPr>
        <w:t>ý</w:t>
      </w:r>
      <w:r w:rsidRPr="00162902">
        <w:rPr>
          <w:rFonts w:eastAsia="Calibri"/>
          <w:sz w:val="24"/>
          <w:szCs w:val="24"/>
        </w:rPr>
        <w:t xml:space="preserve"> úče</w:t>
      </w:r>
      <w:r>
        <w:rPr>
          <w:rFonts w:eastAsia="Calibri"/>
          <w:sz w:val="24"/>
          <w:szCs w:val="24"/>
        </w:rPr>
        <w:t>l</w:t>
      </w:r>
      <w:r w:rsidRPr="00162902">
        <w:rPr>
          <w:rFonts w:eastAsia="Calibri"/>
          <w:sz w:val="24"/>
          <w:szCs w:val="24"/>
        </w:rPr>
        <w:t xml:space="preserve">. Aby mohol byť príspevok </w:t>
      </w:r>
      <w:r>
        <w:rPr>
          <w:rFonts w:eastAsia="Calibri"/>
          <w:sz w:val="24"/>
          <w:szCs w:val="24"/>
        </w:rPr>
        <w:t xml:space="preserve">v civilnom letectve </w:t>
      </w:r>
      <w:r w:rsidRPr="00162902">
        <w:rPr>
          <w:rFonts w:eastAsia="Calibri"/>
          <w:sz w:val="24"/>
          <w:szCs w:val="24"/>
        </w:rPr>
        <w:t xml:space="preserve">poskytnutý, musí byť vyhlásená výzva, ak nebude zákon ustanovené inak, následne bude predložená žiadosť o poskytnutie príspevku </w:t>
      </w:r>
      <w:r>
        <w:rPr>
          <w:rFonts w:eastAsia="Calibri"/>
          <w:sz w:val="24"/>
          <w:szCs w:val="24"/>
        </w:rPr>
        <w:t>v civilnom letectve</w:t>
      </w:r>
      <w:r w:rsidRPr="00162902">
        <w:rPr>
          <w:rFonts w:eastAsia="Calibri"/>
          <w:sz w:val="24"/>
          <w:szCs w:val="24"/>
        </w:rPr>
        <w:t xml:space="preserve">. Po vyhodnotení žiadosti a schválení poskytnutia príspevku </w:t>
      </w:r>
      <w:r>
        <w:rPr>
          <w:rFonts w:eastAsia="Calibri"/>
          <w:sz w:val="24"/>
          <w:szCs w:val="24"/>
        </w:rPr>
        <w:t xml:space="preserve">v civilnom letectve </w:t>
      </w:r>
      <w:r w:rsidRPr="00162902">
        <w:rPr>
          <w:rFonts w:eastAsia="Calibri"/>
          <w:sz w:val="24"/>
          <w:szCs w:val="24"/>
        </w:rPr>
        <w:t xml:space="preserve">bude príspevok </w:t>
      </w:r>
      <w:r>
        <w:rPr>
          <w:rFonts w:eastAsia="Calibri"/>
          <w:sz w:val="24"/>
          <w:szCs w:val="24"/>
        </w:rPr>
        <w:t>v civilnom letectve</w:t>
      </w:r>
      <w:r w:rsidRPr="00162902">
        <w:rPr>
          <w:rFonts w:eastAsia="Calibri"/>
          <w:sz w:val="24"/>
          <w:szCs w:val="24"/>
        </w:rPr>
        <w:t xml:space="preserve"> poskytnutý na základe zmluvy.</w:t>
      </w:r>
    </w:p>
    <w:p w14:paraId="49CAF44A" w14:textId="77777777" w:rsidR="00D312DE" w:rsidRDefault="00D312DE" w:rsidP="00D312DE">
      <w:pPr>
        <w:jc w:val="both"/>
        <w:rPr>
          <w:rFonts w:eastAsia="Calibri"/>
          <w:sz w:val="24"/>
          <w:szCs w:val="24"/>
        </w:rPr>
      </w:pPr>
    </w:p>
    <w:p w14:paraId="0A0A9E77" w14:textId="77777777" w:rsidR="00D312DE" w:rsidRDefault="00D312DE" w:rsidP="00D312DE">
      <w:pPr>
        <w:jc w:val="both"/>
        <w:rPr>
          <w:rFonts w:eastAsia="Calibri"/>
          <w:sz w:val="24"/>
          <w:szCs w:val="24"/>
        </w:rPr>
      </w:pPr>
      <w:r w:rsidRPr="00A4085D">
        <w:rPr>
          <w:rFonts w:eastAsia="Calibri"/>
          <w:sz w:val="24"/>
          <w:szCs w:val="24"/>
        </w:rPr>
        <w:t>Vzhľadom na skutočnosť, že nie je možné určiť počet subjektov (ani na základe existujúcich dostupných štatistických údajov a ani na základe expertného odhadu), pri výpočte vplyvov na podnikateľské prostredie bol využitý modelový príklad, t. j. vplyv na jeden subjekt</w:t>
      </w:r>
      <w:r>
        <w:rPr>
          <w:rFonts w:eastAsia="Calibri"/>
          <w:sz w:val="24"/>
          <w:szCs w:val="24"/>
        </w:rPr>
        <w:t xml:space="preserve"> – na 1 leteckého dopravcu</w:t>
      </w:r>
      <w:r w:rsidRPr="00A4085D">
        <w:rPr>
          <w:rFonts w:eastAsia="Calibri"/>
          <w:sz w:val="24"/>
          <w:szCs w:val="24"/>
        </w:rPr>
        <w:t>.</w:t>
      </w:r>
      <w:r>
        <w:rPr>
          <w:rFonts w:eastAsia="Calibri"/>
          <w:sz w:val="24"/>
          <w:szCs w:val="24"/>
        </w:rPr>
        <w:t xml:space="preserve"> </w:t>
      </w:r>
    </w:p>
    <w:p w14:paraId="546DFE11" w14:textId="77777777" w:rsidR="00D312DE" w:rsidRDefault="00D312DE" w:rsidP="00D312DE">
      <w:pPr>
        <w:jc w:val="both"/>
        <w:rPr>
          <w:rFonts w:eastAsia="Calibri"/>
          <w:sz w:val="24"/>
          <w:szCs w:val="24"/>
        </w:rPr>
      </w:pPr>
      <w:r>
        <w:rPr>
          <w:rFonts w:eastAsia="Calibri"/>
          <w:sz w:val="24"/>
          <w:szCs w:val="24"/>
        </w:rPr>
        <w:t xml:space="preserve">Poskytnutie príspevku v civilnom letectve na nový účel </w:t>
      </w:r>
      <w:r w:rsidRPr="00FA2793">
        <w:rPr>
          <w:rFonts w:eastAsia="Calibri"/>
          <w:sz w:val="24"/>
          <w:szCs w:val="24"/>
          <w:u w:val="single"/>
        </w:rPr>
        <w:t>leteckému dopravcovi</w:t>
      </w:r>
      <w:r>
        <w:rPr>
          <w:rFonts w:eastAsia="Calibri"/>
          <w:sz w:val="24"/>
          <w:szCs w:val="24"/>
        </w:rPr>
        <w:t xml:space="preserve"> predstavuje </w:t>
      </w:r>
      <w:r w:rsidRPr="00FA2793">
        <w:rPr>
          <w:rFonts w:eastAsia="Calibri"/>
          <w:sz w:val="24"/>
          <w:szCs w:val="24"/>
          <w:u w:val="single"/>
        </w:rPr>
        <w:t>negatívny vplyv</w:t>
      </w:r>
      <w:r>
        <w:rPr>
          <w:rFonts w:eastAsia="Calibri"/>
          <w:sz w:val="24"/>
          <w:szCs w:val="24"/>
        </w:rPr>
        <w:t xml:space="preserve"> vo forme administratívnych nákladov týkajúcich sa vypracovania žiadosti o poskytnutie príspevku. Povinnosť predložiť žiadosť o poskytnutie príspevku je už v súčasnosti uvedená v § 16 ods. 1 zákona č. 213/2013 Z. z., pričom návrhom zákona sa dopĺňa nový účel poskytnutia príspevku v civilnom letectve.</w:t>
      </w:r>
    </w:p>
    <w:p w14:paraId="1AB8ACEB" w14:textId="77777777" w:rsidR="00D312DE" w:rsidRDefault="00D312DE" w:rsidP="00D312DE">
      <w:pPr>
        <w:jc w:val="both"/>
        <w:rPr>
          <w:rFonts w:eastAsia="Calibri"/>
          <w:sz w:val="24"/>
          <w:szCs w:val="24"/>
        </w:rPr>
      </w:pPr>
    </w:p>
    <w:p w14:paraId="39CE6593" w14:textId="77777777" w:rsidR="00D312DE" w:rsidRDefault="00D312DE" w:rsidP="00D312DE">
      <w:pPr>
        <w:jc w:val="both"/>
        <w:rPr>
          <w:rFonts w:eastAsia="Calibri"/>
          <w:sz w:val="24"/>
          <w:szCs w:val="24"/>
        </w:rPr>
      </w:pPr>
      <w:r>
        <w:rPr>
          <w:rFonts w:eastAsia="Calibri"/>
          <w:sz w:val="24"/>
          <w:szCs w:val="24"/>
        </w:rPr>
        <w:t xml:space="preserve">Poskytnutie príspevku v civilnom letectve na nový účel </w:t>
      </w:r>
      <w:r w:rsidRPr="00FA2793">
        <w:rPr>
          <w:rFonts w:eastAsia="Calibri"/>
          <w:sz w:val="24"/>
          <w:szCs w:val="24"/>
          <w:u w:val="single"/>
        </w:rPr>
        <w:t>leteckému dopravcovi</w:t>
      </w:r>
      <w:r>
        <w:rPr>
          <w:rFonts w:eastAsia="Calibri"/>
          <w:sz w:val="24"/>
          <w:szCs w:val="24"/>
        </w:rPr>
        <w:t xml:space="preserve"> predstavuje </w:t>
      </w:r>
      <w:r w:rsidRPr="00FA2793">
        <w:rPr>
          <w:rFonts w:eastAsia="Calibri"/>
          <w:sz w:val="24"/>
          <w:szCs w:val="24"/>
          <w:u w:val="single"/>
        </w:rPr>
        <w:t>pozitívny vplyv</w:t>
      </w:r>
      <w:r>
        <w:rPr>
          <w:rFonts w:eastAsia="Calibri"/>
          <w:sz w:val="24"/>
          <w:szCs w:val="24"/>
        </w:rPr>
        <w:t xml:space="preserve"> na podnikateľské prostredie vzhľadom na skutočnosť, že poskytnutým príspevkov v civilnom letectve (napr. de minimis, resp. max. 50 % z letiskových odplát (odplata za pristátie lietadla, odplata za parkovanie, odplata za použitie letiska cestujúcim) môže letecký dopravca uhradiť príslušné náklady, resp. refundovať príslušné výdavky.</w:t>
      </w:r>
    </w:p>
    <w:p w14:paraId="3E1B86B4" w14:textId="77777777" w:rsidR="00D312DE" w:rsidRDefault="00D312DE" w:rsidP="00D312DE">
      <w:pPr>
        <w:pStyle w:val="Odsekzoznamu"/>
        <w:numPr>
          <w:ilvl w:val="0"/>
          <w:numId w:val="2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E42F5F">
        <w:rPr>
          <w:rFonts w:ascii="Times New Roman" w:eastAsia="Calibri" w:hAnsi="Times New Roman" w:cs="Times New Roman"/>
          <w:sz w:val="24"/>
          <w:szCs w:val="24"/>
        </w:rPr>
        <w:t xml:space="preserve">e minimis: </w:t>
      </w:r>
    </w:p>
    <w:p w14:paraId="410B7A1D" w14:textId="77777777" w:rsidR="00D312DE" w:rsidRDefault="00D312DE" w:rsidP="00D312DE">
      <w:pPr>
        <w:pStyle w:val="Odsekzoznamu"/>
        <w:numPr>
          <w:ilvl w:val="1"/>
          <w:numId w:val="22"/>
        </w:numPr>
        <w:spacing w:after="0" w:line="240" w:lineRule="auto"/>
        <w:ind w:left="1134" w:hanging="567"/>
        <w:jc w:val="both"/>
        <w:rPr>
          <w:rFonts w:ascii="Times New Roman" w:eastAsia="Calibri" w:hAnsi="Times New Roman" w:cs="Times New Roman"/>
          <w:sz w:val="24"/>
          <w:szCs w:val="24"/>
        </w:rPr>
      </w:pPr>
      <w:r w:rsidRPr="00E42F5F">
        <w:rPr>
          <w:rFonts w:ascii="Times New Roman" w:eastAsia="Calibri" w:hAnsi="Times New Roman" w:cs="Times New Roman"/>
          <w:sz w:val="24"/>
          <w:szCs w:val="24"/>
        </w:rPr>
        <w:t>200 000,00 eur na 3 roky</w:t>
      </w:r>
    </w:p>
    <w:p w14:paraId="70587264" w14:textId="77777777" w:rsidR="00D312DE" w:rsidRDefault="00D312DE" w:rsidP="00D312DE">
      <w:pPr>
        <w:jc w:val="both"/>
        <w:rPr>
          <w:rFonts w:eastAsia="Calibri"/>
          <w:sz w:val="24"/>
          <w:szCs w:val="24"/>
        </w:rPr>
      </w:pPr>
    </w:p>
    <w:p w14:paraId="0C294797" w14:textId="77777777" w:rsidR="00D312DE" w:rsidRDefault="00D312DE" w:rsidP="00D312DE">
      <w:pPr>
        <w:pStyle w:val="Odsekzoznamu"/>
        <w:numPr>
          <w:ilvl w:val="0"/>
          <w:numId w:val="2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50% z letiskových odplát </w:t>
      </w:r>
    </w:p>
    <w:p w14:paraId="26AC16A4" w14:textId="77777777" w:rsidR="00D312DE" w:rsidRDefault="00D312DE" w:rsidP="00D312DE">
      <w:pPr>
        <w:pStyle w:val="Odsekzoznamu"/>
        <w:numPr>
          <w:ilvl w:val="1"/>
          <w:numId w:val="22"/>
        </w:numPr>
        <w:spacing w:after="0" w:line="240" w:lineRule="auto"/>
        <w:ind w:left="1134"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bod 150 </w:t>
      </w:r>
      <w:r w:rsidRPr="00E42F5F">
        <w:rPr>
          <w:rFonts w:ascii="Times New Roman" w:eastAsia="Calibri" w:hAnsi="Times New Roman" w:cs="Times New Roman"/>
          <w:sz w:val="24"/>
          <w:szCs w:val="24"/>
        </w:rPr>
        <w:t>oznámeni</w:t>
      </w:r>
      <w:r>
        <w:rPr>
          <w:rFonts w:ascii="Times New Roman" w:eastAsia="Calibri" w:hAnsi="Times New Roman" w:cs="Times New Roman"/>
          <w:sz w:val="24"/>
          <w:szCs w:val="24"/>
        </w:rPr>
        <w:t>a</w:t>
      </w:r>
      <w:r w:rsidRPr="00E42F5F">
        <w:rPr>
          <w:rFonts w:ascii="Times New Roman" w:eastAsia="Calibri" w:hAnsi="Times New Roman" w:cs="Times New Roman"/>
          <w:sz w:val="24"/>
          <w:szCs w:val="24"/>
        </w:rPr>
        <w:t xml:space="preserve"> Komisie – Usmernenia o štátnej pomoci pre letiská a letecké spoločnosti (Ú. v. EÚ C 99, 4.4.2014) v platnom znení</w:t>
      </w:r>
    </w:p>
    <w:p w14:paraId="32ED608E" w14:textId="77777777" w:rsidR="00D312DE" w:rsidRDefault="00D312DE" w:rsidP="00D312DE">
      <w:pPr>
        <w:pStyle w:val="Odsekzoznamu"/>
        <w:spacing w:after="0" w:line="240" w:lineRule="auto"/>
        <w:ind w:left="1134"/>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E42F5F">
        <w:rPr>
          <w:rFonts w:ascii="Times New Roman" w:eastAsia="Calibri" w:hAnsi="Times New Roman" w:cs="Times New Roman"/>
          <w:i/>
          <w:sz w:val="24"/>
          <w:szCs w:val="24"/>
        </w:rPr>
        <w:t>Pomoc na začatie činnosti môže pokryť až 50 % letiskových poplatkov týkajúcich sa trasy počas maximálne troch rokov. Oprávnené náklady sú letiskové poplatky, ktoré vznikli v súvislosti s trasou.</w:t>
      </w:r>
      <w:r>
        <w:rPr>
          <w:rFonts w:ascii="Times New Roman" w:eastAsia="Calibri" w:hAnsi="Times New Roman" w:cs="Times New Roman"/>
          <w:sz w:val="24"/>
          <w:szCs w:val="24"/>
        </w:rPr>
        <w:t>]</w:t>
      </w:r>
    </w:p>
    <w:p w14:paraId="579DEC4B" w14:textId="77777777" w:rsidR="00D312DE" w:rsidRPr="001E0FB1" w:rsidRDefault="00D312DE" w:rsidP="00D312DE">
      <w:pPr>
        <w:pStyle w:val="Odsekzoznamu"/>
        <w:numPr>
          <w:ilvl w:val="1"/>
          <w:numId w:val="22"/>
        </w:numPr>
        <w:spacing w:after="0" w:line="240" w:lineRule="auto"/>
        <w:ind w:left="1134" w:hanging="567"/>
        <w:jc w:val="both"/>
        <w:rPr>
          <w:rFonts w:ascii="Times New Roman" w:eastAsia="Calibri" w:hAnsi="Times New Roman" w:cs="Times New Roman"/>
          <w:sz w:val="24"/>
          <w:szCs w:val="24"/>
        </w:rPr>
      </w:pPr>
      <w:r w:rsidRPr="001E0FB1">
        <w:rPr>
          <w:rFonts w:ascii="Times New Roman" w:eastAsia="Calibri" w:hAnsi="Times New Roman" w:cs="Times New Roman"/>
          <w:sz w:val="24"/>
          <w:szCs w:val="24"/>
        </w:rPr>
        <w:t>napr</w:t>
      </w:r>
      <w:r w:rsidRPr="001E0FB1">
        <w:rPr>
          <w:rFonts w:ascii="Times New Roman" w:hAnsi="Times New Roman" w:cs="Times New Roman"/>
          <w:bCs/>
          <w:sz w:val="24"/>
          <w:szCs w:val="24"/>
        </w:rPr>
        <w:t>. 8 rotácií za mesiac lietadlom Boeing 737-800 pri obsadenosti 80 % →</w:t>
      </w:r>
      <w:r>
        <w:rPr>
          <w:rFonts w:ascii="Times New Roman" w:hAnsi="Times New Roman" w:cs="Times New Roman"/>
          <w:bCs/>
          <w:sz w:val="24"/>
          <w:szCs w:val="24"/>
        </w:rPr>
        <w:t xml:space="preserve"> </w:t>
      </w:r>
      <w:r w:rsidRPr="001E0FB1">
        <w:rPr>
          <w:rFonts w:ascii="Times New Roman" w:hAnsi="Times New Roman" w:cs="Times New Roman"/>
          <w:bCs/>
          <w:sz w:val="24"/>
          <w:szCs w:val="24"/>
        </w:rPr>
        <w:t xml:space="preserve">suma 206 389,536 eur </w:t>
      </w:r>
      <w:r w:rsidRPr="001E0FB1">
        <w:rPr>
          <w:rFonts w:ascii="Times New Roman" w:hAnsi="Times New Roman" w:cs="Times New Roman"/>
          <w:bCs/>
          <w:i/>
          <w:sz w:val="24"/>
          <w:szCs w:val="24"/>
        </w:rPr>
        <w:t>{</w:t>
      </w:r>
      <w:r>
        <w:rPr>
          <w:rFonts w:ascii="Times New Roman" w:hAnsi="Times New Roman" w:cs="Times New Roman"/>
          <w:bCs/>
          <w:i/>
          <w:sz w:val="24"/>
          <w:szCs w:val="24"/>
        </w:rPr>
        <w:t>50% × 8 </w:t>
      </w:r>
      <w:r w:rsidRPr="001E0FB1">
        <w:rPr>
          <w:rFonts w:ascii="Times New Roman" w:hAnsi="Times New Roman" w:cs="Times New Roman"/>
          <w:bCs/>
          <w:i/>
          <w:sz w:val="24"/>
          <w:szCs w:val="24"/>
        </w:rPr>
        <w:t>rotácií/mesiac × 12 mesiacov × [(79 t × 16,13 eur/t) + 0,00 € do 1 hodiny parkovania + (80% × 189 miest × 20,01 eur/1 odlietavajúceho cestujúceho)]}</w:t>
      </w:r>
    </w:p>
    <w:p w14:paraId="607EE8BD" w14:textId="77777777" w:rsidR="00D312DE" w:rsidRDefault="00D312DE" w:rsidP="00D312DE">
      <w:pPr>
        <w:jc w:val="both"/>
        <w:rPr>
          <w:rFonts w:eastAsia="Calibri"/>
          <w:sz w:val="24"/>
          <w:szCs w:val="24"/>
        </w:rPr>
      </w:pPr>
    </w:p>
    <w:p w14:paraId="7FB37F49" w14:textId="77777777" w:rsidR="00D312DE" w:rsidRDefault="00D312DE" w:rsidP="00D312DE">
      <w:pPr>
        <w:jc w:val="both"/>
        <w:rPr>
          <w:rFonts w:eastAsia="Calibri"/>
          <w:bCs/>
          <w:i/>
          <w:iCs/>
          <w:color w:val="000000"/>
          <w:sz w:val="24"/>
          <w:szCs w:val="24"/>
        </w:rPr>
      </w:pPr>
    </w:p>
    <w:p w14:paraId="2427118D" w14:textId="77777777" w:rsidR="00D312DE" w:rsidRPr="001F1B43" w:rsidRDefault="00D312DE" w:rsidP="00D312DE">
      <w:pPr>
        <w:jc w:val="both"/>
        <w:rPr>
          <w:rFonts w:eastAsia="Calibri"/>
          <w:b/>
          <w:bCs/>
          <w:i/>
          <w:sz w:val="24"/>
          <w:szCs w:val="24"/>
          <w:u w:val="single"/>
        </w:rPr>
      </w:pPr>
      <w:r>
        <w:rPr>
          <w:rFonts w:eastAsia="Calibri"/>
          <w:b/>
          <w:bCs/>
          <w:i/>
          <w:sz w:val="24"/>
          <w:szCs w:val="24"/>
          <w:u w:val="single"/>
        </w:rPr>
        <w:t>3.1.4 Odôvodnenie</w:t>
      </w:r>
      <w:r w:rsidRPr="00804BC8">
        <w:rPr>
          <w:rFonts w:eastAsia="Calibri"/>
          <w:b/>
          <w:bCs/>
          <w:i/>
          <w:sz w:val="24"/>
          <w:szCs w:val="24"/>
          <w:u w:val="single"/>
        </w:rPr>
        <w:t xml:space="preserve"> goldplating</w:t>
      </w:r>
      <w:r>
        <w:rPr>
          <w:rFonts w:eastAsia="Calibri"/>
          <w:b/>
          <w:bCs/>
          <w:i/>
          <w:sz w:val="24"/>
          <w:szCs w:val="24"/>
          <w:u w:val="single"/>
        </w:rPr>
        <w:t xml:space="preserve">u </w:t>
      </w:r>
      <w:r w:rsidRPr="00804BC8">
        <w:rPr>
          <w:rFonts w:eastAsia="Calibri"/>
          <w:b/>
          <w:bCs/>
          <w:i/>
          <w:sz w:val="24"/>
          <w:szCs w:val="24"/>
          <w:u w:val="single"/>
        </w:rPr>
        <w:t xml:space="preserve">podľa bodu 4 časti III </w:t>
      </w:r>
      <w:r>
        <w:rPr>
          <w:rFonts w:eastAsia="Calibri"/>
          <w:b/>
          <w:bCs/>
          <w:i/>
          <w:sz w:val="24"/>
          <w:szCs w:val="24"/>
          <w:u w:val="single"/>
        </w:rPr>
        <w:t xml:space="preserve">jednotnej metodiky a ďalšie </w:t>
      </w:r>
      <w:r>
        <w:rPr>
          <w:rFonts w:eastAsia="Calibri"/>
          <w:b/>
          <w:bCs/>
          <w:i/>
          <w:sz w:val="24"/>
          <w:szCs w:val="24"/>
          <w:u w:val="single"/>
        </w:rPr>
        <w:lastRenderedPageBreak/>
        <w:t>d</w:t>
      </w:r>
      <w:r w:rsidRPr="001F1B43">
        <w:rPr>
          <w:rFonts w:eastAsia="Calibri"/>
          <w:b/>
          <w:bCs/>
          <w:i/>
          <w:sz w:val="24"/>
          <w:szCs w:val="24"/>
          <w:u w:val="single"/>
        </w:rPr>
        <w:t>oplňujúce informácie</w:t>
      </w:r>
      <w:r>
        <w:rPr>
          <w:rStyle w:val="Odkaznapoznmkupodiarou"/>
          <w:rFonts w:eastAsia="Calibri"/>
          <w:b/>
          <w:bCs/>
          <w:i/>
          <w:sz w:val="24"/>
          <w:szCs w:val="24"/>
        </w:rPr>
        <w:footnoteReference w:id="2"/>
      </w:r>
      <w:r w:rsidRPr="001F1B43">
        <w:rPr>
          <w:rFonts w:eastAsia="Calibri"/>
          <w:b/>
          <w:bCs/>
          <w:i/>
          <w:sz w:val="24"/>
          <w:szCs w:val="24"/>
          <w:u w:val="single"/>
        </w:rPr>
        <w:t xml:space="preserve"> </w:t>
      </w:r>
    </w:p>
    <w:p w14:paraId="09D915C8" w14:textId="77777777" w:rsidR="00D312DE" w:rsidRPr="000C5419" w:rsidRDefault="00D312DE" w:rsidP="00D312DE">
      <w:pPr>
        <w:jc w:val="both"/>
        <w:rPr>
          <w:rFonts w:eastAsia="Calibri"/>
          <w:bCs/>
          <w:i/>
          <w:iCs/>
          <w:color w:val="000000"/>
          <w:sz w:val="24"/>
          <w:szCs w:val="24"/>
        </w:rPr>
      </w:pPr>
      <w:r w:rsidRPr="000C5419">
        <w:rPr>
          <w:rFonts w:eastAsia="Calibri"/>
          <w:bCs/>
          <w:i/>
          <w:iCs/>
          <w:color w:val="000000"/>
          <w:sz w:val="24"/>
          <w:szCs w:val="24"/>
        </w:rPr>
        <w:t xml:space="preserve">Požadované informácie </w:t>
      </w:r>
      <w:r>
        <w:rPr>
          <w:rFonts w:eastAsia="Calibri"/>
          <w:bCs/>
          <w:i/>
          <w:iCs/>
          <w:color w:val="000000"/>
          <w:sz w:val="24"/>
          <w:szCs w:val="24"/>
        </w:rPr>
        <w:t>uveďte</w:t>
      </w:r>
      <w:r w:rsidRPr="000C5419">
        <w:rPr>
          <w:rFonts w:eastAsia="Calibri"/>
          <w:bCs/>
          <w:i/>
          <w:iCs/>
          <w:color w:val="000000"/>
          <w:sz w:val="24"/>
          <w:szCs w:val="24"/>
        </w:rPr>
        <w:t xml:space="preserve"> osobitne ku každému identifikovanému goldplatingu (ku každej hodnotenej regulácii s goldplatingom osobitne). </w:t>
      </w:r>
    </w:p>
    <w:p w14:paraId="68255F0A" w14:textId="77777777" w:rsidR="00D312DE" w:rsidRPr="000C5419" w:rsidRDefault="00D312DE" w:rsidP="00D312DE">
      <w:pPr>
        <w:jc w:val="both"/>
        <w:rPr>
          <w:rFonts w:eastAsia="Calibri"/>
          <w:bCs/>
          <w:i/>
          <w:iCs/>
          <w:color w:val="000000"/>
          <w:sz w:val="24"/>
          <w:szCs w:val="24"/>
        </w:rPr>
      </w:pPr>
      <w:r>
        <w:rPr>
          <w:rFonts w:eastAsia="Calibri"/>
          <w:bCs/>
          <w:i/>
          <w:iCs/>
          <w:color w:val="000000"/>
          <w:sz w:val="24"/>
          <w:szCs w:val="24"/>
        </w:rPr>
        <w:t>Uveďte o</w:t>
      </w:r>
      <w:r w:rsidRPr="004239D1">
        <w:rPr>
          <w:rFonts w:eastAsia="Calibri"/>
          <w:bCs/>
          <w:i/>
          <w:iCs/>
          <w:color w:val="000000"/>
          <w:sz w:val="24"/>
          <w:szCs w:val="24"/>
        </w:rPr>
        <w:t xml:space="preserve">dôvodnenie goldplatingu </w:t>
      </w:r>
      <w:r>
        <w:rPr>
          <w:rFonts w:eastAsia="Calibri"/>
          <w:bCs/>
          <w:i/>
          <w:iCs/>
          <w:color w:val="000000"/>
          <w:sz w:val="24"/>
          <w:szCs w:val="24"/>
        </w:rPr>
        <w:t xml:space="preserve">z hľadiska </w:t>
      </w:r>
      <w:r w:rsidRPr="004239D1">
        <w:rPr>
          <w:rFonts w:eastAsia="Calibri"/>
          <w:bCs/>
          <w:i/>
          <w:iCs/>
          <w:color w:val="000000"/>
          <w:sz w:val="24"/>
          <w:szCs w:val="24"/>
        </w:rPr>
        <w:t>jeho nespochybniteľnej nevyhnutnosti.</w:t>
      </w:r>
      <w:r>
        <w:rPr>
          <w:rFonts w:eastAsia="Calibri"/>
          <w:bCs/>
          <w:i/>
          <w:iCs/>
          <w:color w:val="000000"/>
          <w:sz w:val="24"/>
          <w:szCs w:val="24"/>
        </w:rPr>
        <w:t xml:space="preserve"> Odôvodnenie doložte dôkladným hodnotením prínosov a nákladov. </w:t>
      </w:r>
      <w:r w:rsidRPr="005D39D8">
        <w:rPr>
          <w:rFonts w:eastAsia="Calibri"/>
          <w:bCs/>
          <w:i/>
          <w:iCs/>
          <w:color w:val="000000"/>
          <w:sz w:val="24"/>
          <w:szCs w:val="24"/>
        </w:rPr>
        <w:t>Uveďte zvážené alternatívne riešenia.</w:t>
      </w:r>
      <w:r>
        <w:rPr>
          <w:rFonts w:eastAsia="Calibri"/>
          <w:bCs/>
          <w:i/>
          <w:iCs/>
          <w:color w:val="000000"/>
          <w:sz w:val="24"/>
          <w:szCs w:val="24"/>
        </w:rPr>
        <w:t>.</w:t>
      </w:r>
    </w:p>
    <w:p w14:paraId="7CBBE41C" w14:textId="77777777" w:rsidR="00D312DE" w:rsidRPr="000C5419" w:rsidRDefault="00D312DE" w:rsidP="00D312DE">
      <w:pPr>
        <w:jc w:val="both"/>
        <w:rPr>
          <w:rFonts w:eastAsia="Calibri"/>
          <w:bCs/>
          <w:i/>
          <w:iCs/>
          <w:color w:val="000000"/>
          <w:sz w:val="24"/>
          <w:szCs w:val="24"/>
        </w:rPr>
      </w:pPr>
      <w:r>
        <w:rPr>
          <w:rFonts w:eastAsia="Calibri"/>
          <w:bCs/>
          <w:i/>
          <w:iCs/>
          <w:color w:val="000000"/>
          <w:sz w:val="24"/>
          <w:szCs w:val="24"/>
        </w:rPr>
        <w:t xml:space="preserve">Zároveň uveďte </w:t>
      </w:r>
      <w:r w:rsidRPr="00284B8C">
        <w:rPr>
          <w:rFonts w:eastAsia="Calibri"/>
          <w:bCs/>
          <w:i/>
          <w:iCs/>
          <w:color w:val="000000"/>
          <w:sz w:val="24"/>
          <w:szCs w:val="24"/>
        </w:rPr>
        <w:t>konkrétne informácie súvisiace s </w:t>
      </w:r>
      <w:r>
        <w:rPr>
          <w:rFonts w:eastAsia="Calibri"/>
          <w:bCs/>
          <w:i/>
          <w:iCs/>
          <w:color w:val="000000"/>
          <w:sz w:val="24"/>
          <w:szCs w:val="24"/>
        </w:rPr>
        <w:t>kategóriou</w:t>
      </w:r>
      <w:r w:rsidRPr="00284B8C">
        <w:rPr>
          <w:rFonts w:eastAsia="Calibri"/>
          <w:bCs/>
          <w:i/>
          <w:iCs/>
          <w:color w:val="000000"/>
          <w:sz w:val="24"/>
          <w:szCs w:val="24"/>
        </w:rPr>
        <w:t xml:space="preserve"> goldplatingu</w:t>
      </w:r>
      <w:r>
        <w:rPr>
          <w:rFonts w:eastAsia="Calibri"/>
          <w:bCs/>
          <w:i/>
          <w:iCs/>
          <w:color w:val="000000"/>
          <w:sz w:val="24"/>
          <w:szCs w:val="24"/>
        </w:rPr>
        <w:t xml:space="preserve"> podľa jednotnej metodiky</w:t>
      </w:r>
      <w:r w:rsidRPr="00284B8C">
        <w:rPr>
          <w:rFonts w:eastAsia="Calibri"/>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Pr="000C5419">
        <w:rPr>
          <w:rFonts w:eastAsia="Calibri"/>
          <w:bCs/>
          <w:i/>
          <w:iCs/>
          <w:color w:val="000000"/>
          <w:sz w:val="24"/>
          <w:szCs w:val="24"/>
        </w:rPr>
        <w:t xml:space="preserve"> požiadavky. </w:t>
      </w:r>
    </w:p>
    <w:p w14:paraId="4F2B1270" w14:textId="77777777" w:rsidR="00D312DE" w:rsidRPr="00F244DC" w:rsidRDefault="00D312DE" w:rsidP="00D312DE">
      <w:pPr>
        <w:jc w:val="both"/>
        <w:rPr>
          <w:rFonts w:eastAsia="Calibri"/>
          <w:bCs/>
          <w:i/>
          <w:iCs/>
          <w:sz w:val="24"/>
          <w:szCs w:val="24"/>
        </w:rPr>
      </w:pPr>
      <w:r w:rsidRPr="00F244DC">
        <w:rPr>
          <w:rFonts w:eastAsia="Calibri"/>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426F2DBA" w14:textId="77777777" w:rsidR="00D312DE" w:rsidRDefault="00D312DE" w:rsidP="00D312DE">
      <w:pPr>
        <w:jc w:val="both"/>
        <w:rPr>
          <w:rFonts w:eastAsia="Calibri"/>
          <w:b/>
          <w:sz w:val="24"/>
          <w:szCs w:val="24"/>
        </w:rPr>
      </w:pPr>
    </w:p>
    <w:p w14:paraId="3E3A06A5" w14:textId="77777777" w:rsidR="00D312DE" w:rsidRPr="001F1B43" w:rsidRDefault="00D312DE" w:rsidP="00D312DE">
      <w:pPr>
        <w:jc w:val="both"/>
        <w:rPr>
          <w:rFonts w:eastAsia="Calibri"/>
          <w:b/>
          <w:sz w:val="24"/>
          <w:szCs w:val="24"/>
        </w:rPr>
      </w:pPr>
      <w:r w:rsidRPr="001F1B43">
        <w:rPr>
          <w:rFonts w:eastAsia="Calibri"/>
          <w:b/>
          <w:sz w:val="24"/>
          <w:szCs w:val="24"/>
        </w:rPr>
        <w:t>3.2 Vyhodnotenie konzultácií s podnikateľskými subjektmi pred predbežným pripomienkovým konaním</w:t>
      </w:r>
    </w:p>
    <w:p w14:paraId="531DCC1F" w14:textId="77777777" w:rsidR="00D312DE" w:rsidRPr="00D8247C" w:rsidRDefault="00D312DE" w:rsidP="00D312DE">
      <w:pPr>
        <w:jc w:val="both"/>
        <w:rPr>
          <w:rFonts w:eastAsia="Calibri"/>
          <w:i/>
          <w:sz w:val="24"/>
          <w:szCs w:val="24"/>
        </w:rPr>
      </w:pPr>
      <w:r w:rsidRPr="00D8247C">
        <w:rPr>
          <w:rFonts w:eastAsia="Calibri"/>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392C957B" w14:textId="77777777" w:rsidR="00D312DE" w:rsidRPr="00D8247C" w:rsidRDefault="00D312DE" w:rsidP="00D312DE">
      <w:pPr>
        <w:jc w:val="both"/>
        <w:rPr>
          <w:rFonts w:eastAsia="Calibri"/>
          <w:i/>
          <w:sz w:val="24"/>
          <w:szCs w:val="24"/>
        </w:rPr>
      </w:pPr>
      <w:r w:rsidRPr="00D8247C">
        <w:rPr>
          <w:rFonts w:eastAsia="Calibri"/>
          <w:i/>
          <w:sz w:val="24"/>
          <w:szCs w:val="24"/>
        </w:rPr>
        <w:t xml:space="preserve">Uveďte hlavné body konzultácií a ich závery. </w:t>
      </w:r>
    </w:p>
    <w:p w14:paraId="7E6F6FD0" w14:textId="77777777" w:rsidR="00D312DE" w:rsidRPr="00D8247C" w:rsidRDefault="00D312DE" w:rsidP="00D312DE">
      <w:pPr>
        <w:jc w:val="both"/>
        <w:rPr>
          <w:rFonts w:eastAsia="Calibri"/>
          <w:i/>
          <w:sz w:val="24"/>
          <w:szCs w:val="24"/>
        </w:rPr>
      </w:pPr>
      <w:r w:rsidRPr="00D8247C">
        <w:rPr>
          <w:rFonts w:eastAsia="Calibri"/>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1421807E" w14:textId="77777777" w:rsidR="00D312DE" w:rsidRPr="00D8247C" w:rsidRDefault="00D312DE" w:rsidP="00D312DE">
      <w:pPr>
        <w:jc w:val="both"/>
        <w:rPr>
          <w:rFonts w:eastAsia="Calibri"/>
          <w:i/>
          <w:sz w:val="24"/>
          <w:szCs w:val="24"/>
        </w:rPr>
      </w:pPr>
      <w:r w:rsidRPr="00D8247C">
        <w:rPr>
          <w:rFonts w:eastAsia="Calibri"/>
          <w:i/>
          <w:sz w:val="24"/>
          <w:szCs w:val="24"/>
        </w:rPr>
        <w:t xml:space="preserve">Alternatívne namiesto vypĺňania bodu 3.2 môžete uviesť ako samostatnú prílohu tejto analýzy Záznam z konzultácií obsahujúci požadované informácie. </w:t>
      </w:r>
    </w:p>
    <w:p w14:paraId="644B140C" w14:textId="77777777" w:rsidR="00D312DE" w:rsidRDefault="00D312DE" w:rsidP="00D312DE">
      <w:pPr>
        <w:jc w:val="both"/>
        <w:rPr>
          <w:rFonts w:eastAsia="Calibri"/>
          <w:i/>
          <w:sz w:val="24"/>
          <w:szCs w:val="24"/>
        </w:rPr>
      </w:pPr>
    </w:p>
    <w:p w14:paraId="2F4D0BFE" w14:textId="77777777" w:rsidR="00D312DE" w:rsidRPr="00472BC8" w:rsidRDefault="00D312DE" w:rsidP="00D312DE">
      <w:pPr>
        <w:jc w:val="both"/>
        <w:rPr>
          <w:rFonts w:eastAsia="Calibri"/>
          <w:sz w:val="24"/>
          <w:szCs w:val="24"/>
        </w:rPr>
      </w:pPr>
      <w:r w:rsidRPr="00472BC8">
        <w:rPr>
          <w:rFonts w:eastAsia="Calibri"/>
          <w:sz w:val="24"/>
          <w:szCs w:val="24"/>
        </w:rPr>
        <w:t xml:space="preserve">Predkladaný návrh zákona obsahuje ustanovenia, ktoré boli predmetom </w:t>
      </w:r>
      <w:r w:rsidRPr="00472BC8">
        <w:rPr>
          <w:bCs/>
          <w:sz w:val="24"/>
          <w:szCs w:val="24"/>
        </w:rPr>
        <w:t xml:space="preserve">návrhu nového zákona o civilnom letectve (LP/2022/505), ktorý bol vládou schválený ako vládny návrh zákona </w:t>
      </w:r>
      <w:r w:rsidRPr="00472BC8">
        <w:rPr>
          <w:rFonts w:eastAsia="Calibri"/>
          <w:kern w:val="2"/>
          <w:sz w:val="24"/>
          <w:szCs w:val="24"/>
          <w14:ligatures w14:val="standardContextual"/>
        </w:rPr>
        <w:t xml:space="preserve">o civilnom letectve a o zmene a doplnení niektorých zákonov (letecký zákon) (tlač 1460) a predložený na schválenie Národnou radou </w:t>
      </w:r>
      <w:r w:rsidRPr="00472BC8">
        <w:rPr>
          <w:rFonts w:eastAsia="Calibri"/>
          <w:bCs/>
          <w:kern w:val="2"/>
          <w:sz w:val="24"/>
          <w:szCs w:val="24"/>
          <w14:ligatures w14:val="standardContextual"/>
        </w:rPr>
        <w:t>Slovenskej republiky</w:t>
      </w:r>
      <w:r w:rsidRPr="00472BC8">
        <w:rPr>
          <w:rFonts w:eastAsia="Calibri"/>
          <w:kern w:val="2"/>
          <w:sz w:val="24"/>
          <w:szCs w:val="24"/>
          <w14:ligatures w14:val="standardContextual"/>
        </w:rPr>
        <w:t xml:space="preserve">. Národná rada </w:t>
      </w:r>
      <w:r w:rsidRPr="00472BC8">
        <w:rPr>
          <w:rFonts w:eastAsia="Calibri"/>
          <w:bCs/>
          <w:kern w:val="2"/>
          <w:sz w:val="24"/>
          <w:szCs w:val="24"/>
          <w14:ligatures w14:val="standardContextual"/>
        </w:rPr>
        <w:t>Slovenskej republiky</w:t>
      </w:r>
      <w:r w:rsidRPr="00472BC8">
        <w:rPr>
          <w:rFonts w:eastAsia="Calibri"/>
          <w:kern w:val="2"/>
          <w:sz w:val="24"/>
          <w:szCs w:val="24"/>
          <w14:ligatures w14:val="standardContextual"/>
        </w:rPr>
        <w:t xml:space="preserve"> dňa 23. 03. 2023 vládny návrh zákona o civilnom letectve neschválila v 1. čítaní</w:t>
      </w:r>
      <w:r w:rsidRPr="00472BC8">
        <w:rPr>
          <w:rFonts w:eastAsia="Calibri"/>
          <w:sz w:val="24"/>
          <w:szCs w:val="24"/>
        </w:rPr>
        <w:t>. V rámci tohto návrhu zákona sa dopĺňa nový účel, na ktorý bude možné poskytnúť príspevok v civilnom letectva.</w:t>
      </w:r>
    </w:p>
    <w:p w14:paraId="39D1DDE0" w14:textId="77777777" w:rsidR="00D312DE" w:rsidRPr="00472BC8" w:rsidRDefault="00D312DE" w:rsidP="00D312DE">
      <w:pPr>
        <w:jc w:val="both"/>
        <w:rPr>
          <w:rFonts w:eastAsia="Calibri"/>
          <w:sz w:val="24"/>
          <w:szCs w:val="24"/>
        </w:rPr>
      </w:pPr>
      <w:r w:rsidRPr="00472BC8">
        <w:rPr>
          <w:rFonts w:eastAsia="Calibri"/>
          <w:sz w:val="24"/>
          <w:szCs w:val="24"/>
        </w:rPr>
        <w:t xml:space="preserve">Ministerstvo dopravy Slovenskej republiky pri riešení otázky nových leteckých spojení neformálne komunikovalo s vybranými leteckými dopravcami, ktorí uviedli, že zavedenie nového leteckého spojenia je spojené s istým finančným rizikom a požiadali Ministerstvo dopravy Slovenskej republiky o vytvorenie nástroja na podporu zavedenia nových leteckých </w:t>
      </w:r>
      <w:r w:rsidRPr="00472BC8">
        <w:rPr>
          <w:rFonts w:eastAsia="Calibri"/>
          <w:sz w:val="24"/>
          <w:szCs w:val="24"/>
        </w:rPr>
        <w:lastRenderedPageBreak/>
        <w:t>spojení alebo na udržanie existujúcich le</w:t>
      </w:r>
      <w:r>
        <w:rPr>
          <w:rFonts w:eastAsia="Calibri"/>
          <w:sz w:val="24"/>
          <w:szCs w:val="24"/>
        </w:rPr>
        <w:t xml:space="preserve">teckých spojení. </w:t>
      </w:r>
    </w:p>
    <w:p w14:paraId="4339A29B" w14:textId="77777777" w:rsidR="00D312DE" w:rsidRPr="00162902" w:rsidRDefault="00D312DE" w:rsidP="00D312DE">
      <w:pPr>
        <w:jc w:val="both"/>
        <w:rPr>
          <w:rFonts w:eastAsia="Calibri"/>
          <w:sz w:val="24"/>
          <w:szCs w:val="24"/>
        </w:rPr>
      </w:pPr>
    </w:p>
    <w:p w14:paraId="151FF20C" w14:textId="77777777" w:rsidR="00D312DE" w:rsidRPr="00D8247C" w:rsidRDefault="00D312DE" w:rsidP="00D312DE">
      <w:pPr>
        <w:jc w:val="both"/>
        <w:rPr>
          <w:rFonts w:eastAsia="Calibri"/>
          <w:i/>
          <w:sz w:val="24"/>
          <w:szCs w:val="24"/>
        </w:rPr>
      </w:pPr>
    </w:p>
    <w:p w14:paraId="059572C1" w14:textId="77777777" w:rsidR="00D312DE" w:rsidRPr="001F1B43" w:rsidRDefault="00D312DE" w:rsidP="00D312DE">
      <w:pPr>
        <w:jc w:val="both"/>
        <w:rPr>
          <w:rFonts w:eastAsia="Calibri"/>
          <w:b/>
          <w:sz w:val="24"/>
          <w:szCs w:val="24"/>
        </w:rPr>
      </w:pPr>
      <w:bookmarkStart w:id="1" w:name="_Hlk47698091"/>
      <w:r w:rsidRPr="001F1B43">
        <w:rPr>
          <w:rFonts w:eastAsia="Calibri"/>
          <w:b/>
          <w:sz w:val="24"/>
          <w:szCs w:val="24"/>
        </w:rPr>
        <w:t>3.3 Vplyvy na konkurencieschopnosť a produktivitu</w:t>
      </w:r>
    </w:p>
    <w:bookmarkEnd w:id="1"/>
    <w:p w14:paraId="51601906" w14:textId="77777777" w:rsidR="00D312DE" w:rsidRPr="00D8247C" w:rsidRDefault="00D312DE" w:rsidP="00D312DE">
      <w:pPr>
        <w:jc w:val="both"/>
        <w:rPr>
          <w:rFonts w:eastAsia="Calibri"/>
          <w:i/>
          <w:sz w:val="24"/>
          <w:szCs w:val="24"/>
        </w:rPr>
      </w:pPr>
      <w:r w:rsidRPr="00D8247C">
        <w:rPr>
          <w:rFonts w:eastAsia="Calibri"/>
          <w:i/>
          <w:sz w:val="24"/>
          <w:szCs w:val="24"/>
        </w:rPr>
        <w:t xml:space="preserve">Dochádza k vytvoreniu resp. k zmene bariér na trhu? </w:t>
      </w:r>
    </w:p>
    <w:p w14:paraId="6EACDCE2" w14:textId="77777777" w:rsidR="00D312DE" w:rsidRPr="00D8247C" w:rsidRDefault="00D312DE" w:rsidP="00D312DE">
      <w:pPr>
        <w:jc w:val="both"/>
        <w:rPr>
          <w:rFonts w:eastAsia="Calibri"/>
          <w:i/>
          <w:sz w:val="24"/>
          <w:szCs w:val="24"/>
        </w:rPr>
      </w:pPr>
      <w:r w:rsidRPr="00D8247C">
        <w:rPr>
          <w:rFonts w:eastAsia="Calibri"/>
          <w:i/>
          <w:sz w:val="24"/>
          <w:szCs w:val="24"/>
        </w:rPr>
        <w:t xml:space="preserve">Bude sa s niektorými podnikmi alebo produktmi zaobchádzať v porovnateľnej situácii rôzne (napr. špeciálne režimy pre mikro, malé a stredné podniky tzv. MSP)? </w:t>
      </w:r>
    </w:p>
    <w:p w14:paraId="78A2C4E8" w14:textId="77777777" w:rsidR="00D312DE" w:rsidRPr="00D8247C" w:rsidRDefault="00D312DE" w:rsidP="00D312DE">
      <w:pPr>
        <w:jc w:val="both"/>
        <w:rPr>
          <w:rFonts w:eastAsia="Calibri"/>
          <w:i/>
          <w:sz w:val="24"/>
          <w:szCs w:val="24"/>
        </w:rPr>
      </w:pPr>
      <w:r w:rsidRPr="00D8247C">
        <w:rPr>
          <w:rFonts w:eastAsia="Calibri"/>
          <w:i/>
          <w:sz w:val="24"/>
          <w:szCs w:val="24"/>
        </w:rPr>
        <w:t xml:space="preserve">Ovplyvňuje zmena regulácie cezhraničné investície (príliv/odliv zahraničných investícií resp. uplatnenie slovenských podnikov na zahraničných trhoch)? </w:t>
      </w:r>
    </w:p>
    <w:p w14:paraId="1768ED66" w14:textId="77777777" w:rsidR="00D312DE" w:rsidRDefault="00D312DE" w:rsidP="00D312DE">
      <w:pPr>
        <w:jc w:val="both"/>
        <w:rPr>
          <w:rFonts w:eastAsia="Calibri"/>
          <w:i/>
          <w:sz w:val="24"/>
          <w:szCs w:val="24"/>
        </w:rPr>
      </w:pPr>
      <w:r w:rsidRPr="00D8247C">
        <w:rPr>
          <w:rFonts w:eastAsia="Calibri"/>
          <w:i/>
          <w:sz w:val="24"/>
          <w:szCs w:val="24"/>
        </w:rPr>
        <w:t xml:space="preserve">Ovplyvní dostupnosť základných zdrojov (financie, pracovná sila, suroviny, mechanizmy, energie atď.)? </w:t>
      </w:r>
    </w:p>
    <w:p w14:paraId="2F6811EF" w14:textId="77777777" w:rsidR="00D312DE" w:rsidRDefault="00D312DE" w:rsidP="00D312DE">
      <w:pPr>
        <w:jc w:val="both"/>
        <w:rPr>
          <w:rFonts w:eastAsia="Calibri"/>
          <w:i/>
          <w:sz w:val="24"/>
          <w:szCs w:val="24"/>
        </w:rPr>
      </w:pPr>
      <w:r>
        <w:rPr>
          <w:rFonts w:eastAsia="Calibri"/>
          <w:i/>
          <w:sz w:val="24"/>
          <w:szCs w:val="24"/>
        </w:rPr>
        <w:t>Ovplyvňuje zmena regulácie inovácie, vedu a výskum?</w:t>
      </w:r>
    </w:p>
    <w:p w14:paraId="4684DA49" w14:textId="77777777" w:rsidR="00D312DE" w:rsidRPr="00D8247C" w:rsidRDefault="00D312DE" w:rsidP="00D312DE">
      <w:pPr>
        <w:jc w:val="both"/>
        <w:rPr>
          <w:rFonts w:eastAsia="Calibri"/>
          <w:i/>
          <w:sz w:val="24"/>
          <w:szCs w:val="24"/>
        </w:rPr>
      </w:pPr>
      <w:r>
        <w:rPr>
          <w:rFonts w:eastAsia="Calibri"/>
          <w:i/>
          <w:sz w:val="24"/>
          <w:szCs w:val="24"/>
        </w:rPr>
        <w:t>Ak bol identifikovaný goldplating, prispieva k zníženiu konkurencieschopnosti a produktivity? Akým spôsobom?</w:t>
      </w:r>
    </w:p>
    <w:p w14:paraId="71B701E7" w14:textId="77777777" w:rsidR="00D312DE" w:rsidRPr="00D8247C" w:rsidRDefault="00D312DE" w:rsidP="00D312DE">
      <w:pPr>
        <w:jc w:val="both"/>
        <w:rPr>
          <w:rFonts w:eastAsia="Calibri"/>
          <w:i/>
          <w:sz w:val="24"/>
          <w:szCs w:val="24"/>
        </w:rPr>
      </w:pPr>
      <w:r w:rsidRPr="00D8247C">
        <w:rPr>
          <w:rFonts w:eastAsia="Calibri"/>
          <w:i/>
          <w:iCs/>
          <w:sz w:val="24"/>
          <w:szCs w:val="24"/>
        </w:rPr>
        <w:t>Ako prispieva zmena regulácie k cieľu Slovenska mať najlepšie podnikateľské prostredie spomedzi susediacich krajín EÚ?</w:t>
      </w:r>
    </w:p>
    <w:p w14:paraId="14D0DD87" w14:textId="77777777" w:rsidR="00D312DE" w:rsidRPr="00D8247C" w:rsidRDefault="00D312DE" w:rsidP="00D312DE">
      <w:pPr>
        <w:jc w:val="both"/>
        <w:rPr>
          <w:rFonts w:eastAsia="Calibri"/>
          <w:i/>
          <w:sz w:val="24"/>
          <w:szCs w:val="24"/>
        </w:rPr>
      </w:pPr>
    </w:p>
    <w:p w14:paraId="2BCF3905" w14:textId="77777777" w:rsidR="00D312DE" w:rsidRPr="00D8247C" w:rsidRDefault="00D312DE" w:rsidP="00D312DE">
      <w:pPr>
        <w:jc w:val="both"/>
        <w:rPr>
          <w:rFonts w:eastAsia="Calibri"/>
          <w:b/>
          <w:i/>
          <w:sz w:val="24"/>
          <w:szCs w:val="24"/>
        </w:rPr>
      </w:pPr>
      <w:r w:rsidRPr="00D8247C">
        <w:rPr>
          <w:rFonts w:eastAsia="Calibri"/>
          <w:b/>
          <w:i/>
          <w:sz w:val="24"/>
          <w:szCs w:val="24"/>
        </w:rPr>
        <w:t>Konkurencieschopnosť:</w:t>
      </w:r>
    </w:p>
    <w:p w14:paraId="47CB3867" w14:textId="77777777" w:rsidR="00D312DE" w:rsidRPr="00D8247C" w:rsidRDefault="00D312DE" w:rsidP="00D312DE">
      <w:pPr>
        <w:jc w:val="both"/>
        <w:rPr>
          <w:rFonts w:eastAsia="Calibri"/>
          <w:i/>
          <w:sz w:val="24"/>
          <w:szCs w:val="24"/>
        </w:rPr>
      </w:pPr>
      <w:r w:rsidRPr="00D8247C">
        <w:rPr>
          <w:rFonts w:eastAsia="Calibri"/>
          <w:i/>
          <w:sz w:val="24"/>
          <w:szCs w:val="24"/>
        </w:rPr>
        <w:t>Na základe uvedených odpovedí zaškrtnite a popíšte, či materiál konkurencieschopnosť:</w:t>
      </w:r>
    </w:p>
    <w:p w14:paraId="5A3F9B1D" w14:textId="77777777" w:rsidR="00D312DE" w:rsidRPr="00D8247C" w:rsidRDefault="00685F21" w:rsidP="00D312DE">
      <w:pPr>
        <w:jc w:val="both"/>
        <w:rPr>
          <w:rFonts w:eastAsia="Calibri"/>
          <w:i/>
          <w:sz w:val="24"/>
          <w:szCs w:val="24"/>
        </w:rPr>
      </w:pPr>
      <w:sdt>
        <w:sdtPr>
          <w:rPr>
            <w:rFonts w:eastAsia="Calibri"/>
            <w:i/>
            <w:sz w:val="24"/>
            <w:szCs w:val="24"/>
          </w:rPr>
          <w:id w:val="798576880"/>
        </w:sdtPr>
        <w:sdtEndPr/>
        <w:sdtContent>
          <w:sdt>
            <w:sdtPr>
              <w:rPr>
                <w:rFonts w:eastAsia="Calibri"/>
                <w:i/>
                <w:sz w:val="24"/>
                <w:szCs w:val="24"/>
              </w:rPr>
              <w:id w:val="1729873660"/>
            </w:sdtPr>
            <w:sdtEndPr/>
            <w:sdtContent>
              <w:r w:rsidR="00D312DE">
                <w:rPr>
                  <w:rFonts w:ascii="Segoe UI Symbol" w:eastAsia="Calibri" w:hAnsi="Segoe UI Symbol" w:cs="Segoe UI Symbol"/>
                  <w:i/>
                  <w:sz w:val="24"/>
                  <w:szCs w:val="24"/>
                </w:rPr>
                <w:t>x</w:t>
              </w:r>
            </w:sdtContent>
          </w:sdt>
        </w:sdtContent>
      </w:sdt>
      <w:r w:rsidR="00D312DE" w:rsidRPr="00D8247C">
        <w:rPr>
          <w:rFonts w:eastAsia="Calibri"/>
          <w:i/>
          <w:sz w:val="24"/>
          <w:szCs w:val="24"/>
        </w:rPr>
        <w:t xml:space="preserve"> zvyšuje  </w:t>
      </w:r>
      <w:r w:rsidR="00D312DE" w:rsidRPr="00D8247C">
        <w:rPr>
          <w:rFonts w:eastAsia="Calibri"/>
          <w:i/>
          <w:sz w:val="24"/>
          <w:szCs w:val="24"/>
        </w:rPr>
        <w:tab/>
      </w:r>
      <w:sdt>
        <w:sdtPr>
          <w:rPr>
            <w:rFonts w:eastAsia="Calibri"/>
            <w:i/>
            <w:sz w:val="24"/>
            <w:szCs w:val="24"/>
          </w:rPr>
          <w:id w:val="410579887"/>
        </w:sdtPr>
        <w:sdtEndPr/>
        <w:sdtContent>
          <w:sdt>
            <w:sdtPr>
              <w:rPr>
                <w:rFonts w:eastAsia="Calibri"/>
                <w:i/>
                <w:sz w:val="24"/>
                <w:szCs w:val="24"/>
              </w:rPr>
              <w:id w:val="-80300261"/>
            </w:sdtPr>
            <w:sdtEndPr/>
            <w:sdtContent>
              <w:r w:rsidR="00D312DE" w:rsidRPr="00D8247C">
                <w:rPr>
                  <w:rFonts w:ascii="Segoe UI Symbol" w:eastAsia="Calibri" w:hAnsi="Segoe UI Symbol" w:cs="Segoe UI Symbol"/>
                  <w:i/>
                  <w:sz w:val="24"/>
                  <w:szCs w:val="24"/>
                </w:rPr>
                <w:t>☐</w:t>
              </w:r>
            </w:sdtContent>
          </w:sdt>
        </w:sdtContent>
      </w:sdt>
      <w:r w:rsidR="00D312DE" w:rsidRPr="00D8247C">
        <w:rPr>
          <w:rFonts w:eastAsia="Calibri"/>
          <w:i/>
          <w:sz w:val="24"/>
          <w:szCs w:val="24"/>
        </w:rPr>
        <w:t xml:space="preserve"> nemení</w:t>
      </w:r>
      <w:r w:rsidR="00D312DE" w:rsidRPr="00D8247C">
        <w:rPr>
          <w:rFonts w:eastAsia="Calibri"/>
          <w:i/>
          <w:sz w:val="24"/>
          <w:szCs w:val="24"/>
        </w:rPr>
        <w:tab/>
      </w:r>
      <w:sdt>
        <w:sdtPr>
          <w:rPr>
            <w:rFonts w:eastAsia="Calibri"/>
            <w:i/>
            <w:sz w:val="24"/>
            <w:szCs w:val="24"/>
          </w:rPr>
          <w:id w:val="-474604883"/>
        </w:sdtPr>
        <w:sdtEndPr/>
        <w:sdtContent>
          <w:sdt>
            <w:sdtPr>
              <w:rPr>
                <w:rFonts w:eastAsia="Calibri"/>
                <w:i/>
                <w:sz w:val="24"/>
                <w:szCs w:val="24"/>
              </w:rPr>
              <w:id w:val="-1706551548"/>
            </w:sdtPr>
            <w:sdtEndPr/>
            <w:sdtContent>
              <w:r w:rsidR="00D312DE" w:rsidRPr="00D8247C">
                <w:rPr>
                  <w:rFonts w:ascii="Segoe UI Symbol" w:eastAsia="Calibri" w:hAnsi="Segoe UI Symbol" w:cs="Segoe UI Symbol"/>
                  <w:i/>
                  <w:sz w:val="24"/>
                  <w:szCs w:val="24"/>
                </w:rPr>
                <w:t>☐</w:t>
              </w:r>
            </w:sdtContent>
          </w:sdt>
        </w:sdtContent>
      </w:sdt>
      <w:r w:rsidR="00D312DE" w:rsidRPr="00D8247C">
        <w:rPr>
          <w:rFonts w:eastAsia="Calibri"/>
          <w:i/>
          <w:sz w:val="24"/>
          <w:szCs w:val="24"/>
        </w:rPr>
        <w:t xml:space="preserve"> znižuje</w:t>
      </w:r>
    </w:p>
    <w:p w14:paraId="552E7D41" w14:textId="77777777" w:rsidR="00D312DE" w:rsidRDefault="00D312DE" w:rsidP="00D312DE">
      <w:pPr>
        <w:jc w:val="both"/>
        <w:rPr>
          <w:rFonts w:eastAsia="Calibri"/>
          <w:i/>
          <w:sz w:val="24"/>
          <w:szCs w:val="24"/>
        </w:rPr>
      </w:pPr>
    </w:p>
    <w:p w14:paraId="7387F8A8" w14:textId="77777777" w:rsidR="00D312DE" w:rsidRPr="00162902" w:rsidRDefault="00D312DE" w:rsidP="00D312DE">
      <w:pPr>
        <w:jc w:val="both"/>
        <w:rPr>
          <w:rFonts w:eastAsia="Calibri"/>
          <w:sz w:val="24"/>
          <w:szCs w:val="24"/>
        </w:rPr>
      </w:pPr>
      <w:r w:rsidRPr="00162902">
        <w:rPr>
          <w:rFonts w:eastAsia="Calibri"/>
          <w:sz w:val="24"/>
          <w:szCs w:val="24"/>
        </w:rPr>
        <w:t xml:space="preserve">Návrh zákona </w:t>
      </w:r>
      <w:r>
        <w:rPr>
          <w:rFonts w:eastAsia="Calibri"/>
          <w:sz w:val="24"/>
          <w:szCs w:val="24"/>
        </w:rPr>
        <w:t xml:space="preserve">zavádza nový účel poskytnutie príspevku v civilnom letectve, </w:t>
      </w:r>
      <w:r w:rsidRPr="00162902">
        <w:rPr>
          <w:rFonts w:eastAsia="Calibri"/>
          <w:sz w:val="24"/>
          <w:szCs w:val="24"/>
        </w:rPr>
        <w:t xml:space="preserve">zohľadňujúc právnu úpravu </w:t>
      </w:r>
      <w:r>
        <w:rPr>
          <w:rFonts w:eastAsia="Calibri"/>
          <w:sz w:val="24"/>
          <w:szCs w:val="24"/>
        </w:rPr>
        <w:t xml:space="preserve">štátnej pomoci </w:t>
      </w:r>
      <w:r w:rsidRPr="00162902">
        <w:rPr>
          <w:rFonts w:eastAsia="Calibri"/>
          <w:sz w:val="24"/>
          <w:szCs w:val="24"/>
        </w:rPr>
        <w:t>na Európskej únii. Uvedená právna úprava</w:t>
      </w:r>
      <w:r>
        <w:rPr>
          <w:rFonts w:eastAsia="Calibri"/>
          <w:sz w:val="24"/>
          <w:szCs w:val="24"/>
        </w:rPr>
        <w:t xml:space="preserve"> môže motivovať leteckých dopravcov otvárať nové letecké spojenia.</w:t>
      </w:r>
    </w:p>
    <w:p w14:paraId="425B4143" w14:textId="77777777" w:rsidR="00D312DE" w:rsidRDefault="00D312DE" w:rsidP="00D312DE">
      <w:pPr>
        <w:jc w:val="both"/>
        <w:rPr>
          <w:rFonts w:eastAsia="Calibri"/>
          <w:i/>
          <w:sz w:val="24"/>
          <w:szCs w:val="24"/>
        </w:rPr>
      </w:pPr>
    </w:p>
    <w:p w14:paraId="41E38779" w14:textId="77777777" w:rsidR="00D312DE" w:rsidRPr="00D8247C" w:rsidRDefault="00D312DE" w:rsidP="00D312DE">
      <w:pPr>
        <w:jc w:val="both"/>
        <w:rPr>
          <w:rFonts w:eastAsia="Calibri"/>
          <w:b/>
          <w:i/>
          <w:sz w:val="24"/>
          <w:szCs w:val="24"/>
        </w:rPr>
      </w:pPr>
      <w:r w:rsidRPr="00D8247C">
        <w:rPr>
          <w:rFonts w:eastAsia="Calibri"/>
          <w:b/>
          <w:i/>
          <w:sz w:val="24"/>
          <w:szCs w:val="24"/>
        </w:rPr>
        <w:t>Produktivita:</w:t>
      </w:r>
    </w:p>
    <w:p w14:paraId="50D10885" w14:textId="77777777" w:rsidR="00D312DE" w:rsidRPr="00D8247C" w:rsidRDefault="00D312DE" w:rsidP="00D312DE">
      <w:pPr>
        <w:jc w:val="both"/>
        <w:rPr>
          <w:rFonts w:eastAsia="Calibri"/>
          <w:i/>
          <w:sz w:val="24"/>
          <w:szCs w:val="24"/>
        </w:rPr>
      </w:pPr>
      <w:r w:rsidRPr="00D8247C">
        <w:rPr>
          <w:rFonts w:eastAsia="Calibri"/>
          <w:i/>
          <w:sz w:val="24"/>
          <w:szCs w:val="24"/>
        </w:rPr>
        <w:t xml:space="preserve">Aký má materiál vplyv na zmenu pomeru medzi produkciou podnikov a ich nákladmi? </w:t>
      </w:r>
    </w:p>
    <w:p w14:paraId="7E40AECE" w14:textId="77777777" w:rsidR="00D312DE" w:rsidRPr="00D8247C" w:rsidRDefault="00D312DE" w:rsidP="00D312DE">
      <w:pPr>
        <w:jc w:val="both"/>
        <w:rPr>
          <w:rFonts w:eastAsia="Calibri"/>
          <w:i/>
          <w:sz w:val="24"/>
          <w:szCs w:val="24"/>
        </w:rPr>
      </w:pPr>
    </w:p>
    <w:p w14:paraId="127F0289" w14:textId="77777777" w:rsidR="00D312DE" w:rsidRPr="00D8247C" w:rsidRDefault="00D312DE" w:rsidP="00D312DE">
      <w:pPr>
        <w:jc w:val="both"/>
        <w:rPr>
          <w:rFonts w:eastAsia="Calibri"/>
          <w:i/>
          <w:sz w:val="24"/>
          <w:szCs w:val="24"/>
        </w:rPr>
      </w:pPr>
      <w:r w:rsidRPr="00D8247C">
        <w:rPr>
          <w:rFonts w:eastAsia="Calibri"/>
          <w:i/>
          <w:sz w:val="24"/>
          <w:szCs w:val="24"/>
        </w:rPr>
        <w:t>Na základe uvedenej odpovede zaškrtnite a popíšte, či materiál produktivitu:</w:t>
      </w:r>
    </w:p>
    <w:p w14:paraId="2D90F240" w14:textId="77777777" w:rsidR="00D312DE" w:rsidRPr="00D8247C" w:rsidRDefault="00685F21" w:rsidP="00D312DE">
      <w:pPr>
        <w:jc w:val="both"/>
        <w:rPr>
          <w:rFonts w:eastAsia="Calibri"/>
          <w:i/>
          <w:sz w:val="24"/>
          <w:szCs w:val="24"/>
        </w:rPr>
      </w:pPr>
      <w:sdt>
        <w:sdtPr>
          <w:rPr>
            <w:rFonts w:eastAsia="Calibri"/>
            <w:i/>
            <w:sz w:val="24"/>
            <w:szCs w:val="24"/>
          </w:rPr>
          <w:id w:val="-1545903528"/>
        </w:sdtPr>
        <w:sdtEndPr/>
        <w:sdtContent>
          <w:sdt>
            <w:sdtPr>
              <w:rPr>
                <w:rFonts w:eastAsia="Calibri"/>
                <w:i/>
                <w:sz w:val="24"/>
                <w:szCs w:val="24"/>
              </w:rPr>
              <w:id w:val="825715010"/>
            </w:sdtPr>
            <w:sdtEndPr/>
            <w:sdtContent>
              <w:r w:rsidR="00D312DE" w:rsidRPr="00D8247C">
                <w:rPr>
                  <w:rFonts w:ascii="Segoe UI Symbol" w:eastAsia="Calibri" w:hAnsi="Segoe UI Symbol" w:cs="Segoe UI Symbol"/>
                  <w:i/>
                  <w:sz w:val="24"/>
                  <w:szCs w:val="24"/>
                </w:rPr>
                <w:t>☐</w:t>
              </w:r>
            </w:sdtContent>
          </w:sdt>
        </w:sdtContent>
      </w:sdt>
      <w:r w:rsidR="00D312DE" w:rsidRPr="00D8247C">
        <w:rPr>
          <w:rFonts w:eastAsia="Calibri"/>
          <w:i/>
          <w:sz w:val="24"/>
          <w:szCs w:val="24"/>
        </w:rPr>
        <w:t xml:space="preserve"> zvyšuje  </w:t>
      </w:r>
      <w:r w:rsidR="00D312DE" w:rsidRPr="00D8247C">
        <w:rPr>
          <w:rFonts w:eastAsia="Calibri"/>
          <w:i/>
          <w:sz w:val="24"/>
          <w:szCs w:val="24"/>
        </w:rPr>
        <w:tab/>
      </w:r>
      <w:sdt>
        <w:sdtPr>
          <w:rPr>
            <w:rFonts w:eastAsia="Calibri"/>
            <w:i/>
            <w:sz w:val="24"/>
            <w:szCs w:val="24"/>
          </w:rPr>
          <w:id w:val="-353966921"/>
        </w:sdtPr>
        <w:sdtEndPr/>
        <w:sdtContent>
          <w:sdt>
            <w:sdtPr>
              <w:rPr>
                <w:rFonts w:eastAsia="Calibri"/>
                <w:i/>
                <w:sz w:val="24"/>
                <w:szCs w:val="24"/>
              </w:rPr>
              <w:id w:val="-1222205104"/>
            </w:sdtPr>
            <w:sdtEndPr/>
            <w:sdtContent>
              <w:r w:rsidR="00D312DE">
                <w:rPr>
                  <w:rFonts w:ascii="Segoe UI Symbol" w:eastAsia="Calibri" w:hAnsi="Segoe UI Symbol" w:cs="Segoe UI Symbol"/>
                  <w:i/>
                  <w:sz w:val="24"/>
                  <w:szCs w:val="24"/>
                </w:rPr>
                <w:t>x</w:t>
              </w:r>
            </w:sdtContent>
          </w:sdt>
        </w:sdtContent>
      </w:sdt>
      <w:r w:rsidR="00D312DE" w:rsidRPr="00D8247C">
        <w:rPr>
          <w:rFonts w:eastAsia="Calibri"/>
          <w:i/>
          <w:sz w:val="24"/>
          <w:szCs w:val="24"/>
        </w:rPr>
        <w:t xml:space="preserve"> nemení</w:t>
      </w:r>
      <w:r w:rsidR="00D312DE" w:rsidRPr="00D8247C">
        <w:rPr>
          <w:rFonts w:eastAsia="Calibri"/>
          <w:i/>
          <w:sz w:val="24"/>
          <w:szCs w:val="24"/>
        </w:rPr>
        <w:tab/>
      </w:r>
      <w:sdt>
        <w:sdtPr>
          <w:rPr>
            <w:rFonts w:eastAsia="Calibri"/>
            <w:i/>
            <w:sz w:val="24"/>
            <w:szCs w:val="24"/>
          </w:rPr>
          <w:id w:val="-1457723544"/>
        </w:sdtPr>
        <w:sdtEndPr/>
        <w:sdtContent>
          <w:sdt>
            <w:sdtPr>
              <w:rPr>
                <w:rFonts w:eastAsia="Calibri"/>
                <w:i/>
                <w:sz w:val="24"/>
                <w:szCs w:val="24"/>
              </w:rPr>
              <w:id w:val="-623767955"/>
            </w:sdtPr>
            <w:sdtEndPr/>
            <w:sdtContent>
              <w:r w:rsidR="00D312DE" w:rsidRPr="00D8247C">
                <w:rPr>
                  <w:rFonts w:ascii="Segoe UI Symbol" w:eastAsia="Calibri" w:hAnsi="Segoe UI Symbol" w:cs="Segoe UI Symbol"/>
                  <w:i/>
                  <w:sz w:val="24"/>
                  <w:szCs w:val="24"/>
                </w:rPr>
                <w:t>☐</w:t>
              </w:r>
            </w:sdtContent>
          </w:sdt>
        </w:sdtContent>
      </w:sdt>
      <w:r w:rsidR="00D312DE" w:rsidRPr="00D8247C">
        <w:rPr>
          <w:rFonts w:eastAsia="Calibri"/>
          <w:i/>
          <w:sz w:val="24"/>
          <w:szCs w:val="24"/>
        </w:rPr>
        <w:t xml:space="preserve"> znižuje</w:t>
      </w:r>
    </w:p>
    <w:p w14:paraId="2CAA48BC" w14:textId="77777777" w:rsidR="00D312DE" w:rsidRDefault="00D312DE" w:rsidP="00D312DE">
      <w:pPr>
        <w:jc w:val="both"/>
        <w:rPr>
          <w:rFonts w:eastAsia="Calibri"/>
          <w:i/>
          <w:sz w:val="24"/>
          <w:szCs w:val="24"/>
        </w:rPr>
      </w:pPr>
    </w:p>
    <w:p w14:paraId="1BB512B7" w14:textId="77777777" w:rsidR="00D312DE" w:rsidRPr="00D8247C" w:rsidRDefault="00D312DE" w:rsidP="00D312DE">
      <w:pPr>
        <w:jc w:val="both"/>
        <w:rPr>
          <w:rFonts w:eastAsia="Calibri"/>
          <w:i/>
          <w:sz w:val="24"/>
          <w:szCs w:val="24"/>
        </w:rPr>
      </w:pPr>
    </w:p>
    <w:p w14:paraId="0C9BB5B9" w14:textId="77777777" w:rsidR="00D312DE" w:rsidRPr="001F1B43" w:rsidRDefault="00D312DE" w:rsidP="00D312DE">
      <w:pPr>
        <w:jc w:val="both"/>
        <w:rPr>
          <w:rFonts w:eastAsia="Calibri"/>
          <w:b/>
          <w:sz w:val="24"/>
          <w:szCs w:val="24"/>
        </w:rPr>
      </w:pPr>
      <w:r w:rsidRPr="001F1B43">
        <w:rPr>
          <w:rFonts w:eastAsia="Calibri"/>
          <w:b/>
          <w:sz w:val="24"/>
          <w:szCs w:val="24"/>
        </w:rPr>
        <w:t xml:space="preserve">3.4  Iné vplyvy na podnikateľské prostredie </w:t>
      </w:r>
    </w:p>
    <w:p w14:paraId="4C97395F" w14:textId="77777777" w:rsidR="00D312DE" w:rsidRDefault="00D312DE" w:rsidP="00D312DE">
      <w:pPr>
        <w:jc w:val="both"/>
        <w:rPr>
          <w:rFonts w:eastAsia="Calibri"/>
          <w:i/>
          <w:sz w:val="24"/>
          <w:szCs w:val="24"/>
        </w:rPr>
      </w:pPr>
      <w:r>
        <w:rPr>
          <w:rFonts w:eastAsia="Calibri"/>
          <w:i/>
          <w:sz w:val="24"/>
          <w:szCs w:val="24"/>
        </w:rPr>
        <w:t xml:space="preserve">Ak má materiál vplyvy na PP, ktoré nemožno zaradiť do predchádzajúcich častí, či už pozitívne alebo negatívne, tu ich uveďte.  Patria sem: </w:t>
      </w:r>
    </w:p>
    <w:p w14:paraId="6080D012" w14:textId="77777777" w:rsidR="00D312DE" w:rsidRDefault="00D312DE" w:rsidP="00D312DE">
      <w:pPr>
        <w:pStyle w:val="Odsekzoznamu"/>
        <w:numPr>
          <w:ilvl w:val="0"/>
          <w:numId w:val="2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8BB2538" w14:textId="77777777" w:rsidR="00D312DE" w:rsidRDefault="00D312DE" w:rsidP="00D312DE">
      <w:pPr>
        <w:pStyle w:val="Odsekzoznamu"/>
        <w:numPr>
          <w:ilvl w:val="0"/>
          <w:numId w:val="2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E8FB7A6" w14:textId="77777777" w:rsidR="00D312DE" w:rsidRPr="00F244DC" w:rsidRDefault="00D312DE" w:rsidP="00D312DE">
      <w:pPr>
        <w:pStyle w:val="Odsekzoznamu"/>
        <w:numPr>
          <w:ilvl w:val="0"/>
          <w:numId w:val="2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p>
    <w:p w14:paraId="7A854121" w14:textId="77777777" w:rsidR="00D312DE" w:rsidRPr="00F244DC" w:rsidRDefault="00D312DE" w:rsidP="00D312DE">
      <w:pPr>
        <w:pStyle w:val="Odsekzoznamu"/>
        <w:numPr>
          <w:ilvl w:val="0"/>
          <w:numId w:val="21"/>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iné vplyvy podľa písm. a) až c), ktoré sú goldplatingom.</w:t>
      </w:r>
    </w:p>
    <w:p w14:paraId="6520896B" w14:textId="77777777" w:rsidR="00D312DE" w:rsidRDefault="00D312DE" w:rsidP="00D312DE">
      <w:pPr>
        <w:rPr>
          <w:b/>
          <w:sz w:val="28"/>
          <w:szCs w:val="28"/>
        </w:rPr>
      </w:pPr>
    </w:p>
    <w:p w14:paraId="2C44C695" w14:textId="77777777" w:rsidR="00D312DE" w:rsidRPr="00A4085D" w:rsidRDefault="00D312DE" w:rsidP="00D312DE">
      <w:pPr>
        <w:jc w:val="both"/>
        <w:rPr>
          <w:rFonts w:eastAsia="Calibri"/>
          <w:sz w:val="24"/>
          <w:szCs w:val="24"/>
        </w:rPr>
      </w:pPr>
      <w:r>
        <w:rPr>
          <w:rFonts w:eastAsia="Calibri"/>
          <w:sz w:val="24"/>
          <w:szCs w:val="24"/>
        </w:rPr>
        <w:t xml:space="preserve">Poskytnutie príspevku v civilnom letectve na nový účel predstavuje </w:t>
      </w:r>
      <w:r w:rsidRPr="00FA2793">
        <w:rPr>
          <w:rFonts w:eastAsia="Calibri"/>
          <w:sz w:val="24"/>
          <w:szCs w:val="24"/>
          <w:u w:val="single"/>
        </w:rPr>
        <w:t>pozitívny vplyv</w:t>
      </w:r>
      <w:r>
        <w:rPr>
          <w:rFonts w:eastAsia="Calibri"/>
          <w:sz w:val="24"/>
          <w:szCs w:val="24"/>
        </w:rPr>
        <w:t xml:space="preserve"> na podnikateľské prostredie aj vo vzťahu k letiskovej spoločnosti, ktorá prevádzkuje letisko, z ktorého sa letecké spojenie bude prevádzkovať, vzhľadom na skutočnosť, že letisková spoločnosť bude mať príjmy vo forme letiskových odplát a iné príjmy od leteckých dopravcov.</w:t>
      </w:r>
    </w:p>
    <w:p w14:paraId="37E24D0D" w14:textId="77777777" w:rsidR="00D312DE" w:rsidRDefault="00D312DE">
      <w:pPr>
        <w:widowControl/>
        <w:autoSpaceDE/>
        <w:autoSpaceDN/>
        <w:adjustRightInd/>
        <w:rPr>
          <w:b/>
          <w:bCs/>
          <w:sz w:val="24"/>
          <w:szCs w:val="24"/>
        </w:rPr>
      </w:pPr>
    </w:p>
    <w:p w14:paraId="0490D886" w14:textId="19E31998" w:rsidR="00D312DE" w:rsidRDefault="00D312DE">
      <w:pPr>
        <w:widowControl/>
        <w:autoSpaceDE/>
        <w:autoSpaceDN/>
        <w:adjustRightInd/>
        <w:rPr>
          <w:b/>
          <w:bCs/>
          <w:sz w:val="24"/>
          <w:szCs w:val="24"/>
        </w:rPr>
      </w:pPr>
      <w:r>
        <w:rPr>
          <w:b/>
          <w:bCs/>
          <w:sz w:val="24"/>
          <w:szCs w:val="24"/>
        </w:rPr>
        <w:br w:type="page"/>
      </w:r>
    </w:p>
    <w:p w14:paraId="41DDB945" w14:textId="77777777" w:rsidR="00197F9B" w:rsidRDefault="00197F9B" w:rsidP="00197F9B">
      <w:pPr>
        <w:pStyle w:val="Default"/>
        <w:ind w:left="360"/>
        <w:jc w:val="center"/>
        <w:rPr>
          <w:color w:val="auto"/>
        </w:rPr>
      </w:pPr>
      <w:r>
        <w:rPr>
          <w:b/>
          <w:bCs/>
          <w:color w:val="auto"/>
        </w:rPr>
        <w:lastRenderedPageBreak/>
        <w:t>DOLOŽKA ZLUČITEĽNOSTI</w:t>
      </w:r>
    </w:p>
    <w:p w14:paraId="7219538C" w14:textId="77777777" w:rsidR="00197F9B" w:rsidRDefault="00197F9B" w:rsidP="00197F9B">
      <w:pPr>
        <w:pStyle w:val="Default"/>
        <w:ind w:left="426"/>
        <w:jc w:val="center"/>
        <w:rPr>
          <w:b/>
          <w:bCs/>
          <w:color w:val="auto"/>
        </w:rPr>
      </w:pPr>
      <w:r>
        <w:rPr>
          <w:b/>
          <w:bCs/>
          <w:color w:val="auto"/>
        </w:rPr>
        <w:t>návrhu zákona s právom Európskej únie</w:t>
      </w:r>
    </w:p>
    <w:p w14:paraId="50A706A3" w14:textId="77777777" w:rsidR="00197F9B" w:rsidRDefault="00197F9B" w:rsidP="00197F9B">
      <w:pPr>
        <w:pStyle w:val="Default"/>
        <w:rPr>
          <w:color w:val="auto"/>
        </w:rPr>
      </w:pPr>
    </w:p>
    <w:p w14:paraId="32B680E5" w14:textId="77777777" w:rsidR="00197F9B" w:rsidRDefault="00197F9B" w:rsidP="00197F9B">
      <w:pPr>
        <w:pStyle w:val="Default"/>
        <w:numPr>
          <w:ilvl w:val="0"/>
          <w:numId w:val="23"/>
        </w:numPr>
        <w:adjustRightInd w:val="0"/>
        <w:ind w:left="567" w:hanging="567"/>
        <w:jc w:val="both"/>
        <w:rPr>
          <w:color w:val="auto"/>
        </w:rPr>
      </w:pPr>
      <w:r>
        <w:rPr>
          <w:b/>
          <w:color w:val="auto"/>
        </w:rPr>
        <w:t>Navrhovateľ zákona</w:t>
      </w:r>
      <w:r>
        <w:rPr>
          <w:color w:val="auto"/>
        </w:rPr>
        <w:t>: Ministerstvo dopravy Slovenskej republiky</w:t>
      </w:r>
    </w:p>
    <w:p w14:paraId="1E7B9754" w14:textId="77777777" w:rsidR="00197F9B" w:rsidRDefault="00197F9B" w:rsidP="00197F9B">
      <w:pPr>
        <w:pStyle w:val="Default"/>
        <w:jc w:val="both"/>
        <w:rPr>
          <w:color w:val="auto"/>
        </w:rPr>
      </w:pPr>
    </w:p>
    <w:p w14:paraId="06692598" w14:textId="77777777" w:rsidR="00197F9B" w:rsidRDefault="00197F9B" w:rsidP="00197F9B">
      <w:pPr>
        <w:pStyle w:val="Default"/>
        <w:numPr>
          <w:ilvl w:val="0"/>
          <w:numId w:val="23"/>
        </w:numPr>
        <w:adjustRightInd w:val="0"/>
        <w:ind w:left="567" w:hanging="567"/>
        <w:jc w:val="both"/>
      </w:pPr>
      <w:r>
        <w:rPr>
          <w:b/>
          <w:color w:val="auto"/>
        </w:rPr>
        <w:t>Názov návrhu zákona</w:t>
      </w:r>
      <w:r>
        <w:rPr>
          <w:color w:val="auto"/>
        </w:rPr>
        <w:t xml:space="preserve">: </w:t>
      </w:r>
      <w:r>
        <w:t>Návrh zákona, ktorým sa mení a dopĺňa zákon č. 213/2019 Z. z. o odplatách a o poskytovaní príspevku v civilnom letectve a o zmene a doplnení niektorých zákonov v znení neskorších predpisov</w:t>
      </w:r>
    </w:p>
    <w:p w14:paraId="0AD3F4EA" w14:textId="77777777" w:rsidR="00197F9B" w:rsidRDefault="00197F9B" w:rsidP="00197F9B">
      <w:pPr>
        <w:rPr>
          <w:bCs/>
        </w:rPr>
      </w:pPr>
    </w:p>
    <w:p w14:paraId="00676D6F" w14:textId="77777777" w:rsidR="00197F9B" w:rsidRDefault="00197F9B" w:rsidP="00197F9B">
      <w:pPr>
        <w:pStyle w:val="Default"/>
        <w:numPr>
          <w:ilvl w:val="0"/>
          <w:numId w:val="23"/>
        </w:numPr>
        <w:adjustRightInd w:val="0"/>
        <w:ind w:left="567" w:hanging="567"/>
        <w:jc w:val="both"/>
        <w:rPr>
          <w:color w:val="auto"/>
        </w:rPr>
      </w:pPr>
      <w:r>
        <w:rPr>
          <w:b/>
          <w:bCs/>
          <w:color w:val="auto"/>
        </w:rPr>
        <w:t>Predmet návrhu zákona je upravený v práve Európskej únie</w:t>
      </w:r>
      <w:r>
        <w:rPr>
          <w:color w:val="auto"/>
        </w:rPr>
        <w:t xml:space="preserve">: </w:t>
      </w:r>
    </w:p>
    <w:p w14:paraId="1ADDE630" w14:textId="77777777" w:rsidR="00197F9B" w:rsidRDefault="00197F9B" w:rsidP="00197F9B">
      <w:pPr>
        <w:pStyle w:val="Default"/>
        <w:numPr>
          <w:ilvl w:val="0"/>
          <w:numId w:val="24"/>
        </w:numPr>
        <w:adjustRightInd w:val="0"/>
        <w:ind w:left="1134" w:hanging="567"/>
        <w:jc w:val="both"/>
        <w:rPr>
          <w:color w:val="auto"/>
        </w:rPr>
      </w:pPr>
      <w:r>
        <w:rPr>
          <w:color w:val="auto"/>
        </w:rPr>
        <w:t>v primárnom práve</w:t>
      </w:r>
    </w:p>
    <w:p w14:paraId="4DD46F05" w14:textId="77777777" w:rsidR="00197F9B" w:rsidRDefault="00197F9B" w:rsidP="00197F9B">
      <w:pPr>
        <w:pStyle w:val="Default"/>
        <w:numPr>
          <w:ilvl w:val="0"/>
          <w:numId w:val="25"/>
        </w:numPr>
        <w:adjustRightInd w:val="0"/>
        <w:ind w:left="1701" w:hanging="567"/>
        <w:jc w:val="both"/>
        <w:rPr>
          <w:color w:val="auto"/>
        </w:rPr>
      </w:pPr>
      <w:r>
        <w:rPr>
          <w:color w:val="auto"/>
        </w:rPr>
        <w:t>Zmluva o fungovaní Európskej únie (</w:t>
      </w:r>
      <w:r>
        <w:t>čl. 107, čl. 108</w:t>
      </w:r>
      <w:r>
        <w:rPr>
          <w:color w:val="auto"/>
        </w:rPr>
        <w:t>),</w:t>
      </w:r>
    </w:p>
    <w:p w14:paraId="69B3E1CA" w14:textId="77777777" w:rsidR="00197F9B" w:rsidRDefault="00197F9B" w:rsidP="00197F9B">
      <w:pPr>
        <w:jc w:val="both"/>
      </w:pPr>
    </w:p>
    <w:p w14:paraId="34E9ED75" w14:textId="77777777" w:rsidR="00197F9B" w:rsidRDefault="00197F9B" w:rsidP="00197F9B">
      <w:pPr>
        <w:pStyle w:val="Default"/>
        <w:numPr>
          <w:ilvl w:val="0"/>
          <w:numId w:val="24"/>
        </w:numPr>
        <w:adjustRightInd w:val="0"/>
        <w:ind w:left="1134" w:hanging="567"/>
        <w:jc w:val="both"/>
        <w:rPr>
          <w:color w:val="auto"/>
        </w:rPr>
      </w:pPr>
      <w:r>
        <w:rPr>
          <w:color w:val="auto"/>
        </w:rPr>
        <w:t>v sekundárnom práve</w:t>
      </w:r>
    </w:p>
    <w:p w14:paraId="0D476AA3" w14:textId="77777777" w:rsidR="00197F9B" w:rsidRDefault="00197F9B" w:rsidP="00197F9B">
      <w:pPr>
        <w:widowControl/>
        <w:numPr>
          <w:ilvl w:val="0"/>
          <w:numId w:val="25"/>
        </w:numPr>
        <w:autoSpaceDE/>
        <w:autoSpaceDN/>
        <w:adjustRightInd/>
        <w:ind w:left="1701" w:hanging="567"/>
        <w:jc w:val="both"/>
        <w:rPr>
          <w:color w:val="000000"/>
        </w:rPr>
      </w:pPr>
      <w:r>
        <w:t xml:space="preserve">nariadenie Komisie (EÚ) č. 1407/2013 z 18. decembra 2013 o uplatňovaní článkov 107 a 108 Zmluvy o fungovaní Európskej únie na pomoc de minimis (Ú. v. EÚ L 352, 24.12.2013) v platnom znení - gestor: Ministerstvo financií Slovenskej republiky </w:t>
      </w:r>
    </w:p>
    <w:p w14:paraId="07D2AD7C" w14:textId="77777777" w:rsidR="00197F9B" w:rsidRDefault="00197F9B" w:rsidP="00197F9B">
      <w:pPr>
        <w:pStyle w:val="Default"/>
        <w:numPr>
          <w:ilvl w:val="0"/>
          <w:numId w:val="25"/>
        </w:numPr>
        <w:adjustRightInd w:val="0"/>
        <w:ind w:left="1701" w:hanging="567"/>
        <w:jc w:val="both"/>
        <w:rPr>
          <w:color w:val="auto"/>
        </w:rPr>
      </w:pPr>
      <w:r>
        <w:t>nariadenie Komisie (EÚ) č. 651/2014 zo 17. júna 2014 o vyhlásení určitých kategórií pomoci za zlučiteľné s vnútorným trhom podľa článkov 107 a 108 zmluvy (Ú. v. EÚ L 187, 26.6.2014) v platnom znení - gestor: Ministerstvo dopravy Slovenskej republiky, Ministerstvo financií Slovenskej republiky, Ministerstvo životného prostredia Slovenskej republiky, Ministerstvo hospodárstva Slovenskej republiky, Ministerstvo pôdohospodárstva a rozvoja vidieka Slovenskej republiky, Ministerstvo práce, sociálnych veci a rodiny Slovenskej republiky, Ministerstvo školstva, vedy, výskumu a športu Slovenskej republiky, Ministerstvo kultúry Slovenskej republiky</w:t>
      </w:r>
    </w:p>
    <w:p w14:paraId="38561F5A" w14:textId="77777777" w:rsidR="00197F9B" w:rsidRDefault="00197F9B" w:rsidP="00197F9B">
      <w:pPr>
        <w:pStyle w:val="Default"/>
        <w:jc w:val="both"/>
        <w:rPr>
          <w:color w:val="auto"/>
        </w:rPr>
      </w:pPr>
    </w:p>
    <w:p w14:paraId="5AFD871A" w14:textId="77777777" w:rsidR="00197F9B" w:rsidRDefault="00197F9B" w:rsidP="00197F9B">
      <w:pPr>
        <w:pStyle w:val="Default"/>
        <w:numPr>
          <w:ilvl w:val="0"/>
          <w:numId w:val="24"/>
        </w:numPr>
        <w:adjustRightInd w:val="0"/>
        <w:ind w:left="1134" w:hanging="567"/>
        <w:jc w:val="both"/>
        <w:rPr>
          <w:color w:val="auto"/>
        </w:rPr>
      </w:pPr>
      <w:r>
        <w:rPr>
          <w:color w:val="auto"/>
        </w:rPr>
        <w:t>v judikatúre Súdneho dvora Európskej únie napr.</w:t>
      </w:r>
    </w:p>
    <w:p w14:paraId="4B34CE41" w14:textId="77777777" w:rsidR="00197F9B" w:rsidRDefault="00197F9B" w:rsidP="00197F9B">
      <w:pPr>
        <w:pStyle w:val="Default"/>
        <w:numPr>
          <w:ilvl w:val="0"/>
          <w:numId w:val="26"/>
        </w:numPr>
        <w:adjustRightInd w:val="0"/>
        <w:ind w:left="1701" w:hanging="567"/>
        <w:rPr>
          <w:color w:val="auto"/>
        </w:rPr>
      </w:pPr>
      <w:r>
        <w:rPr>
          <w:color w:val="auto"/>
        </w:rPr>
        <w:t>Rozsudok Všeobecného súdu (ôsma rozšírená komora) z 25. januára 2018,</w:t>
      </w:r>
    </w:p>
    <w:p w14:paraId="43D97D56" w14:textId="77777777" w:rsidR="00197F9B" w:rsidRDefault="00197F9B" w:rsidP="00197F9B">
      <w:pPr>
        <w:pStyle w:val="Default"/>
        <w:ind w:left="1701"/>
        <w:jc w:val="both"/>
        <w:rPr>
          <w:color w:val="auto"/>
        </w:rPr>
      </w:pPr>
      <w:r>
        <w:rPr>
          <w:color w:val="auto"/>
        </w:rPr>
        <w:t>Brussels South Charleroi Airport (BSCA) proti Európska komisia (vec T-818/14)</w:t>
      </w:r>
    </w:p>
    <w:p w14:paraId="09AA3166" w14:textId="77777777" w:rsidR="00197F9B" w:rsidRDefault="00197F9B" w:rsidP="00197F9B">
      <w:pPr>
        <w:pStyle w:val="Default"/>
        <w:jc w:val="both"/>
        <w:rPr>
          <w:color w:val="auto"/>
        </w:rPr>
      </w:pPr>
    </w:p>
    <w:p w14:paraId="6135D1C5" w14:textId="77777777" w:rsidR="00197F9B" w:rsidRDefault="00197F9B" w:rsidP="00197F9B">
      <w:pPr>
        <w:pStyle w:val="Default"/>
        <w:jc w:val="both"/>
        <w:rPr>
          <w:color w:val="auto"/>
        </w:rPr>
      </w:pPr>
    </w:p>
    <w:p w14:paraId="68BD69DA" w14:textId="77777777" w:rsidR="00197F9B" w:rsidRDefault="00197F9B" w:rsidP="00197F9B">
      <w:pPr>
        <w:pStyle w:val="Default"/>
        <w:numPr>
          <w:ilvl w:val="0"/>
          <w:numId w:val="23"/>
        </w:numPr>
        <w:adjustRightInd w:val="0"/>
        <w:ind w:left="567" w:hanging="567"/>
        <w:jc w:val="both"/>
        <w:rPr>
          <w:color w:val="auto"/>
        </w:rPr>
      </w:pPr>
      <w:r>
        <w:rPr>
          <w:b/>
          <w:bCs/>
          <w:color w:val="auto"/>
        </w:rPr>
        <w:t>Záväzky Slovenskej republiky vo vzťahu k Európskej únii</w:t>
      </w:r>
      <w:r>
        <w:rPr>
          <w:color w:val="auto"/>
        </w:rPr>
        <w:t xml:space="preserve">: </w:t>
      </w:r>
    </w:p>
    <w:p w14:paraId="4592B0A1" w14:textId="77777777" w:rsidR="00197F9B" w:rsidRDefault="00197F9B" w:rsidP="00197F9B">
      <w:pPr>
        <w:pStyle w:val="Default"/>
        <w:numPr>
          <w:ilvl w:val="0"/>
          <w:numId w:val="27"/>
        </w:numPr>
        <w:adjustRightInd w:val="0"/>
        <w:ind w:left="1134" w:hanging="567"/>
        <w:jc w:val="both"/>
        <w:rPr>
          <w:color w:val="auto"/>
        </w:rPr>
      </w:pPr>
      <w:r>
        <w:rPr>
          <w:color w:val="auto"/>
        </w:rPr>
        <w:t xml:space="preserve">uviesť lehotu na prebranie príslušného právneho aktu Európskej únie, príp. aj osobitnú lehotu účinnosti jeho ustanovení </w:t>
      </w:r>
    </w:p>
    <w:p w14:paraId="278EE190" w14:textId="77777777" w:rsidR="00197F9B" w:rsidRDefault="00197F9B" w:rsidP="00197F9B">
      <w:pPr>
        <w:widowControl/>
        <w:numPr>
          <w:ilvl w:val="0"/>
          <w:numId w:val="26"/>
        </w:numPr>
        <w:autoSpaceDE/>
        <w:autoSpaceDN/>
        <w:adjustRightInd/>
        <w:ind w:left="1701" w:hanging="567"/>
        <w:jc w:val="both"/>
        <w:rPr>
          <w:color w:val="000000"/>
        </w:rPr>
      </w:pPr>
      <w:r>
        <w:t>nariadenie (EÚ) č. 1407/2013 v platnom znení – 1. január 2012,</w:t>
      </w:r>
    </w:p>
    <w:p w14:paraId="2F701952" w14:textId="77777777" w:rsidR="00197F9B" w:rsidRDefault="00197F9B" w:rsidP="00197F9B">
      <w:pPr>
        <w:widowControl/>
        <w:numPr>
          <w:ilvl w:val="0"/>
          <w:numId w:val="26"/>
        </w:numPr>
        <w:autoSpaceDE/>
        <w:autoSpaceDN/>
        <w:adjustRightInd/>
        <w:ind w:left="1701" w:hanging="567"/>
        <w:jc w:val="both"/>
      </w:pPr>
      <w:r>
        <w:rPr>
          <w:lang w:eastAsia="ar-SA"/>
        </w:rPr>
        <w:t xml:space="preserve">nariadenie (EÚ) č. </w:t>
      </w:r>
      <w:r>
        <w:t>651/2014 v platnom znení – 1. júl 2014,</w:t>
      </w:r>
    </w:p>
    <w:p w14:paraId="7A88279E" w14:textId="77777777" w:rsidR="00197F9B" w:rsidRDefault="00197F9B" w:rsidP="00197F9B">
      <w:pPr>
        <w:pStyle w:val="Default"/>
        <w:numPr>
          <w:ilvl w:val="0"/>
          <w:numId w:val="27"/>
        </w:numPr>
        <w:adjustRightInd w:val="0"/>
        <w:ind w:left="1134" w:hanging="567"/>
        <w:jc w:val="both"/>
        <w:rPr>
          <w:color w:val="auto"/>
        </w:rPr>
      </w:pPr>
      <w:r>
        <w:rPr>
          <w:color w:val="auto"/>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5464C784" w14:textId="77777777" w:rsidR="00197F9B" w:rsidRDefault="00197F9B" w:rsidP="00197F9B">
      <w:pPr>
        <w:pStyle w:val="Default"/>
        <w:numPr>
          <w:ilvl w:val="0"/>
          <w:numId w:val="26"/>
        </w:numPr>
        <w:adjustRightInd w:val="0"/>
        <w:ind w:left="1701" w:hanging="567"/>
        <w:jc w:val="both"/>
        <w:rPr>
          <w:color w:val="auto"/>
        </w:rPr>
      </w:pPr>
      <w:r>
        <w:rPr>
          <w:color w:val="auto"/>
        </w:rPr>
        <w:t>bezpredmetné,</w:t>
      </w:r>
    </w:p>
    <w:p w14:paraId="3946FB2E" w14:textId="77777777" w:rsidR="00197F9B" w:rsidRDefault="00197F9B" w:rsidP="00197F9B">
      <w:pPr>
        <w:pStyle w:val="Default"/>
        <w:numPr>
          <w:ilvl w:val="0"/>
          <w:numId w:val="27"/>
        </w:numPr>
        <w:adjustRightInd w:val="0"/>
        <w:ind w:left="1134" w:hanging="567"/>
        <w:jc w:val="both"/>
        <w:rPr>
          <w:color w:val="auto"/>
        </w:rPr>
      </w:pPr>
      <w:r>
        <w:rPr>
          <w:color w:val="auto"/>
        </w:rPr>
        <w:t>uviesť informáciu o právnych predpisoch, v ktorých sú uvádzané právne akty Európskej únie už prebrané, spolu s uvedením rozsahu ich prebrania, príp. potreby prijatia ďalších úprav </w:t>
      </w:r>
    </w:p>
    <w:p w14:paraId="731EE096" w14:textId="77777777" w:rsidR="00197F9B" w:rsidRDefault="00197F9B" w:rsidP="00197F9B">
      <w:pPr>
        <w:pStyle w:val="Default"/>
        <w:numPr>
          <w:ilvl w:val="0"/>
          <w:numId w:val="26"/>
        </w:numPr>
        <w:autoSpaceDE/>
        <w:ind w:left="1701" w:hanging="567"/>
        <w:jc w:val="both"/>
        <w:rPr>
          <w:color w:val="auto"/>
        </w:rPr>
      </w:pPr>
      <w:r>
        <w:rPr>
          <w:color w:val="auto"/>
        </w:rPr>
        <w:t>bezpredmetné.</w:t>
      </w:r>
    </w:p>
    <w:p w14:paraId="029AC246" w14:textId="77777777" w:rsidR="00197F9B" w:rsidRDefault="00197F9B" w:rsidP="00197F9B">
      <w:pPr>
        <w:pStyle w:val="Default"/>
        <w:jc w:val="both"/>
        <w:rPr>
          <w:color w:val="auto"/>
        </w:rPr>
      </w:pPr>
    </w:p>
    <w:p w14:paraId="061B9A93" w14:textId="77777777" w:rsidR="00197F9B" w:rsidRDefault="00197F9B" w:rsidP="00197F9B">
      <w:pPr>
        <w:pStyle w:val="Default"/>
        <w:keepNext/>
        <w:numPr>
          <w:ilvl w:val="0"/>
          <w:numId w:val="23"/>
        </w:numPr>
        <w:adjustRightInd w:val="0"/>
        <w:ind w:left="567" w:hanging="567"/>
        <w:jc w:val="both"/>
        <w:rPr>
          <w:color w:val="auto"/>
        </w:rPr>
      </w:pPr>
      <w:r>
        <w:rPr>
          <w:b/>
          <w:bCs/>
          <w:color w:val="auto"/>
        </w:rPr>
        <w:lastRenderedPageBreak/>
        <w:t>Návrh zákona je zlučiteľný s právom Európskej únie</w:t>
      </w:r>
      <w:r>
        <w:rPr>
          <w:color w:val="auto"/>
        </w:rPr>
        <w:t xml:space="preserve">: </w:t>
      </w:r>
    </w:p>
    <w:p w14:paraId="6C05B425" w14:textId="77777777" w:rsidR="00197F9B" w:rsidRDefault="00197F9B" w:rsidP="00197F9B">
      <w:pPr>
        <w:pStyle w:val="Default"/>
        <w:ind w:firstLine="567"/>
        <w:jc w:val="both"/>
        <w:rPr>
          <w:color w:val="auto"/>
        </w:rPr>
      </w:pPr>
      <w:r>
        <w:rPr>
          <w:color w:val="auto"/>
        </w:rPr>
        <w:t>Úplne</w:t>
      </w:r>
    </w:p>
    <w:p w14:paraId="3859970A" w14:textId="36820671" w:rsidR="00197F9B" w:rsidRDefault="00197F9B">
      <w:pPr>
        <w:widowControl/>
        <w:autoSpaceDE/>
        <w:autoSpaceDN/>
        <w:adjustRightInd/>
        <w:rPr>
          <w:b/>
          <w:bCs/>
          <w:sz w:val="24"/>
          <w:szCs w:val="24"/>
        </w:rPr>
      </w:pPr>
      <w:r>
        <w:rPr>
          <w:b/>
          <w:bCs/>
          <w:sz w:val="24"/>
          <w:szCs w:val="24"/>
        </w:rPr>
        <w:br w:type="page"/>
      </w:r>
    </w:p>
    <w:p w14:paraId="0F0D6217" w14:textId="3049CECA" w:rsidR="003F7414" w:rsidRPr="000F1075" w:rsidRDefault="0018388E" w:rsidP="001F6B2A">
      <w:pPr>
        <w:widowControl/>
        <w:jc w:val="center"/>
        <w:outlineLvl w:val="0"/>
        <w:rPr>
          <w:b/>
          <w:bCs/>
          <w:sz w:val="24"/>
          <w:szCs w:val="24"/>
        </w:rPr>
      </w:pPr>
      <w:r w:rsidRPr="000F1075">
        <w:rPr>
          <w:b/>
          <w:bCs/>
          <w:sz w:val="24"/>
          <w:szCs w:val="24"/>
        </w:rPr>
        <w:lastRenderedPageBreak/>
        <w:t>Osobitná časť</w:t>
      </w:r>
    </w:p>
    <w:p w14:paraId="0F78D68A" w14:textId="7D9CEA74" w:rsidR="00332813" w:rsidRDefault="00332813" w:rsidP="001F6B2A">
      <w:pPr>
        <w:widowControl/>
        <w:outlineLvl w:val="0"/>
        <w:rPr>
          <w:b/>
          <w:bCs/>
          <w:sz w:val="24"/>
          <w:szCs w:val="24"/>
        </w:rPr>
      </w:pPr>
    </w:p>
    <w:p w14:paraId="607FC1A2" w14:textId="2C2109EC" w:rsidR="00C51044" w:rsidRPr="00C51044" w:rsidRDefault="00C51044" w:rsidP="00C51044">
      <w:pPr>
        <w:widowControl/>
        <w:jc w:val="both"/>
        <w:outlineLvl w:val="0"/>
        <w:rPr>
          <w:bCs/>
          <w:sz w:val="24"/>
          <w:szCs w:val="24"/>
        </w:rPr>
      </w:pPr>
      <w:r w:rsidRPr="00C51044">
        <w:rPr>
          <w:bCs/>
          <w:sz w:val="24"/>
          <w:szCs w:val="24"/>
        </w:rPr>
        <w:t>Odchodná letecká doprava, konkrétne týkajúca sa leteckej prepravy cestujúcich, výrazne prispieva nielen k mobilite ľudí, ale aj k rozvoju cestovného ruchu v rámci územia Slovenskej republiky, napríklad v zimnom období to boli zahraniční dovolenkári smerujúci najmä do</w:t>
      </w:r>
      <w:r w:rsidR="003418BD">
        <w:rPr>
          <w:bCs/>
          <w:sz w:val="24"/>
          <w:szCs w:val="24"/>
        </w:rPr>
        <w:t> </w:t>
      </w:r>
      <w:r w:rsidRPr="00C51044">
        <w:rPr>
          <w:bCs/>
          <w:sz w:val="24"/>
          <w:szCs w:val="24"/>
        </w:rPr>
        <w:t xml:space="preserve">slovenských lyžiarskych stredísk alebo dovolenkári do slovenských kúpeľných miest. Vytvorený nástroj, na základe ktorého bude možné poskytnúť prostriedky na podporu liniek, bude nápomocný nielen k umožneniu rýchlejšej mobility ľudí, ale aj k rozvoju cestovného ruchu v rámci regiónov. Vytvorený nástroj zároveň umožní </w:t>
      </w:r>
      <w:r w:rsidR="004C447E">
        <w:rPr>
          <w:bCs/>
          <w:sz w:val="24"/>
          <w:szCs w:val="24"/>
        </w:rPr>
        <w:t xml:space="preserve">aj </w:t>
      </w:r>
      <w:r w:rsidRPr="00C51044">
        <w:rPr>
          <w:bCs/>
          <w:sz w:val="24"/>
          <w:szCs w:val="24"/>
        </w:rPr>
        <w:t>realizáciu záväzkov, ktoré Slovenskej republik</w:t>
      </w:r>
      <w:r w:rsidR="00D22E69">
        <w:rPr>
          <w:bCs/>
          <w:sz w:val="24"/>
          <w:szCs w:val="24"/>
        </w:rPr>
        <w:t>e</w:t>
      </w:r>
      <w:r w:rsidRPr="00C51044">
        <w:rPr>
          <w:bCs/>
          <w:sz w:val="24"/>
          <w:szCs w:val="24"/>
        </w:rPr>
        <w:t xml:space="preserve"> vyplývajú zo schválených investičných zmlúv.</w:t>
      </w:r>
    </w:p>
    <w:p w14:paraId="07DB6519" w14:textId="77777777" w:rsidR="00C51044" w:rsidRDefault="00C51044" w:rsidP="001F6B2A">
      <w:pPr>
        <w:widowControl/>
        <w:outlineLvl w:val="0"/>
        <w:rPr>
          <w:b/>
          <w:bCs/>
          <w:sz w:val="24"/>
          <w:szCs w:val="24"/>
        </w:rPr>
      </w:pPr>
    </w:p>
    <w:p w14:paraId="0B66844C" w14:textId="77777777" w:rsidR="008B6AA8" w:rsidRPr="00866C86" w:rsidRDefault="008B6AA8" w:rsidP="008B6AA8">
      <w:pPr>
        <w:jc w:val="both"/>
        <w:rPr>
          <w:sz w:val="24"/>
          <w:szCs w:val="24"/>
        </w:rPr>
      </w:pPr>
      <w:r w:rsidRPr="00866C86">
        <w:rPr>
          <w:rFonts w:cs="Arial"/>
          <w:b/>
          <w:sz w:val="24"/>
          <w:szCs w:val="24"/>
        </w:rPr>
        <w:t>K Čl. I</w:t>
      </w:r>
    </w:p>
    <w:p w14:paraId="76EE1D97" w14:textId="77777777" w:rsidR="008B6AA8" w:rsidRPr="00866C86" w:rsidRDefault="008B6AA8" w:rsidP="008B6AA8">
      <w:pPr>
        <w:pStyle w:val="Zkladntext"/>
        <w:jc w:val="both"/>
      </w:pPr>
    </w:p>
    <w:p w14:paraId="27F21CB9" w14:textId="6927AAF9" w:rsidR="008B6AA8" w:rsidRPr="00866C86" w:rsidRDefault="008B6AA8" w:rsidP="008B6AA8">
      <w:pPr>
        <w:keepNext/>
        <w:jc w:val="both"/>
        <w:outlineLvl w:val="0"/>
        <w:rPr>
          <w:b/>
          <w:sz w:val="24"/>
          <w:szCs w:val="24"/>
        </w:rPr>
      </w:pPr>
      <w:r w:rsidRPr="00866C86">
        <w:rPr>
          <w:b/>
          <w:sz w:val="24"/>
          <w:szCs w:val="24"/>
        </w:rPr>
        <w:t xml:space="preserve">K bodom 1, </w:t>
      </w:r>
      <w:r w:rsidR="00AD1027" w:rsidRPr="00866C86">
        <w:rPr>
          <w:b/>
          <w:sz w:val="24"/>
          <w:szCs w:val="24"/>
        </w:rPr>
        <w:t>3</w:t>
      </w:r>
      <w:r w:rsidRPr="00866C86">
        <w:rPr>
          <w:b/>
          <w:sz w:val="24"/>
          <w:szCs w:val="24"/>
        </w:rPr>
        <w:t>, 4, 11</w:t>
      </w:r>
      <w:r w:rsidR="00866C86">
        <w:rPr>
          <w:b/>
          <w:sz w:val="24"/>
          <w:szCs w:val="24"/>
        </w:rPr>
        <w:t xml:space="preserve"> až </w:t>
      </w:r>
      <w:r w:rsidRPr="00866C86">
        <w:rPr>
          <w:b/>
          <w:sz w:val="24"/>
          <w:szCs w:val="24"/>
        </w:rPr>
        <w:t xml:space="preserve">14, 16, </w:t>
      </w:r>
      <w:r w:rsidR="00AD1027" w:rsidRPr="00866C86">
        <w:rPr>
          <w:b/>
          <w:sz w:val="24"/>
          <w:szCs w:val="24"/>
        </w:rPr>
        <w:t>18</w:t>
      </w:r>
      <w:r w:rsidRPr="00866C86">
        <w:rPr>
          <w:b/>
          <w:sz w:val="24"/>
          <w:szCs w:val="24"/>
        </w:rPr>
        <w:t xml:space="preserve">, </w:t>
      </w:r>
      <w:r w:rsidR="00AD1027" w:rsidRPr="00866C86">
        <w:rPr>
          <w:b/>
          <w:sz w:val="24"/>
          <w:szCs w:val="24"/>
        </w:rPr>
        <w:t>20, 22</w:t>
      </w:r>
      <w:r w:rsidR="00866C86">
        <w:rPr>
          <w:b/>
          <w:sz w:val="24"/>
          <w:szCs w:val="24"/>
        </w:rPr>
        <w:t xml:space="preserve"> až</w:t>
      </w:r>
      <w:r w:rsidR="006A3F01" w:rsidRPr="00866C86">
        <w:rPr>
          <w:b/>
          <w:sz w:val="24"/>
          <w:szCs w:val="24"/>
        </w:rPr>
        <w:t xml:space="preserve"> 24, 32 až 38</w:t>
      </w:r>
    </w:p>
    <w:p w14:paraId="0E44AA38" w14:textId="5D290C9F" w:rsidR="008B6AA8" w:rsidRPr="00866C86" w:rsidRDefault="008B6AA8" w:rsidP="008B6AA8">
      <w:pPr>
        <w:jc w:val="both"/>
        <w:rPr>
          <w:sz w:val="24"/>
          <w:szCs w:val="24"/>
        </w:rPr>
      </w:pPr>
      <w:r w:rsidRPr="00866C86">
        <w:rPr>
          <w:sz w:val="24"/>
          <w:szCs w:val="24"/>
        </w:rPr>
        <w:t>Legislatívno-technická úprava týkajúca sa precizovania textu, úprav súvisiacich s navrhovanými zmenami</w:t>
      </w:r>
      <w:r w:rsidR="006A3F01" w:rsidRPr="00866C86">
        <w:rPr>
          <w:sz w:val="24"/>
          <w:szCs w:val="24"/>
        </w:rPr>
        <w:t xml:space="preserve">, </w:t>
      </w:r>
      <w:r w:rsidRPr="00866C86">
        <w:rPr>
          <w:sz w:val="24"/>
          <w:szCs w:val="24"/>
        </w:rPr>
        <w:t>aplikačnej praxe</w:t>
      </w:r>
      <w:r w:rsidR="006A3F01" w:rsidRPr="00866C86">
        <w:rPr>
          <w:sz w:val="24"/>
          <w:szCs w:val="24"/>
        </w:rPr>
        <w:t>, ako aj s novou právnou úpravou napríklad v oblasti registra trestov či elektronizácie štátnej správy</w:t>
      </w:r>
      <w:r w:rsidRPr="00866C86">
        <w:rPr>
          <w:sz w:val="24"/>
          <w:szCs w:val="24"/>
        </w:rPr>
        <w:t>.</w:t>
      </w:r>
    </w:p>
    <w:p w14:paraId="7B42E4FB" w14:textId="77777777" w:rsidR="008B6AA8" w:rsidRPr="00866C86" w:rsidRDefault="008B6AA8" w:rsidP="008B6AA8">
      <w:pPr>
        <w:jc w:val="both"/>
        <w:rPr>
          <w:sz w:val="24"/>
          <w:szCs w:val="24"/>
        </w:rPr>
      </w:pPr>
    </w:p>
    <w:p w14:paraId="50576BB1" w14:textId="77F7FECE" w:rsidR="008B6AA8" w:rsidRPr="00866C86" w:rsidRDefault="008B6AA8" w:rsidP="008B6AA8">
      <w:pPr>
        <w:keepNext/>
        <w:jc w:val="both"/>
        <w:rPr>
          <w:b/>
          <w:sz w:val="24"/>
          <w:szCs w:val="24"/>
        </w:rPr>
      </w:pPr>
      <w:r w:rsidRPr="00866C86">
        <w:rPr>
          <w:b/>
          <w:sz w:val="24"/>
          <w:szCs w:val="24"/>
        </w:rPr>
        <w:t xml:space="preserve">K bodu </w:t>
      </w:r>
      <w:r w:rsidR="00AD1027" w:rsidRPr="00866C86">
        <w:rPr>
          <w:b/>
          <w:sz w:val="24"/>
          <w:szCs w:val="24"/>
        </w:rPr>
        <w:t>2</w:t>
      </w:r>
    </w:p>
    <w:p w14:paraId="44CB3E8A" w14:textId="77777777" w:rsidR="008B6AA8" w:rsidRPr="00866C86" w:rsidRDefault="008B6AA8" w:rsidP="008B6AA8">
      <w:pPr>
        <w:jc w:val="both"/>
        <w:rPr>
          <w:sz w:val="24"/>
          <w:szCs w:val="24"/>
        </w:rPr>
      </w:pPr>
      <w:r w:rsidRPr="00866C86">
        <w:rPr>
          <w:sz w:val="24"/>
          <w:szCs w:val="24"/>
        </w:rPr>
        <w:t>Doplnenie nového účelu, na ktorý bude možné poskytnúť príspevok v civilnom letectve.</w:t>
      </w:r>
    </w:p>
    <w:p w14:paraId="442B1AC9" w14:textId="77777777" w:rsidR="008B6AA8" w:rsidRPr="00866C86" w:rsidRDefault="008B6AA8" w:rsidP="008B6AA8">
      <w:pPr>
        <w:jc w:val="both"/>
        <w:rPr>
          <w:sz w:val="24"/>
          <w:szCs w:val="24"/>
        </w:rPr>
      </w:pPr>
    </w:p>
    <w:p w14:paraId="44AF6504" w14:textId="52C4CD64" w:rsidR="008B6AA8" w:rsidRPr="00866C86" w:rsidRDefault="008B6AA8" w:rsidP="008B6AA8">
      <w:pPr>
        <w:keepNext/>
        <w:jc w:val="both"/>
        <w:outlineLvl w:val="0"/>
        <w:rPr>
          <w:b/>
          <w:sz w:val="24"/>
          <w:szCs w:val="24"/>
        </w:rPr>
      </w:pPr>
      <w:r w:rsidRPr="00866C86">
        <w:rPr>
          <w:b/>
          <w:sz w:val="24"/>
          <w:szCs w:val="24"/>
        </w:rPr>
        <w:t xml:space="preserve">K bodom 5, </w:t>
      </w:r>
      <w:r w:rsidR="00AD1027" w:rsidRPr="00866C86">
        <w:rPr>
          <w:b/>
          <w:sz w:val="24"/>
          <w:szCs w:val="24"/>
        </w:rPr>
        <w:t xml:space="preserve">7, </w:t>
      </w:r>
      <w:r w:rsidRPr="00866C86">
        <w:rPr>
          <w:b/>
          <w:sz w:val="24"/>
          <w:szCs w:val="24"/>
        </w:rPr>
        <w:t>8, 9, 15</w:t>
      </w:r>
      <w:r w:rsidR="00AD1027" w:rsidRPr="00866C86">
        <w:rPr>
          <w:b/>
          <w:sz w:val="24"/>
          <w:szCs w:val="24"/>
        </w:rPr>
        <w:t>, 19, 21,</w:t>
      </w:r>
      <w:r w:rsidR="006A3F01" w:rsidRPr="00866C86">
        <w:rPr>
          <w:b/>
          <w:sz w:val="24"/>
          <w:szCs w:val="24"/>
        </w:rPr>
        <w:t xml:space="preserve"> 36</w:t>
      </w:r>
    </w:p>
    <w:p w14:paraId="17C315AF" w14:textId="77777777" w:rsidR="008B6AA8" w:rsidRPr="00866C86" w:rsidRDefault="008B6AA8" w:rsidP="008B6AA8">
      <w:pPr>
        <w:jc w:val="both"/>
        <w:rPr>
          <w:sz w:val="24"/>
          <w:szCs w:val="24"/>
        </w:rPr>
      </w:pPr>
      <w:r w:rsidRPr="00866C86">
        <w:rPr>
          <w:sz w:val="24"/>
          <w:szCs w:val="24"/>
        </w:rPr>
        <w:t>Právna úprava týkajúca sa stanovenia podmienok vo vzťahu k novému účelu na poskytovanie príspevku v civilnom letectve.</w:t>
      </w:r>
    </w:p>
    <w:p w14:paraId="32239C23" w14:textId="77777777" w:rsidR="008B6AA8" w:rsidRPr="00866C86" w:rsidRDefault="008B6AA8" w:rsidP="008B6AA8">
      <w:pPr>
        <w:jc w:val="both"/>
        <w:rPr>
          <w:sz w:val="24"/>
          <w:szCs w:val="24"/>
        </w:rPr>
      </w:pPr>
    </w:p>
    <w:p w14:paraId="1B29C215" w14:textId="612D3CD1" w:rsidR="008B6AA8" w:rsidRPr="00866C86" w:rsidRDefault="008B6AA8" w:rsidP="008B6AA8">
      <w:pPr>
        <w:keepNext/>
        <w:jc w:val="both"/>
        <w:outlineLvl w:val="0"/>
        <w:rPr>
          <w:b/>
          <w:sz w:val="24"/>
          <w:szCs w:val="24"/>
        </w:rPr>
      </w:pPr>
      <w:r w:rsidRPr="00866C86">
        <w:rPr>
          <w:b/>
          <w:sz w:val="24"/>
          <w:szCs w:val="24"/>
        </w:rPr>
        <w:t>K</w:t>
      </w:r>
      <w:r w:rsidR="00AD1027" w:rsidRPr="00866C86">
        <w:rPr>
          <w:b/>
          <w:sz w:val="24"/>
          <w:szCs w:val="24"/>
        </w:rPr>
        <w:t> </w:t>
      </w:r>
      <w:r w:rsidRPr="00866C86">
        <w:rPr>
          <w:b/>
          <w:sz w:val="24"/>
          <w:szCs w:val="24"/>
        </w:rPr>
        <w:t>bodom</w:t>
      </w:r>
      <w:r w:rsidR="00AD1027" w:rsidRPr="00866C86">
        <w:rPr>
          <w:b/>
          <w:sz w:val="24"/>
          <w:szCs w:val="24"/>
        </w:rPr>
        <w:t>6,</w:t>
      </w:r>
      <w:r w:rsidRPr="00866C86">
        <w:rPr>
          <w:b/>
          <w:sz w:val="24"/>
          <w:szCs w:val="24"/>
        </w:rPr>
        <w:t xml:space="preserve"> </w:t>
      </w:r>
      <w:r w:rsidR="00AD1027" w:rsidRPr="00866C86">
        <w:rPr>
          <w:b/>
          <w:sz w:val="24"/>
          <w:szCs w:val="24"/>
        </w:rPr>
        <w:t xml:space="preserve">10, 14, 17, </w:t>
      </w:r>
      <w:r w:rsidR="006A3F01" w:rsidRPr="00866C86">
        <w:rPr>
          <w:b/>
          <w:sz w:val="24"/>
          <w:szCs w:val="24"/>
        </w:rPr>
        <w:t xml:space="preserve">25 </w:t>
      </w:r>
      <w:r w:rsidRPr="00866C86">
        <w:rPr>
          <w:b/>
          <w:sz w:val="24"/>
          <w:szCs w:val="24"/>
        </w:rPr>
        <w:t xml:space="preserve">až </w:t>
      </w:r>
      <w:r w:rsidR="00AD1027" w:rsidRPr="00866C86">
        <w:rPr>
          <w:b/>
          <w:sz w:val="24"/>
          <w:szCs w:val="24"/>
        </w:rPr>
        <w:t>31</w:t>
      </w:r>
    </w:p>
    <w:p w14:paraId="2C077187" w14:textId="77777777" w:rsidR="008B6AA8" w:rsidRPr="00866C86" w:rsidRDefault="008B6AA8" w:rsidP="008B6AA8">
      <w:pPr>
        <w:jc w:val="both"/>
        <w:rPr>
          <w:sz w:val="24"/>
          <w:szCs w:val="24"/>
        </w:rPr>
      </w:pPr>
      <w:r w:rsidRPr="00866C86">
        <w:rPr>
          <w:sz w:val="24"/>
          <w:szCs w:val="24"/>
        </w:rPr>
        <w:t>Vzhľadom na doplnenie nového účelu, na ktorý by mohol byť poskytnutý príspevok v civilnom letectve a vzhľadom na novú aplikačnú prax v oblasti štátnej pomoci a minimálnej pomoci a rozhodovanie súdneho dvora Európskej únie v tejto oblasti sa navrhuje všeobecná právna úprava vo vzťahu k štátnej pomoci a minimálnej pomoci.</w:t>
      </w:r>
    </w:p>
    <w:p w14:paraId="349B0FFA" w14:textId="6957E9B1" w:rsidR="008B6AA8" w:rsidRPr="00866C86" w:rsidRDefault="008B6AA8" w:rsidP="008B6AA8">
      <w:pPr>
        <w:jc w:val="both"/>
        <w:rPr>
          <w:sz w:val="24"/>
          <w:szCs w:val="24"/>
        </w:rPr>
      </w:pPr>
    </w:p>
    <w:p w14:paraId="6CAD0C7B" w14:textId="2B6E5082" w:rsidR="006A3F01" w:rsidRPr="00866C86" w:rsidRDefault="006A3F01" w:rsidP="006A3F01">
      <w:pPr>
        <w:keepNext/>
        <w:jc w:val="both"/>
        <w:outlineLvl w:val="0"/>
        <w:rPr>
          <w:b/>
          <w:sz w:val="24"/>
          <w:szCs w:val="24"/>
        </w:rPr>
      </w:pPr>
      <w:r w:rsidRPr="00866C86">
        <w:rPr>
          <w:b/>
          <w:sz w:val="24"/>
          <w:szCs w:val="24"/>
        </w:rPr>
        <w:t>K bodu 39</w:t>
      </w:r>
    </w:p>
    <w:p w14:paraId="3691BFE5" w14:textId="3FD1DBA2" w:rsidR="006A3F01" w:rsidRPr="00866C86" w:rsidRDefault="006A3F01" w:rsidP="006A3F01">
      <w:pPr>
        <w:widowControl/>
        <w:jc w:val="both"/>
        <w:rPr>
          <w:sz w:val="24"/>
          <w:szCs w:val="24"/>
        </w:rPr>
      </w:pPr>
      <w:r w:rsidRPr="00866C86">
        <w:rPr>
          <w:sz w:val="24"/>
          <w:szCs w:val="24"/>
        </w:rPr>
        <w:t>Ide o prechodné ustanovenie k úpravám účinným od dňa nadobudnutia účinnosti zákona, keďže dochádza k úprave právneho základu, ako aj k úprave systému.</w:t>
      </w:r>
    </w:p>
    <w:p w14:paraId="70E3B455" w14:textId="2ED133D8" w:rsidR="006A3F01" w:rsidRPr="00866C86" w:rsidRDefault="006A3F01" w:rsidP="006A3F01">
      <w:pPr>
        <w:widowControl/>
        <w:jc w:val="both"/>
        <w:rPr>
          <w:sz w:val="24"/>
          <w:szCs w:val="24"/>
        </w:rPr>
      </w:pPr>
    </w:p>
    <w:p w14:paraId="2ABEB81E" w14:textId="59FB4AEC" w:rsidR="006A3F01" w:rsidRPr="00866C86" w:rsidRDefault="006A3F01" w:rsidP="006A3F01">
      <w:pPr>
        <w:keepNext/>
        <w:jc w:val="both"/>
        <w:outlineLvl w:val="0"/>
        <w:rPr>
          <w:b/>
          <w:sz w:val="24"/>
          <w:szCs w:val="24"/>
        </w:rPr>
      </w:pPr>
      <w:r w:rsidRPr="00866C86">
        <w:rPr>
          <w:b/>
          <w:sz w:val="24"/>
          <w:szCs w:val="24"/>
        </w:rPr>
        <w:t>K bodom 23 a 40</w:t>
      </w:r>
    </w:p>
    <w:p w14:paraId="42134B5E" w14:textId="6E6F2D22" w:rsidR="006A3F01" w:rsidRPr="00866C86" w:rsidRDefault="006A3F01" w:rsidP="006A3F01">
      <w:pPr>
        <w:widowControl/>
        <w:jc w:val="both"/>
        <w:rPr>
          <w:sz w:val="24"/>
          <w:szCs w:val="24"/>
        </w:rPr>
      </w:pPr>
      <w:r w:rsidRPr="00866C86">
        <w:rPr>
          <w:sz w:val="24"/>
          <w:szCs w:val="24"/>
        </w:rPr>
        <w:t xml:space="preserve">S cieľom efektívnejšieho systému týkajúceho sa podávania žiadostí o poskytnutie príspevku v civilnom letectve sa navrhuje, aby vzor žiadosti bol zverejnený na webovom sídle Ministerstva dopravy Slovenskej republiky, čo možní Ministerstvu dopravy Slovenskej republiky v prípade potreby pružnejšie reagovať a upraviť vzor žiadosti. </w:t>
      </w:r>
    </w:p>
    <w:p w14:paraId="3BC0ABAF" w14:textId="0557AF8B" w:rsidR="008B6AA8" w:rsidRDefault="008B6AA8" w:rsidP="008B6AA8">
      <w:pPr>
        <w:jc w:val="both"/>
        <w:rPr>
          <w:rFonts w:cs="Arial"/>
          <w:sz w:val="24"/>
          <w:szCs w:val="24"/>
        </w:rPr>
      </w:pPr>
    </w:p>
    <w:p w14:paraId="0FF6264A" w14:textId="77777777" w:rsidR="00866C86" w:rsidRPr="00866C86" w:rsidRDefault="00866C86" w:rsidP="008B6AA8">
      <w:pPr>
        <w:jc w:val="both"/>
        <w:rPr>
          <w:rFonts w:cs="Arial"/>
          <w:sz w:val="24"/>
          <w:szCs w:val="24"/>
        </w:rPr>
      </w:pPr>
    </w:p>
    <w:p w14:paraId="69872573" w14:textId="77777777" w:rsidR="008B6AA8" w:rsidRPr="008B6AA8" w:rsidRDefault="008B6AA8" w:rsidP="008B6AA8">
      <w:pPr>
        <w:jc w:val="both"/>
        <w:rPr>
          <w:sz w:val="24"/>
          <w:szCs w:val="24"/>
        </w:rPr>
      </w:pPr>
      <w:r w:rsidRPr="00866C86">
        <w:rPr>
          <w:rFonts w:cs="Arial"/>
          <w:b/>
          <w:sz w:val="24"/>
          <w:szCs w:val="24"/>
        </w:rPr>
        <w:t>K Čl. II</w:t>
      </w:r>
    </w:p>
    <w:p w14:paraId="00B4948F" w14:textId="77777777" w:rsidR="008B6AA8" w:rsidRPr="008B6AA8" w:rsidRDefault="008B6AA8" w:rsidP="008B6AA8">
      <w:pPr>
        <w:jc w:val="both"/>
        <w:rPr>
          <w:rFonts w:cs="Arial"/>
          <w:sz w:val="24"/>
          <w:szCs w:val="24"/>
        </w:rPr>
      </w:pPr>
    </w:p>
    <w:p w14:paraId="046DC415" w14:textId="2DA2C274" w:rsidR="00D312DE" w:rsidRDefault="008B6AA8" w:rsidP="000434E6">
      <w:pPr>
        <w:jc w:val="both"/>
        <w:rPr>
          <w:sz w:val="24"/>
          <w:szCs w:val="24"/>
        </w:rPr>
      </w:pPr>
      <w:r w:rsidRPr="008B6AA8">
        <w:rPr>
          <w:sz w:val="24"/>
          <w:szCs w:val="24"/>
        </w:rPr>
        <w:t>Ustanovuje sa účinnosť návrhu zákona.</w:t>
      </w:r>
    </w:p>
    <w:p w14:paraId="580A996E" w14:textId="77777777" w:rsidR="00D312DE" w:rsidRDefault="00D312DE">
      <w:pPr>
        <w:widowControl/>
        <w:autoSpaceDE/>
        <w:autoSpaceDN/>
        <w:adjustRightInd/>
        <w:rPr>
          <w:sz w:val="24"/>
          <w:szCs w:val="24"/>
        </w:rPr>
      </w:pPr>
      <w:r>
        <w:rPr>
          <w:sz w:val="24"/>
          <w:szCs w:val="24"/>
        </w:rPr>
        <w:br w:type="page"/>
      </w:r>
    </w:p>
    <w:p w14:paraId="6381B2FA" w14:textId="5867C198" w:rsidR="00D312DE" w:rsidRPr="00FD77FA" w:rsidRDefault="00D312DE" w:rsidP="00D312DE">
      <w:pPr>
        <w:widowControl/>
        <w:autoSpaceDE/>
        <w:autoSpaceDN/>
        <w:adjustRightInd/>
        <w:jc w:val="both"/>
        <w:rPr>
          <w:sz w:val="24"/>
          <w:szCs w:val="24"/>
          <w:lang w:eastAsia="en-US"/>
        </w:rPr>
      </w:pPr>
      <w:r w:rsidRPr="00FD77FA">
        <w:rPr>
          <w:sz w:val="24"/>
          <w:szCs w:val="24"/>
          <w:lang w:eastAsia="en-US"/>
        </w:rPr>
        <w:lastRenderedPageBreak/>
        <w:t xml:space="preserve">Bratislava  </w:t>
      </w:r>
      <w:r>
        <w:rPr>
          <w:sz w:val="24"/>
          <w:szCs w:val="24"/>
          <w:lang w:eastAsia="en-US"/>
        </w:rPr>
        <w:t>20. novembra 2023</w:t>
      </w:r>
    </w:p>
    <w:tbl>
      <w:tblPr>
        <w:tblStyle w:val="Mriekatabuk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21"/>
      </w:tblGrid>
      <w:tr w:rsidR="00D312DE" w:rsidRPr="00FD77FA" w14:paraId="4747E403" w14:textId="77777777" w:rsidTr="00774DA8">
        <w:trPr>
          <w:trHeight w:val="3402"/>
        </w:trPr>
        <w:tc>
          <w:tcPr>
            <w:tcW w:w="9621" w:type="dxa"/>
            <w:vAlign w:val="bottom"/>
          </w:tcPr>
          <w:p w14:paraId="01BC08C0" w14:textId="6FF04486" w:rsidR="00D312DE" w:rsidRPr="00FD77FA" w:rsidRDefault="00B514B2" w:rsidP="00774DA8">
            <w:pPr>
              <w:widowControl/>
              <w:overflowPunct w:val="0"/>
              <w:jc w:val="center"/>
              <w:rPr>
                <w:b/>
                <w:szCs w:val="24"/>
                <w:lang w:eastAsia="cs-CZ"/>
              </w:rPr>
            </w:pPr>
            <w:r>
              <w:rPr>
                <w:b/>
                <w:szCs w:val="24"/>
                <w:lang w:eastAsia="cs-CZ"/>
              </w:rPr>
              <w:t>Robert Fico</w:t>
            </w:r>
            <w:bookmarkStart w:id="2" w:name="_GoBack"/>
            <w:bookmarkEnd w:id="2"/>
          </w:p>
          <w:p w14:paraId="25A85EC1" w14:textId="77777777" w:rsidR="00D312DE" w:rsidRPr="00FD77FA" w:rsidRDefault="00D312DE" w:rsidP="00774DA8">
            <w:pPr>
              <w:widowControl/>
              <w:overflowPunct w:val="0"/>
              <w:jc w:val="center"/>
              <w:rPr>
                <w:szCs w:val="24"/>
              </w:rPr>
            </w:pPr>
            <w:r w:rsidRPr="00FD77FA">
              <w:rPr>
                <w:szCs w:val="24"/>
              </w:rPr>
              <w:t>predseda vlády Slovenskej republiky</w:t>
            </w:r>
          </w:p>
        </w:tc>
      </w:tr>
      <w:tr w:rsidR="00D312DE" w:rsidRPr="00FD77FA" w14:paraId="35DF3E4F" w14:textId="77777777" w:rsidTr="00774DA8">
        <w:trPr>
          <w:trHeight w:val="3402"/>
        </w:trPr>
        <w:tc>
          <w:tcPr>
            <w:tcW w:w="9621" w:type="dxa"/>
            <w:vAlign w:val="bottom"/>
          </w:tcPr>
          <w:p w14:paraId="2C032607" w14:textId="5DDB60B8" w:rsidR="00D312DE" w:rsidRPr="00FD77FA" w:rsidRDefault="00B514B2" w:rsidP="00774DA8">
            <w:pPr>
              <w:autoSpaceDE/>
              <w:autoSpaceDN/>
              <w:jc w:val="center"/>
              <w:rPr>
                <w:b/>
                <w:szCs w:val="24"/>
              </w:rPr>
            </w:pPr>
            <w:r>
              <w:rPr>
                <w:b/>
                <w:szCs w:val="24"/>
              </w:rPr>
              <w:t>Jozef Ráž</w:t>
            </w:r>
          </w:p>
          <w:p w14:paraId="0FD69358" w14:textId="77777777" w:rsidR="00D312DE" w:rsidRPr="00FD77FA" w:rsidRDefault="00D312DE" w:rsidP="00774DA8">
            <w:pPr>
              <w:widowControl/>
              <w:tabs>
                <w:tab w:val="left" w:pos="708"/>
              </w:tabs>
              <w:autoSpaceDE/>
              <w:autoSpaceDN/>
              <w:adjustRightInd/>
              <w:jc w:val="center"/>
              <w:rPr>
                <w:szCs w:val="24"/>
              </w:rPr>
            </w:pPr>
            <w:r w:rsidRPr="00FD77FA">
              <w:rPr>
                <w:szCs w:val="24"/>
              </w:rPr>
              <w:t>minister dopravy Slovenskej republiky</w:t>
            </w:r>
          </w:p>
        </w:tc>
      </w:tr>
    </w:tbl>
    <w:p w14:paraId="50661E09" w14:textId="77777777" w:rsidR="00D312DE" w:rsidRPr="00031738" w:rsidRDefault="00D312DE" w:rsidP="00D312DE">
      <w:pPr>
        <w:widowControl/>
        <w:jc w:val="both"/>
        <w:rPr>
          <w:sz w:val="2"/>
          <w:szCs w:val="2"/>
        </w:rPr>
      </w:pPr>
    </w:p>
    <w:p w14:paraId="2FB42957" w14:textId="77777777" w:rsidR="008B6AA8" w:rsidRPr="008B6AA8" w:rsidRDefault="008B6AA8" w:rsidP="000434E6">
      <w:pPr>
        <w:jc w:val="both"/>
        <w:rPr>
          <w:b/>
          <w:bCs/>
          <w:sz w:val="24"/>
          <w:szCs w:val="24"/>
        </w:rPr>
      </w:pPr>
    </w:p>
    <w:sectPr w:rsidR="008B6AA8" w:rsidRPr="008B6AA8" w:rsidSect="00E56F01">
      <w:headerReference w:type="even" r:id="rId16"/>
      <w:headerReference w:type="default" r:id="rId17"/>
      <w:footerReference w:type="even" r:id="rId18"/>
      <w:footerReference w:type="default" r:id="rId19"/>
      <w:headerReference w:type="first" r:id="rId20"/>
      <w:footerReference w:type="first" r:id="rId21"/>
      <w:pgSz w:w="11909" w:h="16834"/>
      <w:pgMar w:top="1417" w:right="1417" w:bottom="1417" w:left="1417" w:header="708"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23B58" w14:textId="77777777" w:rsidR="00685F21" w:rsidRDefault="00685F21" w:rsidP="001A591C">
      <w:r>
        <w:separator/>
      </w:r>
    </w:p>
  </w:endnote>
  <w:endnote w:type="continuationSeparator" w:id="0">
    <w:p w14:paraId="6704DEC7" w14:textId="77777777" w:rsidR="00685F21" w:rsidRDefault="00685F21" w:rsidP="001A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skoola Pota">
    <w:altName w:val="Nirmala UI Semilight"/>
    <w:charset w:val="00"/>
    <w:family w:val="swiss"/>
    <w:pitch w:val="variable"/>
    <w:sig w:usb0="00000003" w:usb1="00000000" w:usb2="000002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93D8" w14:textId="77777777" w:rsidR="00D312DE" w:rsidRDefault="00D312D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05F0C1A1" w14:textId="77777777" w:rsidR="00D312DE" w:rsidRDefault="00D312D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A8D03" w14:textId="2D8FA6FF" w:rsidR="00D312DE" w:rsidRPr="00D312DE" w:rsidRDefault="00D312DE" w:rsidP="00D312DE">
    <w:pPr>
      <w:pStyle w:val="Pta"/>
      <w:jc w:val="right"/>
    </w:pPr>
    <w:r>
      <w:fldChar w:fldCharType="begin"/>
    </w:r>
    <w:r>
      <w:instrText>PAGE   \* MERGEFORMAT</w:instrText>
    </w:r>
    <w:r>
      <w:fldChar w:fldCharType="separate"/>
    </w:r>
    <w:r w:rsidR="00B514B2">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E25AD" w14:textId="77777777" w:rsidR="00D312DE" w:rsidRDefault="00D312DE">
    <w:pPr>
      <w:pStyle w:val="Pta"/>
      <w:jc w:val="right"/>
    </w:pPr>
    <w:r>
      <w:fldChar w:fldCharType="begin"/>
    </w:r>
    <w:r>
      <w:instrText>PAGE   \* MERGEFORMAT</w:instrText>
    </w:r>
    <w:r>
      <w:fldChar w:fldCharType="separate"/>
    </w:r>
    <w:r>
      <w:rPr>
        <w:noProof/>
      </w:rPr>
      <w:t>0</w:t>
    </w:r>
    <w:r>
      <w:fldChar w:fldCharType="end"/>
    </w:r>
  </w:p>
  <w:p w14:paraId="3318233B" w14:textId="77777777" w:rsidR="00D312DE" w:rsidRDefault="00D312D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A4891" w14:textId="77777777" w:rsidR="00A47C8D" w:rsidRDefault="00A47C8D">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0EF5" w14:textId="4710CA49" w:rsidR="00A47C8D" w:rsidRDefault="00A47C8D" w:rsidP="00D312DE">
    <w:pPr>
      <w:pStyle w:val="Pta"/>
      <w:jc w:val="right"/>
    </w:pPr>
    <w:r>
      <w:fldChar w:fldCharType="begin"/>
    </w:r>
    <w:r>
      <w:instrText xml:space="preserve"> PAGE   \* MERGEFORMAT </w:instrText>
    </w:r>
    <w:r>
      <w:fldChar w:fldCharType="separate"/>
    </w:r>
    <w:r w:rsidR="00B514B2">
      <w:rPr>
        <w:noProof/>
      </w:rPr>
      <w:t>20</w:t>
    </w:r>
    <w:r>
      <w:fldChar w:fldCharType="end"/>
    </w:r>
  </w:p>
  <w:p w14:paraId="327B8803" w14:textId="77777777" w:rsidR="00A47C8D" w:rsidRDefault="00A47C8D">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CCC3" w14:textId="77777777" w:rsidR="00A47C8D" w:rsidRDefault="00A47C8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8E76A" w14:textId="77777777" w:rsidR="00685F21" w:rsidRDefault="00685F21" w:rsidP="001A591C">
      <w:r>
        <w:separator/>
      </w:r>
    </w:p>
  </w:footnote>
  <w:footnote w:type="continuationSeparator" w:id="0">
    <w:p w14:paraId="3A2FC580" w14:textId="77777777" w:rsidR="00685F21" w:rsidRDefault="00685F21" w:rsidP="001A591C">
      <w:r>
        <w:continuationSeparator/>
      </w:r>
    </w:p>
  </w:footnote>
  <w:footnote w:id="1">
    <w:p w14:paraId="65830D81" w14:textId="77777777" w:rsidR="00D312DE" w:rsidRPr="000A6B7F" w:rsidRDefault="00D312DE" w:rsidP="00D312DE">
      <w:pPr>
        <w:pStyle w:val="Textpoznmkypodiarou"/>
      </w:pPr>
      <w:r>
        <w:rPr>
          <w:rStyle w:val="Odkaznapoznmkupodiarou"/>
        </w:rPr>
        <w:footnoteRef/>
      </w:r>
      <w:r>
        <w:t xml:space="preserve"> </w:t>
      </w:r>
      <w:r w:rsidRPr="000A6B7F">
        <w:t xml:space="preserve">Definícia goldplatingu </w:t>
      </w:r>
      <w:r w:rsidRPr="00D114ED">
        <w:t>je uvedená v bode 4 časti III. jednotnej metodiky.</w:t>
      </w:r>
    </w:p>
  </w:footnote>
  <w:footnote w:id="2">
    <w:p w14:paraId="6FAA03B9" w14:textId="77777777" w:rsidR="00D312DE" w:rsidRPr="00804BC8" w:rsidRDefault="00D312DE" w:rsidP="00D312DE">
      <w:pPr>
        <w:pStyle w:val="Textpoznmkypodiarou"/>
      </w:pPr>
      <w:r w:rsidRPr="0099544D">
        <w:rPr>
          <w:rStyle w:val="Odkaznapoznmkupodiarou"/>
        </w:rPr>
        <w:footnoteRef/>
      </w:r>
      <w:r w:rsidRPr="0099544D">
        <w:t xml:space="preserve"> </w:t>
      </w:r>
      <w:r w:rsidRPr="00804BC8">
        <w:t xml:space="preserve">Informácie sa uvádzajú  iba v prípade, ak sa predkladaným návrhom regulácie vykonáva transpozícia smernice </w:t>
      </w:r>
      <w:r w:rsidRPr="0099544D">
        <w:t>EÚ</w:t>
      </w:r>
      <w:r w:rsidRPr="00804BC8">
        <w:t xml:space="preserve"> a bol identifikovaný goldplating podľa tabuľky zhody alebo sa vykonáva implementácia nariadenia EÚ s goldplatingom.</w:t>
      </w:r>
      <w:r>
        <w:t xml:space="preserve"> Informácie sa uvádzajú aj v prípade</w:t>
      </w:r>
      <w:r w:rsidRPr="00CF4D09">
        <w:t xml:space="preserve"> (ak nejde o transpozíciu smernice EÚ alebo implementáciu nariadenia EÚ)</w:t>
      </w:r>
      <w:r>
        <w:t>, ak sa predloženým návrhom odstraňuje goldplating, ktorého pôvod je v skoršom zachovaní existujúcej právnej úpravy (existujúcich vnútroštátnych požiadaviek).</w:t>
      </w:r>
    </w:p>
    <w:p w14:paraId="685DC5B1" w14:textId="77777777" w:rsidR="00D312DE" w:rsidRDefault="00D312DE" w:rsidP="00D312DE">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84F5" w14:textId="77777777" w:rsidR="00D312DE" w:rsidRDefault="00D312DE" w:rsidP="002B63FD">
    <w:pPr>
      <w:pStyle w:val="Hlavika"/>
      <w:jc w:val="right"/>
      <w:rPr>
        <w:sz w:val="24"/>
        <w:szCs w:val="24"/>
      </w:rPr>
    </w:pPr>
    <w:r>
      <w:rPr>
        <w:sz w:val="24"/>
        <w:szCs w:val="24"/>
      </w:rPr>
      <w:t>Príloha č. 2</w:t>
    </w:r>
  </w:p>
  <w:p w14:paraId="193A9B8D" w14:textId="77777777" w:rsidR="00D312DE" w:rsidRPr="00EB59C8" w:rsidRDefault="00D312DE"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0F75" w14:textId="77777777" w:rsidR="00D312DE" w:rsidRPr="000A15AE" w:rsidRDefault="00D312DE" w:rsidP="002B63FD">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8DF2" w14:textId="77777777" w:rsidR="00D312DE" w:rsidRPr="006045CB" w:rsidRDefault="00D312DE" w:rsidP="00142154">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8B60C" w14:textId="4641A625" w:rsidR="00A47C8D" w:rsidRDefault="00A47C8D">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3860" w14:textId="5F8FAE69" w:rsidR="00A47C8D" w:rsidRDefault="00A47C8D">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CE76" w14:textId="53AA45B9" w:rsidR="00A47C8D" w:rsidRDefault="00A47C8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6D651B2"/>
    <w:lvl w:ilvl="0">
      <w:numFmt w:val="bullet"/>
      <w:lvlText w:val="*"/>
      <w:lvlJc w:val="left"/>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multilevel"/>
    <w:tmpl w:val="00000005"/>
    <w:name w:val="WW8Num7"/>
    <w:lvl w:ilvl="0">
      <w:start w:val="1"/>
      <w:numFmt w:val="decimal"/>
      <w:lvlText w:val="(%1)"/>
      <w:lvlJc w:val="left"/>
      <w:pPr>
        <w:tabs>
          <w:tab w:val="num" w:pos="397"/>
        </w:tabs>
        <w:ind w:left="397" w:hanging="397"/>
      </w:pPr>
      <w:rPr>
        <w:b w:val="0"/>
        <w:i w:val="0"/>
        <w:color w:val="auto"/>
        <w:sz w:val="16"/>
        <w:szCs w:val="16"/>
      </w:rPr>
    </w:lvl>
    <w:lvl w:ilvl="1">
      <w:start w:val="4"/>
      <w:numFmt w:val="bullet"/>
      <w:lvlText w:val="–"/>
      <w:lvlJc w:val="left"/>
      <w:pPr>
        <w:tabs>
          <w:tab w:val="num" w:pos="1440"/>
        </w:tabs>
        <w:ind w:left="1440" w:hanging="360"/>
      </w:pPr>
      <w:rPr>
        <w:rFonts w:ascii="Tahoma" w:hAnsi="Tahoma" w:cs="Tahoma"/>
        <w:color w:val="0000FF"/>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751D1E"/>
    <w:multiLevelType w:val="hybridMultilevel"/>
    <w:tmpl w:val="FB06DEC0"/>
    <w:lvl w:ilvl="0" w:tplc="90160B46">
      <w:start w:val="200"/>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9B4863"/>
    <w:multiLevelType w:val="hybridMultilevel"/>
    <w:tmpl w:val="85C8B84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C15A4B"/>
    <w:multiLevelType w:val="hybridMultilevel"/>
    <w:tmpl w:val="5D68D4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4B42180"/>
    <w:multiLevelType w:val="hybridMultilevel"/>
    <w:tmpl w:val="D5D6207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3A731F26"/>
    <w:multiLevelType w:val="hybridMultilevel"/>
    <w:tmpl w:val="F9A61504"/>
    <w:lvl w:ilvl="0" w:tplc="84DA2018">
      <w:numFmt w:val="bullet"/>
      <w:lvlText w:val="-"/>
      <w:lvlJc w:val="left"/>
      <w:pPr>
        <w:ind w:left="720" w:hanging="360"/>
      </w:pPr>
      <w:rPr>
        <w:rFonts w:ascii="Calibri" w:eastAsia="Calibri" w:hAnsi="Calibri"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412C086B"/>
    <w:multiLevelType w:val="hybridMultilevel"/>
    <w:tmpl w:val="E70A050E"/>
    <w:lvl w:ilvl="0" w:tplc="8ECA70EE">
      <w:numFmt w:val="bullet"/>
      <w:lvlText w:val="-"/>
      <w:lvlJc w:val="left"/>
      <w:pPr>
        <w:ind w:left="1494" w:hanging="360"/>
      </w:pPr>
      <w:rPr>
        <w:rFonts w:ascii="Times New Roman" w:eastAsia="Times New Roman" w:hAnsi="Times New Roman" w:cs="Times New Roman" w:hint="default"/>
      </w:rPr>
    </w:lvl>
    <w:lvl w:ilvl="1" w:tplc="041B0003">
      <w:start w:val="1"/>
      <w:numFmt w:val="bullet"/>
      <w:lvlText w:val="o"/>
      <w:lvlJc w:val="left"/>
      <w:pPr>
        <w:ind w:left="2214" w:hanging="360"/>
      </w:pPr>
      <w:rPr>
        <w:rFonts w:ascii="Courier New" w:hAnsi="Courier New" w:cs="Times New Roman" w:hint="default"/>
      </w:rPr>
    </w:lvl>
    <w:lvl w:ilvl="2" w:tplc="041B0005">
      <w:start w:val="1"/>
      <w:numFmt w:val="bullet"/>
      <w:lvlText w:val=""/>
      <w:lvlJc w:val="left"/>
      <w:pPr>
        <w:ind w:left="2934" w:hanging="360"/>
      </w:pPr>
      <w:rPr>
        <w:rFonts w:ascii="Wingdings" w:hAnsi="Wingdings" w:hint="default"/>
      </w:rPr>
    </w:lvl>
    <w:lvl w:ilvl="3" w:tplc="041B0001">
      <w:start w:val="1"/>
      <w:numFmt w:val="bullet"/>
      <w:lvlText w:val=""/>
      <w:lvlJc w:val="left"/>
      <w:pPr>
        <w:ind w:left="3654" w:hanging="360"/>
      </w:pPr>
      <w:rPr>
        <w:rFonts w:ascii="Symbol" w:hAnsi="Symbol" w:hint="default"/>
      </w:rPr>
    </w:lvl>
    <w:lvl w:ilvl="4" w:tplc="041B0003">
      <w:start w:val="1"/>
      <w:numFmt w:val="bullet"/>
      <w:lvlText w:val="o"/>
      <w:lvlJc w:val="left"/>
      <w:pPr>
        <w:ind w:left="4374" w:hanging="360"/>
      </w:pPr>
      <w:rPr>
        <w:rFonts w:ascii="Courier New" w:hAnsi="Courier New" w:cs="Times New Roman" w:hint="default"/>
      </w:rPr>
    </w:lvl>
    <w:lvl w:ilvl="5" w:tplc="041B0005">
      <w:start w:val="1"/>
      <w:numFmt w:val="bullet"/>
      <w:lvlText w:val=""/>
      <w:lvlJc w:val="left"/>
      <w:pPr>
        <w:ind w:left="5094" w:hanging="360"/>
      </w:pPr>
      <w:rPr>
        <w:rFonts w:ascii="Wingdings" w:hAnsi="Wingdings" w:hint="default"/>
      </w:rPr>
    </w:lvl>
    <w:lvl w:ilvl="6" w:tplc="041B0001">
      <w:start w:val="1"/>
      <w:numFmt w:val="bullet"/>
      <w:lvlText w:val=""/>
      <w:lvlJc w:val="left"/>
      <w:pPr>
        <w:ind w:left="5814" w:hanging="360"/>
      </w:pPr>
      <w:rPr>
        <w:rFonts w:ascii="Symbol" w:hAnsi="Symbol" w:hint="default"/>
      </w:rPr>
    </w:lvl>
    <w:lvl w:ilvl="7" w:tplc="041B0003">
      <w:start w:val="1"/>
      <w:numFmt w:val="bullet"/>
      <w:lvlText w:val="o"/>
      <w:lvlJc w:val="left"/>
      <w:pPr>
        <w:ind w:left="6534" w:hanging="360"/>
      </w:pPr>
      <w:rPr>
        <w:rFonts w:ascii="Courier New" w:hAnsi="Courier New" w:cs="Times New Roman" w:hint="default"/>
      </w:rPr>
    </w:lvl>
    <w:lvl w:ilvl="8" w:tplc="041B0005">
      <w:start w:val="1"/>
      <w:numFmt w:val="bullet"/>
      <w:lvlText w:val=""/>
      <w:lvlJc w:val="left"/>
      <w:pPr>
        <w:ind w:left="7254" w:hanging="360"/>
      </w:pPr>
      <w:rPr>
        <w:rFonts w:ascii="Wingdings" w:hAnsi="Wingdings" w:hint="default"/>
      </w:rPr>
    </w:lvl>
  </w:abstractNum>
  <w:abstractNum w:abstractNumId="9" w15:restartNumberingAfterBreak="0">
    <w:nsid w:val="43E57BCE"/>
    <w:multiLevelType w:val="hybridMultilevel"/>
    <w:tmpl w:val="2434576A"/>
    <w:lvl w:ilvl="0" w:tplc="AEF45E1A">
      <w:start w:val="1"/>
      <w:numFmt w:val="lowerLetter"/>
      <w:lvlText w:val="%1)"/>
      <w:lvlJc w:val="left"/>
      <w:pPr>
        <w:ind w:left="360" w:firstLine="0"/>
      </w:pPr>
      <w:rPr>
        <w:rFonts w:hint="default"/>
      </w:rPr>
    </w:lvl>
    <w:lvl w:ilvl="1" w:tplc="F01045F2">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DAC0090"/>
    <w:multiLevelType w:val="multilevel"/>
    <w:tmpl w:val="651A25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FBE0139"/>
    <w:multiLevelType w:val="hybridMultilevel"/>
    <w:tmpl w:val="232CCC7A"/>
    <w:lvl w:ilvl="0" w:tplc="65865976">
      <w:start w:val="1"/>
      <w:numFmt w:val="decimal"/>
      <w:lvlText w:val="(%1)"/>
      <w:lvlJc w:val="left"/>
      <w:pPr>
        <w:ind w:left="3403"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B116C7"/>
    <w:multiLevelType w:val="hybridMultilevel"/>
    <w:tmpl w:val="D28A9B38"/>
    <w:lvl w:ilvl="0" w:tplc="FF224686">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9E56869"/>
    <w:multiLevelType w:val="hybridMultilevel"/>
    <w:tmpl w:val="600C0FE8"/>
    <w:lvl w:ilvl="0" w:tplc="194A6BC2">
      <w:start w:val="1"/>
      <w:numFmt w:val="lowerLetter"/>
      <w:lvlText w:val="%1)"/>
      <w:lvlJc w:val="left"/>
      <w:pPr>
        <w:ind w:left="450" w:hanging="90"/>
      </w:pPr>
      <w:rPr>
        <w:rFonts w:hint="default"/>
      </w:rPr>
    </w:lvl>
    <w:lvl w:ilvl="1" w:tplc="B05C57D6">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69768E5"/>
    <w:multiLevelType w:val="hybridMultilevel"/>
    <w:tmpl w:val="94B66F7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6CF00024"/>
    <w:multiLevelType w:val="hybridMultilevel"/>
    <w:tmpl w:val="A832EFDC"/>
    <w:lvl w:ilvl="0" w:tplc="514C3DAE">
      <w:numFmt w:val="bullet"/>
      <w:lvlText w:val="-"/>
      <w:lvlJc w:val="left"/>
      <w:pPr>
        <w:ind w:left="1494" w:hanging="360"/>
      </w:pPr>
      <w:rPr>
        <w:rFonts w:ascii="Times New Roman" w:eastAsia="Times New Roman" w:hAnsi="Times New Roman" w:cs="Times New Roman" w:hint="default"/>
      </w:rPr>
    </w:lvl>
    <w:lvl w:ilvl="1" w:tplc="041B0003">
      <w:start w:val="1"/>
      <w:numFmt w:val="bullet"/>
      <w:lvlText w:val="o"/>
      <w:lvlJc w:val="left"/>
      <w:pPr>
        <w:ind w:left="2214" w:hanging="360"/>
      </w:pPr>
      <w:rPr>
        <w:rFonts w:ascii="Courier New" w:hAnsi="Courier New" w:cs="Times New Roman" w:hint="default"/>
      </w:rPr>
    </w:lvl>
    <w:lvl w:ilvl="2" w:tplc="041B0005">
      <w:start w:val="1"/>
      <w:numFmt w:val="bullet"/>
      <w:lvlText w:val=""/>
      <w:lvlJc w:val="left"/>
      <w:pPr>
        <w:ind w:left="2934" w:hanging="360"/>
      </w:pPr>
      <w:rPr>
        <w:rFonts w:ascii="Wingdings" w:hAnsi="Wingdings" w:hint="default"/>
      </w:rPr>
    </w:lvl>
    <w:lvl w:ilvl="3" w:tplc="041B0001">
      <w:start w:val="1"/>
      <w:numFmt w:val="bullet"/>
      <w:lvlText w:val=""/>
      <w:lvlJc w:val="left"/>
      <w:pPr>
        <w:ind w:left="3654" w:hanging="360"/>
      </w:pPr>
      <w:rPr>
        <w:rFonts w:ascii="Symbol" w:hAnsi="Symbol" w:hint="default"/>
      </w:rPr>
    </w:lvl>
    <w:lvl w:ilvl="4" w:tplc="041B0003">
      <w:start w:val="1"/>
      <w:numFmt w:val="bullet"/>
      <w:lvlText w:val="o"/>
      <w:lvlJc w:val="left"/>
      <w:pPr>
        <w:ind w:left="4374" w:hanging="360"/>
      </w:pPr>
      <w:rPr>
        <w:rFonts w:ascii="Courier New" w:hAnsi="Courier New" w:cs="Times New Roman" w:hint="default"/>
      </w:rPr>
    </w:lvl>
    <w:lvl w:ilvl="5" w:tplc="041B0005">
      <w:start w:val="1"/>
      <w:numFmt w:val="bullet"/>
      <w:lvlText w:val=""/>
      <w:lvlJc w:val="left"/>
      <w:pPr>
        <w:ind w:left="5094" w:hanging="360"/>
      </w:pPr>
      <w:rPr>
        <w:rFonts w:ascii="Wingdings" w:hAnsi="Wingdings" w:hint="default"/>
      </w:rPr>
    </w:lvl>
    <w:lvl w:ilvl="6" w:tplc="041B0001">
      <w:start w:val="1"/>
      <w:numFmt w:val="bullet"/>
      <w:lvlText w:val=""/>
      <w:lvlJc w:val="left"/>
      <w:pPr>
        <w:ind w:left="5814" w:hanging="360"/>
      </w:pPr>
      <w:rPr>
        <w:rFonts w:ascii="Symbol" w:hAnsi="Symbol" w:hint="default"/>
      </w:rPr>
    </w:lvl>
    <w:lvl w:ilvl="7" w:tplc="041B0003">
      <w:start w:val="1"/>
      <w:numFmt w:val="bullet"/>
      <w:lvlText w:val="o"/>
      <w:lvlJc w:val="left"/>
      <w:pPr>
        <w:ind w:left="6534" w:hanging="360"/>
      </w:pPr>
      <w:rPr>
        <w:rFonts w:ascii="Courier New" w:hAnsi="Courier New" w:cs="Times New Roman" w:hint="default"/>
      </w:rPr>
    </w:lvl>
    <w:lvl w:ilvl="8" w:tplc="041B0005">
      <w:start w:val="1"/>
      <w:numFmt w:val="bullet"/>
      <w:lvlText w:val=""/>
      <w:lvlJc w:val="left"/>
      <w:pPr>
        <w:ind w:left="7254" w:hanging="360"/>
      </w:pPr>
      <w:rPr>
        <w:rFonts w:ascii="Wingdings" w:hAnsi="Wingdings" w:hint="default"/>
      </w:rPr>
    </w:lvl>
  </w:abstractNum>
  <w:abstractNum w:abstractNumId="17" w15:restartNumberingAfterBreak="0">
    <w:nsid w:val="71755D0E"/>
    <w:multiLevelType w:val="hybridMultilevel"/>
    <w:tmpl w:val="3EBAE6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79A20C8A"/>
    <w:multiLevelType w:val="hybridMultilevel"/>
    <w:tmpl w:val="4BCC1E72"/>
    <w:lvl w:ilvl="0" w:tplc="C35C44D4">
      <w:start w:val="1"/>
      <w:numFmt w:val="decimal"/>
      <w:lvlText w:val="(%1)"/>
      <w:lvlJc w:val="left"/>
      <w:pPr>
        <w:ind w:left="405" w:hanging="45"/>
      </w:pPr>
      <w:rPr>
        <w:rFonts w:hint="default"/>
      </w:rPr>
    </w:lvl>
    <w:lvl w:ilvl="1" w:tplc="6EC637E6">
      <w:start w:val="1"/>
      <w:numFmt w:val="lowerLetter"/>
      <w:lvlText w:val="%2)"/>
      <w:lvlJc w:val="left"/>
      <w:pPr>
        <w:ind w:left="1080" w:firstLine="0"/>
      </w:pPr>
      <w:rPr>
        <w:rFonts w:ascii="Times New Roman" w:eastAsia="Calibri" w:hAnsi="Times New Roman" w:cs="Times New Roman"/>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7CB868EC"/>
    <w:multiLevelType w:val="hybridMultilevel"/>
    <w:tmpl w:val="A9E429D0"/>
    <w:lvl w:ilvl="0" w:tplc="E54E8FCC">
      <w:start w:val="1"/>
      <w:numFmt w:val="lowerLetter"/>
      <w:lvlText w:val="%1)"/>
      <w:lvlJc w:val="left"/>
      <w:pPr>
        <w:ind w:left="360" w:firstLine="0"/>
      </w:pPr>
      <w:rPr>
        <w:rFonts w:hint="default"/>
      </w:rPr>
    </w:lvl>
    <w:lvl w:ilvl="1" w:tplc="EEF6FA2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34"/>
        <w:lvlJc w:val="left"/>
        <w:rPr>
          <w:rFonts w:ascii="Arial" w:hAnsi="Arial" w:cs="Arial" w:hint="default"/>
        </w:rPr>
      </w:lvl>
    </w:lvlOverride>
  </w:num>
  <w:num w:numId="2">
    <w:abstractNumId w:val="0"/>
    <w:lvlOverride w:ilvl="0">
      <w:lvl w:ilvl="0">
        <w:start w:val="65535"/>
        <w:numFmt w:val="bullet"/>
        <w:lvlText w:val="-"/>
        <w:legacy w:legacy="1" w:legacySpace="0" w:legacyIndent="153"/>
        <w:lvlJc w:val="left"/>
        <w:rPr>
          <w:rFonts w:ascii="Arial" w:hAnsi="Arial" w:cs="Arial" w:hint="default"/>
        </w:rPr>
      </w:lvl>
    </w:lvlOverride>
  </w:num>
  <w:num w:numId="3">
    <w:abstractNumId w:val="0"/>
    <w:lvlOverride w:ilvl="0">
      <w:lvl w:ilvl="0">
        <w:start w:val="65535"/>
        <w:numFmt w:val="bullet"/>
        <w:lvlText w:val="-"/>
        <w:legacy w:legacy="1" w:legacySpace="0" w:legacyIndent="143"/>
        <w:lvlJc w:val="left"/>
        <w:rPr>
          <w:rFonts w:ascii="Arial" w:hAnsi="Arial" w:cs="Arial" w:hint="default"/>
        </w:rPr>
      </w:lvl>
    </w:lvlOverride>
  </w:num>
  <w:num w:numId="4">
    <w:abstractNumId w:val="0"/>
    <w:lvlOverride w:ilvl="0">
      <w:lvl w:ilvl="0">
        <w:start w:val="65535"/>
        <w:numFmt w:val="bullet"/>
        <w:lvlText w:val="-"/>
        <w:legacy w:legacy="1" w:legacySpace="0" w:legacyIndent="221"/>
        <w:lvlJc w:val="left"/>
        <w:rPr>
          <w:rFonts w:ascii="Arial" w:hAnsi="Arial" w:cs="Arial" w:hint="default"/>
        </w:rPr>
      </w:lvl>
    </w:lvlOverride>
  </w:num>
  <w:num w:numId="5">
    <w:abstractNumId w:val="0"/>
    <w:lvlOverride w:ilvl="0">
      <w:lvl w:ilvl="0">
        <w:start w:val="65535"/>
        <w:numFmt w:val="bullet"/>
        <w:lvlText w:val="-"/>
        <w:legacy w:legacy="1" w:legacySpace="0" w:legacyIndent="163"/>
        <w:lvlJc w:val="left"/>
        <w:rPr>
          <w:rFonts w:ascii="Arial" w:hAnsi="Arial" w:cs="Arial" w:hint="default"/>
        </w:rPr>
      </w:lvl>
    </w:lvlOverride>
  </w:num>
  <w:num w:numId="6">
    <w:abstractNumId w:val="0"/>
    <w:lvlOverride w:ilvl="0">
      <w:lvl w:ilvl="0">
        <w:start w:val="65535"/>
        <w:numFmt w:val="bullet"/>
        <w:lvlText w:val="-"/>
        <w:legacy w:legacy="1" w:legacySpace="0" w:legacyIndent="144"/>
        <w:lvlJc w:val="left"/>
        <w:rPr>
          <w:rFonts w:ascii="Arial" w:hAnsi="Arial" w:cs="Arial" w:hint="default"/>
        </w:rPr>
      </w:lvl>
    </w:lvlOverride>
  </w:num>
  <w:num w:numId="7">
    <w:abstractNumId w:val="0"/>
    <w:lvlOverride w:ilvl="0">
      <w:lvl w:ilvl="0">
        <w:start w:val="65535"/>
        <w:numFmt w:val="bullet"/>
        <w:lvlText w:val="V"/>
        <w:legacy w:legacy="1" w:legacySpace="0" w:legacyIndent="201"/>
        <w:lvlJc w:val="left"/>
        <w:rPr>
          <w:rFonts w:ascii="Arial" w:hAnsi="Arial" w:cs="Arial" w:hint="default"/>
        </w:rPr>
      </w:lvl>
    </w:lvlOverride>
  </w:num>
  <w:num w:numId="8">
    <w:abstractNumId w:val="4"/>
  </w:num>
  <w:num w:numId="9">
    <w:abstractNumId w:val="2"/>
  </w:num>
  <w:num w:numId="10">
    <w:abstractNumId w:val="1"/>
  </w:num>
  <w:num w:numId="11">
    <w:abstractNumId w:val="7"/>
  </w:num>
  <w:num w:numId="12">
    <w:abstractNumId w:val="11"/>
  </w:num>
  <w:num w:numId="13">
    <w:abstractNumId w:val="20"/>
  </w:num>
  <w:num w:numId="14">
    <w:abstractNumId w:val="12"/>
  </w:num>
  <w:num w:numId="15">
    <w:abstractNumId w:val="18"/>
  </w:num>
  <w:num w:numId="16">
    <w:abstractNumId w:val="10"/>
  </w:num>
  <w:num w:numId="17">
    <w:abstractNumId w:val="9"/>
  </w:num>
  <w:num w:numId="18">
    <w:abstractNumId w:val="13"/>
  </w:num>
  <w:num w:numId="19">
    <w:abstractNumId w:val="5"/>
  </w:num>
  <w:num w:numId="20">
    <w:abstractNumId w:val="1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EA"/>
    <w:rsid w:val="000004FE"/>
    <w:rsid w:val="0000107B"/>
    <w:rsid w:val="000014DF"/>
    <w:rsid w:val="0000539F"/>
    <w:rsid w:val="00006D6F"/>
    <w:rsid w:val="00014481"/>
    <w:rsid w:val="000153EF"/>
    <w:rsid w:val="00020FE0"/>
    <w:rsid w:val="0003191A"/>
    <w:rsid w:val="0003322C"/>
    <w:rsid w:val="000354EB"/>
    <w:rsid w:val="00035942"/>
    <w:rsid w:val="00036DC1"/>
    <w:rsid w:val="000409C9"/>
    <w:rsid w:val="000434E6"/>
    <w:rsid w:val="0004753A"/>
    <w:rsid w:val="00051738"/>
    <w:rsid w:val="000518A8"/>
    <w:rsid w:val="0005233A"/>
    <w:rsid w:val="00052D7D"/>
    <w:rsid w:val="00053D30"/>
    <w:rsid w:val="0005408A"/>
    <w:rsid w:val="00063632"/>
    <w:rsid w:val="0006441D"/>
    <w:rsid w:val="00065F83"/>
    <w:rsid w:val="00066573"/>
    <w:rsid w:val="000667B6"/>
    <w:rsid w:val="00074F25"/>
    <w:rsid w:val="00075E0A"/>
    <w:rsid w:val="000778CE"/>
    <w:rsid w:val="00082DB0"/>
    <w:rsid w:val="0008349B"/>
    <w:rsid w:val="000846CD"/>
    <w:rsid w:val="00084FAB"/>
    <w:rsid w:val="000914AE"/>
    <w:rsid w:val="000951AB"/>
    <w:rsid w:val="000B23F6"/>
    <w:rsid w:val="000B796F"/>
    <w:rsid w:val="000C0EA4"/>
    <w:rsid w:val="000D0354"/>
    <w:rsid w:val="000D5312"/>
    <w:rsid w:val="000D6B40"/>
    <w:rsid w:val="000D75E6"/>
    <w:rsid w:val="000E3DFD"/>
    <w:rsid w:val="000F1075"/>
    <w:rsid w:val="000F1C00"/>
    <w:rsid w:val="000F346B"/>
    <w:rsid w:val="000F66D6"/>
    <w:rsid w:val="001030C2"/>
    <w:rsid w:val="00106029"/>
    <w:rsid w:val="00106A9B"/>
    <w:rsid w:val="00122017"/>
    <w:rsid w:val="00141242"/>
    <w:rsid w:val="00141C3B"/>
    <w:rsid w:val="00147FC3"/>
    <w:rsid w:val="0016111E"/>
    <w:rsid w:val="00161519"/>
    <w:rsid w:val="00173074"/>
    <w:rsid w:val="001749C2"/>
    <w:rsid w:val="0018388E"/>
    <w:rsid w:val="00185053"/>
    <w:rsid w:val="00185A00"/>
    <w:rsid w:val="00197F9B"/>
    <w:rsid w:val="001A1BBC"/>
    <w:rsid w:val="001A591C"/>
    <w:rsid w:val="001B0910"/>
    <w:rsid w:val="001B18C5"/>
    <w:rsid w:val="001B1EC4"/>
    <w:rsid w:val="001C5057"/>
    <w:rsid w:val="001D00D5"/>
    <w:rsid w:val="001D4C9A"/>
    <w:rsid w:val="001D584A"/>
    <w:rsid w:val="001D697A"/>
    <w:rsid w:val="001E267F"/>
    <w:rsid w:val="001E3066"/>
    <w:rsid w:val="001E6E12"/>
    <w:rsid w:val="001F2547"/>
    <w:rsid w:val="001F60FE"/>
    <w:rsid w:val="001F6B2A"/>
    <w:rsid w:val="00200562"/>
    <w:rsid w:val="0020661B"/>
    <w:rsid w:val="00207027"/>
    <w:rsid w:val="00210ED8"/>
    <w:rsid w:val="00213169"/>
    <w:rsid w:val="002172B1"/>
    <w:rsid w:val="00226CB4"/>
    <w:rsid w:val="00241A2C"/>
    <w:rsid w:val="00255DCB"/>
    <w:rsid w:val="00256784"/>
    <w:rsid w:val="00256D36"/>
    <w:rsid w:val="0026322D"/>
    <w:rsid w:val="002649D2"/>
    <w:rsid w:val="00270C65"/>
    <w:rsid w:val="002712E0"/>
    <w:rsid w:val="002738A0"/>
    <w:rsid w:val="00275CF6"/>
    <w:rsid w:val="00281DBF"/>
    <w:rsid w:val="00282AF2"/>
    <w:rsid w:val="00283AA4"/>
    <w:rsid w:val="00291037"/>
    <w:rsid w:val="002961DC"/>
    <w:rsid w:val="002A008A"/>
    <w:rsid w:val="002A16DA"/>
    <w:rsid w:val="002A7D50"/>
    <w:rsid w:val="002B4A4C"/>
    <w:rsid w:val="002B5E1F"/>
    <w:rsid w:val="002B78EB"/>
    <w:rsid w:val="002C717D"/>
    <w:rsid w:val="002D03B8"/>
    <w:rsid w:val="002D3C8B"/>
    <w:rsid w:val="002D628B"/>
    <w:rsid w:val="002D7E45"/>
    <w:rsid w:val="002E1467"/>
    <w:rsid w:val="002E2EBF"/>
    <w:rsid w:val="002E69D8"/>
    <w:rsid w:val="002F0C39"/>
    <w:rsid w:val="002F64F3"/>
    <w:rsid w:val="00304937"/>
    <w:rsid w:val="00310B16"/>
    <w:rsid w:val="00311A80"/>
    <w:rsid w:val="00314F2F"/>
    <w:rsid w:val="00316DBC"/>
    <w:rsid w:val="00322603"/>
    <w:rsid w:val="00322E94"/>
    <w:rsid w:val="00326593"/>
    <w:rsid w:val="00332813"/>
    <w:rsid w:val="003338AD"/>
    <w:rsid w:val="0033598A"/>
    <w:rsid w:val="0033766F"/>
    <w:rsid w:val="00340390"/>
    <w:rsid w:val="003418BD"/>
    <w:rsid w:val="00341DAE"/>
    <w:rsid w:val="0034293F"/>
    <w:rsid w:val="00343581"/>
    <w:rsid w:val="00344D08"/>
    <w:rsid w:val="0034532C"/>
    <w:rsid w:val="00347014"/>
    <w:rsid w:val="003476D1"/>
    <w:rsid w:val="00347E43"/>
    <w:rsid w:val="00350409"/>
    <w:rsid w:val="00350B57"/>
    <w:rsid w:val="00353061"/>
    <w:rsid w:val="00353ECB"/>
    <w:rsid w:val="0036696F"/>
    <w:rsid w:val="00374AE0"/>
    <w:rsid w:val="00380084"/>
    <w:rsid w:val="00380A30"/>
    <w:rsid w:val="003860AE"/>
    <w:rsid w:val="00387D25"/>
    <w:rsid w:val="00395D48"/>
    <w:rsid w:val="003A007E"/>
    <w:rsid w:val="003A0EFA"/>
    <w:rsid w:val="003A5B39"/>
    <w:rsid w:val="003A6255"/>
    <w:rsid w:val="003A7C46"/>
    <w:rsid w:val="003B05F5"/>
    <w:rsid w:val="003B1084"/>
    <w:rsid w:val="003B5EBA"/>
    <w:rsid w:val="003C43BC"/>
    <w:rsid w:val="003C4465"/>
    <w:rsid w:val="003C5249"/>
    <w:rsid w:val="003D0E0A"/>
    <w:rsid w:val="003D61B2"/>
    <w:rsid w:val="003E4096"/>
    <w:rsid w:val="003E4C5F"/>
    <w:rsid w:val="003F1F3E"/>
    <w:rsid w:val="003F7414"/>
    <w:rsid w:val="00405D1E"/>
    <w:rsid w:val="00407B69"/>
    <w:rsid w:val="00407E90"/>
    <w:rsid w:val="00411993"/>
    <w:rsid w:val="00411A30"/>
    <w:rsid w:val="00413C63"/>
    <w:rsid w:val="004144D7"/>
    <w:rsid w:val="00414A12"/>
    <w:rsid w:val="00414D58"/>
    <w:rsid w:val="00416CF9"/>
    <w:rsid w:val="004223E8"/>
    <w:rsid w:val="004374E1"/>
    <w:rsid w:val="00442CFE"/>
    <w:rsid w:val="00443376"/>
    <w:rsid w:val="00446D8F"/>
    <w:rsid w:val="0045173E"/>
    <w:rsid w:val="004563CF"/>
    <w:rsid w:val="00460256"/>
    <w:rsid w:val="00464584"/>
    <w:rsid w:val="00472D55"/>
    <w:rsid w:val="0047776C"/>
    <w:rsid w:val="004818FB"/>
    <w:rsid w:val="00482888"/>
    <w:rsid w:val="004A5813"/>
    <w:rsid w:val="004A5E1F"/>
    <w:rsid w:val="004A7C13"/>
    <w:rsid w:val="004B7818"/>
    <w:rsid w:val="004C193A"/>
    <w:rsid w:val="004C2758"/>
    <w:rsid w:val="004C447E"/>
    <w:rsid w:val="004C54CC"/>
    <w:rsid w:val="004D50F6"/>
    <w:rsid w:val="004D672C"/>
    <w:rsid w:val="004E1C51"/>
    <w:rsid w:val="004E4512"/>
    <w:rsid w:val="004E6F8C"/>
    <w:rsid w:val="004F08CA"/>
    <w:rsid w:val="004F0D4B"/>
    <w:rsid w:val="004F3377"/>
    <w:rsid w:val="004F5C63"/>
    <w:rsid w:val="004F6684"/>
    <w:rsid w:val="00500157"/>
    <w:rsid w:val="0050143D"/>
    <w:rsid w:val="00501855"/>
    <w:rsid w:val="00502B68"/>
    <w:rsid w:val="00503BA7"/>
    <w:rsid w:val="00505A07"/>
    <w:rsid w:val="00512EC7"/>
    <w:rsid w:val="00515B08"/>
    <w:rsid w:val="00516675"/>
    <w:rsid w:val="00520B6C"/>
    <w:rsid w:val="005225AE"/>
    <w:rsid w:val="00526C8C"/>
    <w:rsid w:val="005308C6"/>
    <w:rsid w:val="00557ADE"/>
    <w:rsid w:val="00557DB4"/>
    <w:rsid w:val="00562A05"/>
    <w:rsid w:val="005739F5"/>
    <w:rsid w:val="00583180"/>
    <w:rsid w:val="00583E1E"/>
    <w:rsid w:val="00596FCE"/>
    <w:rsid w:val="005A0023"/>
    <w:rsid w:val="005A00E4"/>
    <w:rsid w:val="005A654E"/>
    <w:rsid w:val="005A6CB3"/>
    <w:rsid w:val="005B08FF"/>
    <w:rsid w:val="005B29F9"/>
    <w:rsid w:val="005B4F1E"/>
    <w:rsid w:val="005B79DE"/>
    <w:rsid w:val="005C23E7"/>
    <w:rsid w:val="005C31E4"/>
    <w:rsid w:val="005C3BA1"/>
    <w:rsid w:val="005C4126"/>
    <w:rsid w:val="005C52A7"/>
    <w:rsid w:val="005C6E8E"/>
    <w:rsid w:val="005C7489"/>
    <w:rsid w:val="005D08A1"/>
    <w:rsid w:val="005D2C4F"/>
    <w:rsid w:val="005E4353"/>
    <w:rsid w:val="005F01FD"/>
    <w:rsid w:val="005F32F8"/>
    <w:rsid w:val="005F5E26"/>
    <w:rsid w:val="005F5F3E"/>
    <w:rsid w:val="005F7304"/>
    <w:rsid w:val="005F77FD"/>
    <w:rsid w:val="006008AA"/>
    <w:rsid w:val="0060386D"/>
    <w:rsid w:val="00605E80"/>
    <w:rsid w:val="006105B1"/>
    <w:rsid w:val="00614055"/>
    <w:rsid w:val="006235FF"/>
    <w:rsid w:val="00623EC8"/>
    <w:rsid w:val="00624DE3"/>
    <w:rsid w:val="006256DC"/>
    <w:rsid w:val="00644845"/>
    <w:rsid w:val="00654B97"/>
    <w:rsid w:val="006564EC"/>
    <w:rsid w:val="00656968"/>
    <w:rsid w:val="00656DBE"/>
    <w:rsid w:val="00662DFA"/>
    <w:rsid w:val="006711A3"/>
    <w:rsid w:val="00673A3C"/>
    <w:rsid w:val="0067556A"/>
    <w:rsid w:val="006761E4"/>
    <w:rsid w:val="006834A9"/>
    <w:rsid w:val="0068446A"/>
    <w:rsid w:val="006844C3"/>
    <w:rsid w:val="00685A83"/>
    <w:rsid w:val="00685F21"/>
    <w:rsid w:val="0068688F"/>
    <w:rsid w:val="00686C6A"/>
    <w:rsid w:val="0069202A"/>
    <w:rsid w:val="00692E43"/>
    <w:rsid w:val="00694A82"/>
    <w:rsid w:val="00695D2F"/>
    <w:rsid w:val="006A0B7A"/>
    <w:rsid w:val="006A0D6C"/>
    <w:rsid w:val="006A3F01"/>
    <w:rsid w:val="006A68C9"/>
    <w:rsid w:val="006B120B"/>
    <w:rsid w:val="006B6B14"/>
    <w:rsid w:val="006C25EA"/>
    <w:rsid w:val="006C6043"/>
    <w:rsid w:val="006E0DF6"/>
    <w:rsid w:val="006E24D1"/>
    <w:rsid w:val="006E4A14"/>
    <w:rsid w:val="006F1F77"/>
    <w:rsid w:val="006F7620"/>
    <w:rsid w:val="00700A99"/>
    <w:rsid w:val="007015A8"/>
    <w:rsid w:val="007030BE"/>
    <w:rsid w:val="00704C2F"/>
    <w:rsid w:val="00706053"/>
    <w:rsid w:val="00710A86"/>
    <w:rsid w:val="00712A11"/>
    <w:rsid w:val="007130FA"/>
    <w:rsid w:val="00716855"/>
    <w:rsid w:val="00716C3A"/>
    <w:rsid w:val="00716DE0"/>
    <w:rsid w:val="007263C1"/>
    <w:rsid w:val="00750056"/>
    <w:rsid w:val="0075648F"/>
    <w:rsid w:val="00761007"/>
    <w:rsid w:val="0076339F"/>
    <w:rsid w:val="0077553E"/>
    <w:rsid w:val="007776C7"/>
    <w:rsid w:val="00780B8E"/>
    <w:rsid w:val="007814F3"/>
    <w:rsid w:val="007866DF"/>
    <w:rsid w:val="00792C6A"/>
    <w:rsid w:val="00793155"/>
    <w:rsid w:val="00793AF8"/>
    <w:rsid w:val="007941DC"/>
    <w:rsid w:val="007951B8"/>
    <w:rsid w:val="00795A80"/>
    <w:rsid w:val="007A6649"/>
    <w:rsid w:val="007B163B"/>
    <w:rsid w:val="007B55EC"/>
    <w:rsid w:val="007B651F"/>
    <w:rsid w:val="007C746A"/>
    <w:rsid w:val="007D04D6"/>
    <w:rsid w:val="007D10EE"/>
    <w:rsid w:val="007D435F"/>
    <w:rsid w:val="007D4D1A"/>
    <w:rsid w:val="007D7C73"/>
    <w:rsid w:val="007E0907"/>
    <w:rsid w:val="007E3DA7"/>
    <w:rsid w:val="007E5AA0"/>
    <w:rsid w:val="007E5B70"/>
    <w:rsid w:val="007F0315"/>
    <w:rsid w:val="007F1302"/>
    <w:rsid w:val="007F785D"/>
    <w:rsid w:val="008015F8"/>
    <w:rsid w:val="00801F93"/>
    <w:rsid w:val="008022D0"/>
    <w:rsid w:val="0082234E"/>
    <w:rsid w:val="00823CC5"/>
    <w:rsid w:val="00842372"/>
    <w:rsid w:val="00843DA8"/>
    <w:rsid w:val="00845F4C"/>
    <w:rsid w:val="00866C86"/>
    <w:rsid w:val="008703BE"/>
    <w:rsid w:val="00877A2F"/>
    <w:rsid w:val="00893527"/>
    <w:rsid w:val="00893F60"/>
    <w:rsid w:val="008945CC"/>
    <w:rsid w:val="008A4F1E"/>
    <w:rsid w:val="008A7492"/>
    <w:rsid w:val="008B4FF8"/>
    <w:rsid w:val="008B6AA8"/>
    <w:rsid w:val="008B7589"/>
    <w:rsid w:val="008C043B"/>
    <w:rsid w:val="008C1DAF"/>
    <w:rsid w:val="008C3761"/>
    <w:rsid w:val="008C3B2E"/>
    <w:rsid w:val="008D0507"/>
    <w:rsid w:val="008D3C13"/>
    <w:rsid w:val="008D3FB4"/>
    <w:rsid w:val="008D5331"/>
    <w:rsid w:val="008D5480"/>
    <w:rsid w:val="008D5A29"/>
    <w:rsid w:val="008E53BB"/>
    <w:rsid w:val="008F6B82"/>
    <w:rsid w:val="008F7634"/>
    <w:rsid w:val="00902667"/>
    <w:rsid w:val="00905ED5"/>
    <w:rsid w:val="00911B7B"/>
    <w:rsid w:val="00917A43"/>
    <w:rsid w:val="00917D48"/>
    <w:rsid w:val="0092611F"/>
    <w:rsid w:val="0093298F"/>
    <w:rsid w:val="0093406F"/>
    <w:rsid w:val="00945563"/>
    <w:rsid w:val="00946899"/>
    <w:rsid w:val="00947A7B"/>
    <w:rsid w:val="009517F3"/>
    <w:rsid w:val="0095463F"/>
    <w:rsid w:val="009577C6"/>
    <w:rsid w:val="009602EF"/>
    <w:rsid w:val="00963BF3"/>
    <w:rsid w:val="00965A65"/>
    <w:rsid w:val="009676BB"/>
    <w:rsid w:val="00970DEA"/>
    <w:rsid w:val="00973354"/>
    <w:rsid w:val="00976927"/>
    <w:rsid w:val="00976D6A"/>
    <w:rsid w:val="00987AC8"/>
    <w:rsid w:val="00995D8F"/>
    <w:rsid w:val="009A2F9C"/>
    <w:rsid w:val="009A3C57"/>
    <w:rsid w:val="009A4BFA"/>
    <w:rsid w:val="009A7903"/>
    <w:rsid w:val="009B2290"/>
    <w:rsid w:val="009B298D"/>
    <w:rsid w:val="009B3A7B"/>
    <w:rsid w:val="009B3C48"/>
    <w:rsid w:val="009C34FF"/>
    <w:rsid w:val="009C7C48"/>
    <w:rsid w:val="009D31A0"/>
    <w:rsid w:val="009D61A5"/>
    <w:rsid w:val="009E4598"/>
    <w:rsid w:val="009E512C"/>
    <w:rsid w:val="009F04EC"/>
    <w:rsid w:val="009F135C"/>
    <w:rsid w:val="009F325B"/>
    <w:rsid w:val="009F39A2"/>
    <w:rsid w:val="009F3D71"/>
    <w:rsid w:val="009F43DD"/>
    <w:rsid w:val="009F4B9A"/>
    <w:rsid w:val="009F7002"/>
    <w:rsid w:val="00A045E1"/>
    <w:rsid w:val="00A0516A"/>
    <w:rsid w:val="00A07B9A"/>
    <w:rsid w:val="00A108BA"/>
    <w:rsid w:val="00A1390D"/>
    <w:rsid w:val="00A27638"/>
    <w:rsid w:val="00A3483B"/>
    <w:rsid w:val="00A370FD"/>
    <w:rsid w:val="00A4113E"/>
    <w:rsid w:val="00A45B00"/>
    <w:rsid w:val="00A463F1"/>
    <w:rsid w:val="00A46D80"/>
    <w:rsid w:val="00A47C8D"/>
    <w:rsid w:val="00A5426C"/>
    <w:rsid w:val="00A56987"/>
    <w:rsid w:val="00A56EA6"/>
    <w:rsid w:val="00A60EE0"/>
    <w:rsid w:val="00A6204F"/>
    <w:rsid w:val="00A63F46"/>
    <w:rsid w:val="00A65564"/>
    <w:rsid w:val="00A74EDC"/>
    <w:rsid w:val="00A77755"/>
    <w:rsid w:val="00A86276"/>
    <w:rsid w:val="00A95A02"/>
    <w:rsid w:val="00AA1261"/>
    <w:rsid w:val="00AA13E5"/>
    <w:rsid w:val="00AA15C5"/>
    <w:rsid w:val="00AA432C"/>
    <w:rsid w:val="00AA6FC9"/>
    <w:rsid w:val="00AB2EDD"/>
    <w:rsid w:val="00AB4CCA"/>
    <w:rsid w:val="00AC1F26"/>
    <w:rsid w:val="00AC2156"/>
    <w:rsid w:val="00AC6C4F"/>
    <w:rsid w:val="00AC6F44"/>
    <w:rsid w:val="00AD1027"/>
    <w:rsid w:val="00AD1805"/>
    <w:rsid w:val="00AD3C7E"/>
    <w:rsid w:val="00AF0FD3"/>
    <w:rsid w:val="00B017CF"/>
    <w:rsid w:val="00B0783E"/>
    <w:rsid w:val="00B124EB"/>
    <w:rsid w:val="00B12F1E"/>
    <w:rsid w:val="00B14A3A"/>
    <w:rsid w:val="00B23B2D"/>
    <w:rsid w:val="00B2623E"/>
    <w:rsid w:val="00B31898"/>
    <w:rsid w:val="00B32AD3"/>
    <w:rsid w:val="00B35459"/>
    <w:rsid w:val="00B36404"/>
    <w:rsid w:val="00B4112F"/>
    <w:rsid w:val="00B43719"/>
    <w:rsid w:val="00B43DCB"/>
    <w:rsid w:val="00B46332"/>
    <w:rsid w:val="00B46E46"/>
    <w:rsid w:val="00B514B2"/>
    <w:rsid w:val="00B52224"/>
    <w:rsid w:val="00B5306C"/>
    <w:rsid w:val="00B5677A"/>
    <w:rsid w:val="00B57B4C"/>
    <w:rsid w:val="00B60205"/>
    <w:rsid w:val="00B61C66"/>
    <w:rsid w:val="00B66DA2"/>
    <w:rsid w:val="00B70555"/>
    <w:rsid w:val="00B713D1"/>
    <w:rsid w:val="00B94141"/>
    <w:rsid w:val="00B9494C"/>
    <w:rsid w:val="00B957B9"/>
    <w:rsid w:val="00B973ED"/>
    <w:rsid w:val="00BA13B8"/>
    <w:rsid w:val="00BA5F5F"/>
    <w:rsid w:val="00BA7479"/>
    <w:rsid w:val="00BB00F1"/>
    <w:rsid w:val="00BB2FA9"/>
    <w:rsid w:val="00BB66BD"/>
    <w:rsid w:val="00BB7BF3"/>
    <w:rsid w:val="00BC33EA"/>
    <w:rsid w:val="00BC7C97"/>
    <w:rsid w:val="00BD097C"/>
    <w:rsid w:val="00BD725A"/>
    <w:rsid w:val="00BE4023"/>
    <w:rsid w:val="00BE5C31"/>
    <w:rsid w:val="00BF32EB"/>
    <w:rsid w:val="00BF60B5"/>
    <w:rsid w:val="00BF7065"/>
    <w:rsid w:val="00C10C57"/>
    <w:rsid w:val="00C13B68"/>
    <w:rsid w:val="00C20A88"/>
    <w:rsid w:val="00C31B91"/>
    <w:rsid w:val="00C32F8F"/>
    <w:rsid w:val="00C33E18"/>
    <w:rsid w:val="00C42954"/>
    <w:rsid w:val="00C46FB8"/>
    <w:rsid w:val="00C50F72"/>
    <w:rsid w:val="00C51044"/>
    <w:rsid w:val="00C52DB9"/>
    <w:rsid w:val="00C5485D"/>
    <w:rsid w:val="00C56F62"/>
    <w:rsid w:val="00C604E8"/>
    <w:rsid w:val="00C649A0"/>
    <w:rsid w:val="00C6563B"/>
    <w:rsid w:val="00C80986"/>
    <w:rsid w:val="00C82721"/>
    <w:rsid w:val="00C93557"/>
    <w:rsid w:val="00CA39D3"/>
    <w:rsid w:val="00CB3689"/>
    <w:rsid w:val="00CB793A"/>
    <w:rsid w:val="00CC6EE7"/>
    <w:rsid w:val="00CD716E"/>
    <w:rsid w:val="00CE066A"/>
    <w:rsid w:val="00CE52F0"/>
    <w:rsid w:val="00CF0223"/>
    <w:rsid w:val="00CF2056"/>
    <w:rsid w:val="00CF5E18"/>
    <w:rsid w:val="00D02961"/>
    <w:rsid w:val="00D1019D"/>
    <w:rsid w:val="00D13206"/>
    <w:rsid w:val="00D13DE6"/>
    <w:rsid w:val="00D16C4F"/>
    <w:rsid w:val="00D17693"/>
    <w:rsid w:val="00D2106D"/>
    <w:rsid w:val="00D22961"/>
    <w:rsid w:val="00D22E69"/>
    <w:rsid w:val="00D26FD0"/>
    <w:rsid w:val="00D27823"/>
    <w:rsid w:val="00D309FB"/>
    <w:rsid w:val="00D30D11"/>
    <w:rsid w:val="00D312DE"/>
    <w:rsid w:val="00D31D23"/>
    <w:rsid w:val="00D4073E"/>
    <w:rsid w:val="00D434A8"/>
    <w:rsid w:val="00D4649F"/>
    <w:rsid w:val="00D47BED"/>
    <w:rsid w:val="00D51A9F"/>
    <w:rsid w:val="00D54D28"/>
    <w:rsid w:val="00D551AB"/>
    <w:rsid w:val="00D55E12"/>
    <w:rsid w:val="00D56AB7"/>
    <w:rsid w:val="00D60282"/>
    <w:rsid w:val="00D61A28"/>
    <w:rsid w:val="00D61CEA"/>
    <w:rsid w:val="00D71F09"/>
    <w:rsid w:val="00D71F0D"/>
    <w:rsid w:val="00D723DD"/>
    <w:rsid w:val="00D72C66"/>
    <w:rsid w:val="00D8512B"/>
    <w:rsid w:val="00D8673A"/>
    <w:rsid w:val="00D905C4"/>
    <w:rsid w:val="00D94B04"/>
    <w:rsid w:val="00DA06B8"/>
    <w:rsid w:val="00DA490A"/>
    <w:rsid w:val="00DA7343"/>
    <w:rsid w:val="00DB0569"/>
    <w:rsid w:val="00DB16B0"/>
    <w:rsid w:val="00DB1B7E"/>
    <w:rsid w:val="00DC2B05"/>
    <w:rsid w:val="00DC3025"/>
    <w:rsid w:val="00DC3333"/>
    <w:rsid w:val="00DC3E21"/>
    <w:rsid w:val="00DC606A"/>
    <w:rsid w:val="00DC67E2"/>
    <w:rsid w:val="00DC7C2D"/>
    <w:rsid w:val="00DD2486"/>
    <w:rsid w:val="00DD53EE"/>
    <w:rsid w:val="00DE271C"/>
    <w:rsid w:val="00DE79A4"/>
    <w:rsid w:val="00DF1E46"/>
    <w:rsid w:val="00DF380B"/>
    <w:rsid w:val="00DF685D"/>
    <w:rsid w:val="00DF6F5A"/>
    <w:rsid w:val="00E018B6"/>
    <w:rsid w:val="00E1053D"/>
    <w:rsid w:val="00E1378E"/>
    <w:rsid w:val="00E16159"/>
    <w:rsid w:val="00E22710"/>
    <w:rsid w:val="00E245EA"/>
    <w:rsid w:val="00E261AF"/>
    <w:rsid w:val="00E2749C"/>
    <w:rsid w:val="00E30D0B"/>
    <w:rsid w:val="00E40C9B"/>
    <w:rsid w:val="00E42792"/>
    <w:rsid w:val="00E45720"/>
    <w:rsid w:val="00E46550"/>
    <w:rsid w:val="00E56F01"/>
    <w:rsid w:val="00E57AC2"/>
    <w:rsid w:val="00E6169E"/>
    <w:rsid w:val="00E72B45"/>
    <w:rsid w:val="00E72BD1"/>
    <w:rsid w:val="00E757C5"/>
    <w:rsid w:val="00E81285"/>
    <w:rsid w:val="00E82FE4"/>
    <w:rsid w:val="00E90B2F"/>
    <w:rsid w:val="00EA2CFF"/>
    <w:rsid w:val="00EA66D7"/>
    <w:rsid w:val="00EA6EB6"/>
    <w:rsid w:val="00EB64CF"/>
    <w:rsid w:val="00EC2F25"/>
    <w:rsid w:val="00ED07A9"/>
    <w:rsid w:val="00ED5188"/>
    <w:rsid w:val="00ED5764"/>
    <w:rsid w:val="00ED6D7E"/>
    <w:rsid w:val="00EE1E1B"/>
    <w:rsid w:val="00EE3B70"/>
    <w:rsid w:val="00EE40D4"/>
    <w:rsid w:val="00EF0682"/>
    <w:rsid w:val="00EF3EFB"/>
    <w:rsid w:val="00EF643A"/>
    <w:rsid w:val="00F01049"/>
    <w:rsid w:val="00F07111"/>
    <w:rsid w:val="00F11321"/>
    <w:rsid w:val="00F13A3A"/>
    <w:rsid w:val="00F14F60"/>
    <w:rsid w:val="00F24457"/>
    <w:rsid w:val="00F3047C"/>
    <w:rsid w:val="00F33531"/>
    <w:rsid w:val="00F37943"/>
    <w:rsid w:val="00F42D8C"/>
    <w:rsid w:val="00F43B1E"/>
    <w:rsid w:val="00F43D88"/>
    <w:rsid w:val="00F45342"/>
    <w:rsid w:val="00F50362"/>
    <w:rsid w:val="00F5050A"/>
    <w:rsid w:val="00F572C7"/>
    <w:rsid w:val="00F678E7"/>
    <w:rsid w:val="00F70F2C"/>
    <w:rsid w:val="00F72ACA"/>
    <w:rsid w:val="00F83E59"/>
    <w:rsid w:val="00F84F5F"/>
    <w:rsid w:val="00F86EBC"/>
    <w:rsid w:val="00F8717D"/>
    <w:rsid w:val="00F928CC"/>
    <w:rsid w:val="00F94415"/>
    <w:rsid w:val="00FA0907"/>
    <w:rsid w:val="00FA1E12"/>
    <w:rsid w:val="00FA3961"/>
    <w:rsid w:val="00FA4409"/>
    <w:rsid w:val="00FA5B01"/>
    <w:rsid w:val="00FB083B"/>
    <w:rsid w:val="00FC4099"/>
    <w:rsid w:val="00FC7339"/>
    <w:rsid w:val="00FD4DB8"/>
    <w:rsid w:val="00FD6416"/>
    <w:rsid w:val="00FE434F"/>
    <w:rsid w:val="00FE54E4"/>
    <w:rsid w:val="00FE6835"/>
    <w:rsid w:val="00FF1E2B"/>
    <w:rsid w:val="00FF2923"/>
    <w:rsid w:val="00FF2EB8"/>
    <w:rsid w:val="00FF491C"/>
    <w:rsid w:val="00FF64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EEC99B"/>
  <w15:chartTrackingRefBased/>
  <w15:docId w15:val="{96C30B52-09C1-4839-8F52-3DD2E100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76927"/>
    <w:pPr>
      <w:widowControl w:val="0"/>
      <w:autoSpaceDE w:val="0"/>
      <w:autoSpaceDN w:val="0"/>
      <w:adjustRightInd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List Paragraph,Table of contents numbered"/>
    <w:basedOn w:val="Normlny"/>
    <w:link w:val="OdsekzoznamuChar"/>
    <w:uiPriority w:val="34"/>
    <w:qFormat/>
    <w:rsid w:val="001A591C"/>
    <w:pPr>
      <w:widowControl/>
      <w:autoSpaceDE/>
      <w:autoSpaceDN/>
      <w:adjustRightInd/>
      <w:spacing w:after="200" w:line="276" w:lineRule="auto"/>
      <w:ind w:left="720"/>
      <w:contextualSpacing/>
    </w:pPr>
    <w:rPr>
      <w:rFonts w:ascii="Calibri" w:hAnsi="Calibri" w:cs="Iskoola Pota"/>
      <w:sz w:val="22"/>
      <w:szCs w:val="22"/>
    </w:rPr>
  </w:style>
  <w:style w:type="character" w:styleId="Zvraznenie">
    <w:name w:val="Emphasis"/>
    <w:uiPriority w:val="20"/>
    <w:qFormat/>
    <w:rsid w:val="001A591C"/>
    <w:rPr>
      <w:i/>
      <w:iCs/>
    </w:rPr>
  </w:style>
  <w:style w:type="paragraph" w:styleId="Hlavika">
    <w:name w:val="header"/>
    <w:basedOn w:val="Normlny"/>
    <w:link w:val="HlavikaChar"/>
    <w:uiPriority w:val="99"/>
    <w:rsid w:val="001A591C"/>
    <w:pPr>
      <w:tabs>
        <w:tab w:val="center" w:pos="4536"/>
        <w:tab w:val="right" w:pos="9072"/>
      </w:tabs>
    </w:pPr>
  </w:style>
  <w:style w:type="character" w:customStyle="1" w:styleId="HlavikaChar">
    <w:name w:val="Hlavička Char"/>
    <w:link w:val="Hlavika"/>
    <w:uiPriority w:val="99"/>
    <w:rsid w:val="001A591C"/>
    <w:rPr>
      <w:lang w:val="sk-SK" w:eastAsia="sk-SK"/>
    </w:rPr>
  </w:style>
  <w:style w:type="paragraph" w:styleId="Pta">
    <w:name w:val="footer"/>
    <w:basedOn w:val="Normlny"/>
    <w:link w:val="PtaChar"/>
    <w:uiPriority w:val="99"/>
    <w:rsid w:val="001A591C"/>
    <w:pPr>
      <w:tabs>
        <w:tab w:val="center" w:pos="4536"/>
        <w:tab w:val="right" w:pos="9072"/>
      </w:tabs>
    </w:pPr>
  </w:style>
  <w:style w:type="character" w:customStyle="1" w:styleId="PtaChar">
    <w:name w:val="Päta Char"/>
    <w:link w:val="Pta"/>
    <w:uiPriority w:val="99"/>
    <w:rsid w:val="001A591C"/>
    <w:rPr>
      <w:lang w:val="sk-SK" w:eastAsia="sk-SK"/>
    </w:rPr>
  </w:style>
  <w:style w:type="paragraph" w:styleId="Textbubliny">
    <w:name w:val="Balloon Text"/>
    <w:basedOn w:val="Normlny"/>
    <w:semiHidden/>
    <w:rsid w:val="003D0E0A"/>
    <w:rPr>
      <w:rFonts w:ascii="Tahoma" w:hAnsi="Tahoma" w:cs="Tahoma"/>
      <w:sz w:val="16"/>
      <w:szCs w:val="16"/>
    </w:rPr>
  </w:style>
  <w:style w:type="character" w:styleId="Odkaznakomentr">
    <w:name w:val="annotation reference"/>
    <w:uiPriority w:val="99"/>
    <w:rsid w:val="000D75E6"/>
    <w:rPr>
      <w:sz w:val="16"/>
      <w:szCs w:val="16"/>
    </w:rPr>
  </w:style>
  <w:style w:type="paragraph" w:styleId="Textkomentra">
    <w:name w:val="annotation text"/>
    <w:basedOn w:val="Normlny"/>
    <w:link w:val="TextkomentraChar"/>
    <w:uiPriority w:val="99"/>
    <w:qFormat/>
    <w:rsid w:val="000D75E6"/>
    <w:pPr>
      <w:widowControl/>
      <w:suppressAutoHyphens/>
      <w:autoSpaceDE/>
      <w:autoSpaceDN/>
      <w:adjustRightInd/>
    </w:pPr>
    <w:rPr>
      <w:lang w:eastAsia="ar-SA"/>
    </w:rPr>
  </w:style>
  <w:style w:type="paragraph" w:styleId="Textvysvetlivky">
    <w:name w:val="endnote text"/>
    <w:basedOn w:val="Normlny"/>
    <w:semiHidden/>
    <w:rsid w:val="00347E43"/>
    <w:pPr>
      <w:widowControl/>
      <w:suppressAutoHyphens/>
      <w:autoSpaceDE/>
      <w:autoSpaceDN/>
      <w:adjustRightInd/>
    </w:pPr>
    <w:rPr>
      <w:rFonts w:ascii="Arial" w:hAnsi="Arial"/>
      <w:sz w:val="16"/>
      <w:lang w:eastAsia="ar-SA"/>
    </w:rPr>
  </w:style>
  <w:style w:type="character" w:styleId="Odkaznavysvetlivku">
    <w:name w:val="endnote reference"/>
    <w:semiHidden/>
    <w:rsid w:val="00347E43"/>
    <w:rPr>
      <w:rFonts w:cs="Times New Roman"/>
      <w:vertAlign w:val="superscript"/>
    </w:rPr>
  </w:style>
  <w:style w:type="character" w:customStyle="1" w:styleId="TextkomentraChar">
    <w:name w:val="Text komentára Char"/>
    <w:link w:val="Textkomentra"/>
    <w:uiPriority w:val="99"/>
    <w:locked/>
    <w:rsid w:val="007D04D6"/>
    <w:rPr>
      <w:lang w:val="sk-SK" w:eastAsia="ar-SA" w:bidi="ar-SA"/>
    </w:rPr>
  </w:style>
  <w:style w:type="paragraph" w:styleId="Predmetkomentra">
    <w:name w:val="annotation subject"/>
    <w:basedOn w:val="Textkomentra"/>
    <w:next w:val="Textkomentra"/>
    <w:semiHidden/>
    <w:rsid w:val="00A60EE0"/>
    <w:pPr>
      <w:widowControl w:val="0"/>
      <w:suppressAutoHyphens w:val="0"/>
      <w:autoSpaceDE w:val="0"/>
      <w:autoSpaceDN w:val="0"/>
      <w:adjustRightInd w:val="0"/>
    </w:pPr>
    <w:rPr>
      <w:b/>
      <w:bCs/>
      <w:lang w:eastAsia="sk-SK"/>
    </w:rPr>
  </w:style>
  <w:style w:type="character" w:customStyle="1" w:styleId="CharChar2">
    <w:name w:val="Char Char2"/>
    <w:rsid w:val="00694A82"/>
    <w:rPr>
      <w:sz w:val="24"/>
      <w:szCs w:val="24"/>
      <w:lang w:val="sk-SK" w:eastAsia="ar-SA" w:bidi="ar-SA"/>
    </w:rPr>
  </w:style>
  <w:style w:type="paragraph" w:customStyle="1" w:styleId="Revzia1">
    <w:name w:val="Revízia1"/>
    <w:hidden/>
    <w:semiHidden/>
    <w:rsid w:val="00185A00"/>
    <w:rPr>
      <w:sz w:val="24"/>
      <w:szCs w:val="24"/>
      <w:lang w:eastAsia="ar-SA"/>
    </w:rPr>
  </w:style>
  <w:style w:type="character" w:customStyle="1" w:styleId="OdsekzoznamuChar">
    <w:name w:val="Odsek zoznamu Char"/>
    <w:aliases w:val="body Char,Odsek zoznamu2 Char,Odsek zoznamu1 Char,Odsek Char,List Paragraph Char,Table of contents numbered Char"/>
    <w:link w:val="Odsekzoznamu"/>
    <w:uiPriority w:val="34"/>
    <w:locked/>
    <w:rsid w:val="00A86276"/>
    <w:rPr>
      <w:rFonts w:ascii="Calibri" w:hAnsi="Calibri" w:cs="Iskoola Pota"/>
      <w:sz w:val="22"/>
      <w:szCs w:val="22"/>
    </w:rPr>
  </w:style>
  <w:style w:type="table" w:styleId="Mriekatabuky">
    <w:name w:val="Table Grid"/>
    <w:basedOn w:val="Normlnatabuka"/>
    <w:uiPriority w:val="39"/>
    <w:rsid w:val="009B3A7B"/>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styleId="Siln">
    <w:name w:val="Strong"/>
    <w:uiPriority w:val="22"/>
    <w:qFormat/>
    <w:rsid w:val="00CA39D3"/>
    <w:rPr>
      <w:b/>
      <w:bCs/>
    </w:rPr>
  </w:style>
  <w:style w:type="character" w:styleId="Hypertextovprepojenie">
    <w:name w:val="Hyperlink"/>
    <w:uiPriority w:val="99"/>
    <w:unhideWhenUsed/>
    <w:rsid w:val="00CA39D3"/>
    <w:rPr>
      <w:color w:val="0000FF"/>
      <w:u w:val="single"/>
    </w:rPr>
  </w:style>
  <w:style w:type="paragraph" w:customStyle="1" w:styleId="Default">
    <w:name w:val="Default"/>
    <w:basedOn w:val="Normlny"/>
    <w:rsid w:val="006B120B"/>
    <w:pPr>
      <w:widowControl/>
      <w:adjustRightInd/>
    </w:pPr>
    <w:rPr>
      <w:rFonts w:ascii="EUAlbertina" w:eastAsia="Calibri" w:hAnsi="EUAlbertina"/>
      <w:color w:val="000000"/>
      <w:sz w:val="24"/>
      <w:szCs w:val="24"/>
    </w:rPr>
  </w:style>
  <w:style w:type="paragraph" w:styleId="Textpoznmkypodiarou">
    <w:name w:val="footnote text"/>
    <w:basedOn w:val="Normlny"/>
    <w:link w:val="TextpoznmkypodiarouChar"/>
    <w:uiPriority w:val="99"/>
    <w:unhideWhenUsed/>
    <w:rsid w:val="002A008A"/>
    <w:pPr>
      <w:widowControl/>
      <w:autoSpaceDE/>
      <w:autoSpaceDN/>
      <w:adjustRightInd/>
      <w:jc w:val="both"/>
    </w:pPr>
    <w:rPr>
      <w:rFonts w:eastAsia="Calibri"/>
      <w:lang w:eastAsia="en-US"/>
    </w:rPr>
  </w:style>
  <w:style w:type="character" w:customStyle="1" w:styleId="TextpoznmkypodiarouChar">
    <w:name w:val="Text poznámky pod čiarou Char"/>
    <w:link w:val="Textpoznmkypodiarou"/>
    <w:uiPriority w:val="99"/>
    <w:rsid w:val="002A008A"/>
    <w:rPr>
      <w:rFonts w:eastAsia="Calibri"/>
      <w:lang w:eastAsia="en-US"/>
    </w:rPr>
  </w:style>
  <w:style w:type="character" w:styleId="Odkaznapoznmkupodiarou">
    <w:name w:val="footnote reference"/>
    <w:uiPriority w:val="99"/>
    <w:rsid w:val="00BC33EA"/>
    <w:rPr>
      <w:rFonts w:ascii="Times New Roman" w:hAnsi="Times New Roman"/>
      <w:i w:val="0"/>
      <w:vertAlign w:val="superscript"/>
    </w:rPr>
  </w:style>
  <w:style w:type="character" w:customStyle="1" w:styleId="ZkladntextChar">
    <w:name w:val="Základný text Char"/>
    <w:link w:val="Zkladntext"/>
    <w:rsid w:val="00F3047C"/>
    <w:rPr>
      <w:sz w:val="24"/>
      <w:szCs w:val="24"/>
      <w:lang w:eastAsia="cs-CZ"/>
    </w:rPr>
  </w:style>
  <w:style w:type="paragraph" w:styleId="Zkladntext">
    <w:name w:val="Body Text"/>
    <w:basedOn w:val="Normlny"/>
    <w:link w:val="ZkladntextChar"/>
    <w:unhideWhenUsed/>
    <w:rsid w:val="00F3047C"/>
    <w:pPr>
      <w:widowControl/>
      <w:autoSpaceDE/>
      <w:autoSpaceDN/>
      <w:adjustRightInd/>
      <w:spacing w:after="120"/>
    </w:pPr>
    <w:rPr>
      <w:sz w:val="24"/>
      <w:szCs w:val="24"/>
      <w:lang w:eastAsia="cs-CZ"/>
    </w:rPr>
  </w:style>
  <w:style w:type="character" w:customStyle="1" w:styleId="ZkladntextChar1">
    <w:name w:val="Základný text Char1"/>
    <w:basedOn w:val="Predvolenpsmoodseku"/>
    <w:rsid w:val="00F3047C"/>
  </w:style>
  <w:style w:type="table" w:customStyle="1" w:styleId="Mriekatabuky1">
    <w:name w:val="Mriežka tabuľky1"/>
    <w:basedOn w:val="Normlnatabuka"/>
    <w:next w:val="Mriekatabuky"/>
    <w:uiPriority w:val="59"/>
    <w:rsid w:val="00D312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D312DE"/>
    <w:rPr>
      <w:rFonts w:cs="Times New Roman"/>
    </w:rPr>
  </w:style>
  <w:style w:type="paragraph" w:customStyle="1" w:styleId="gmail-m-1648484718305530482msolistparagraph">
    <w:name w:val="gmail-m_-1648484718305530482msolistparagraph"/>
    <w:basedOn w:val="Normlny"/>
    <w:rsid w:val="00D312DE"/>
    <w:pPr>
      <w:widowControl/>
      <w:autoSpaceDE/>
      <w:autoSpaceDN/>
      <w:adjustRightInd/>
      <w:spacing w:before="100" w:beforeAutospacing="1" w:after="100" w:afterAutospacing="1"/>
    </w:pPr>
    <w:rPr>
      <w:rFonts w:ascii="Calibri" w:eastAsiaTheme="minorHAnsi" w:hAnsi="Calibri" w:cs="Calibri"/>
      <w:sz w:val="22"/>
      <w:szCs w:val="22"/>
    </w:rPr>
  </w:style>
  <w:style w:type="table" w:customStyle="1" w:styleId="Mriekatabuky12">
    <w:name w:val="Mriežka tabuľky12"/>
    <w:basedOn w:val="Normlnatabuka"/>
    <w:next w:val="Mriekatabuky"/>
    <w:uiPriority w:val="59"/>
    <w:rsid w:val="00D312DE"/>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839733">
      <w:bodyDiv w:val="1"/>
      <w:marLeft w:val="0"/>
      <w:marRight w:val="0"/>
      <w:marTop w:val="0"/>
      <w:marBottom w:val="0"/>
      <w:divBdr>
        <w:top w:val="none" w:sz="0" w:space="0" w:color="auto"/>
        <w:left w:val="none" w:sz="0" w:space="0" w:color="auto"/>
        <w:bottom w:val="none" w:sz="0" w:space="0" w:color="auto"/>
        <w:right w:val="none" w:sz="0" w:space="0" w:color="auto"/>
      </w:divBdr>
      <w:divsChild>
        <w:div w:id="1179739037">
          <w:marLeft w:val="0"/>
          <w:marRight w:val="0"/>
          <w:marTop w:val="0"/>
          <w:marBottom w:val="0"/>
          <w:divBdr>
            <w:top w:val="none" w:sz="0" w:space="0" w:color="auto"/>
            <w:left w:val="none" w:sz="0" w:space="0" w:color="auto"/>
            <w:bottom w:val="none" w:sz="0" w:space="0" w:color="auto"/>
            <w:right w:val="none" w:sz="0" w:space="0" w:color="auto"/>
          </w:divBdr>
        </w:div>
        <w:div w:id="373314667">
          <w:marLeft w:val="0"/>
          <w:marRight w:val="0"/>
          <w:marTop w:val="0"/>
          <w:marBottom w:val="0"/>
          <w:divBdr>
            <w:top w:val="none" w:sz="0" w:space="0" w:color="auto"/>
            <w:left w:val="none" w:sz="0" w:space="0" w:color="auto"/>
            <w:bottom w:val="none" w:sz="0" w:space="0" w:color="auto"/>
            <w:right w:val="none" w:sz="0" w:space="0" w:color="auto"/>
          </w:divBdr>
        </w:div>
      </w:divsChild>
    </w:div>
    <w:div w:id="709498658">
      <w:bodyDiv w:val="1"/>
      <w:marLeft w:val="0"/>
      <w:marRight w:val="0"/>
      <w:marTop w:val="0"/>
      <w:marBottom w:val="0"/>
      <w:divBdr>
        <w:top w:val="none" w:sz="0" w:space="0" w:color="auto"/>
        <w:left w:val="none" w:sz="0" w:space="0" w:color="auto"/>
        <w:bottom w:val="none" w:sz="0" w:space="0" w:color="auto"/>
        <w:right w:val="none" w:sz="0" w:space="0" w:color="auto"/>
      </w:divBdr>
    </w:div>
    <w:div w:id="934560815">
      <w:bodyDiv w:val="1"/>
      <w:marLeft w:val="0"/>
      <w:marRight w:val="0"/>
      <w:marTop w:val="0"/>
      <w:marBottom w:val="0"/>
      <w:divBdr>
        <w:top w:val="none" w:sz="0" w:space="0" w:color="auto"/>
        <w:left w:val="none" w:sz="0" w:space="0" w:color="auto"/>
        <w:bottom w:val="none" w:sz="0" w:space="0" w:color="auto"/>
        <w:right w:val="none" w:sz="0" w:space="0" w:color="auto"/>
      </w:divBdr>
    </w:div>
    <w:div w:id="1193958591">
      <w:bodyDiv w:val="1"/>
      <w:marLeft w:val="0"/>
      <w:marRight w:val="0"/>
      <w:marTop w:val="0"/>
      <w:marBottom w:val="0"/>
      <w:divBdr>
        <w:top w:val="none" w:sz="0" w:space="0" w:color="auto"/>
        <w:left w:val="none" w:sz="0" w:space="0" w:color="auto"/>
        <w:bottom w:val="none" w:sz="0" w:space="0" w:color="auto"/>
        <w:right w:val="none" w:sz="0" w:space="0" w:color="auto"/>
      </w:divBdr>
    </w:div>
    <w:div w:id="1688673917">
      <w:bodyDiv w:val="1"/>
      <w:marLeft w:val="0"/>
      <w:marRight w:val="0"/>
      <w:marTop w:val="0"/>
      <w:marBottom w:val="0"/>
      <w:divBdr>
        <w:top w:val="none" w:sz="0" w:space="0" w:color="auto"/>
        <w:left w:val="none" w:sz="0" w:space="0" w:color="auto"/>
        <w:bottom w:val="none" w:sz="0" w:space="0" w:color="auto"/>
        <w:right w:val="none" w:sz="0" w:space="0" w:color="auto"/>
      </w:divBdr>
    </w:div>
    <w:div w:id="194642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l.hysek@mindop.sk" TargetMode="Externa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hsr.sk/podnikatelske-prostredie/lepsia-regulacia/regulacne-zatazenie/kalkulacka-nakladov-regulacie"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02D0-7F6C-4930-8C1D-00A83BB5E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5663</Words>
  <Characters>32280</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DÔVODOVÁ   SPRAVA</vt:lpstr>
    </vt:vector>
  </TitlesOfParts>
  <Company>LUSR</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SPRAVA</dc:title>
  <dc:subject/>
  <dc:creator>Michal.Hysek@mindop.sk</dc:creator>
  <cp:keywords/>
  <cp:lastModifiedBy>Hýsek, Michal</cp:lastModifiedBy>
  <cp:revision>3</cp:revision>
  <cp:lastPrinted>2023-11-19T17:15:00Z</cp:lastPrinted>
  <dcterms:created xsi:type="dcterms:W3CDTF">2023-11-20T12:03:00Z</dcterms:created>
  <dcterms:modified xsi:type="dcterms:W3CDTF">2023-11-20T12:03:00Z</dcterms:modified>
</cp:coreProperties>
</file>