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15CE7" w14:textId="77777777" w:rsidR="00105663" w:rsidRPr="006347A1" w:rsidRDefault="00105663" w:rsidP="00105663">
      <w:pPr>
        <w:pStyle w:val="Nzov"/>
        <w:pBdr>
          <w:bottom w:val="single" w:sz="12" w:space="1" w:color="00000A"/>
        </w:pBdr>
        <w:rPr>
          <w:rFonts w:ascii="Book Antiqua" w:hAnsi="Book Antiqua"/>
          <w:sz w:val="22"/>
          <w:szCs w:val="22"/>
        </w:rPr>
      </w:pPr>
      <w:bookmarkStart w:id="0" w:name="_Hlk89090507"/>
      <w:bookmarkStart w:id="1" w:name="_Hlk89090475"/>
      <w:r w:rsidRPr="006347A1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0005C351" w14:textId="77777777" w:rsidR="00105663" w:rsidRPr="006347A1" w:rsidRDefault="00105663" w:rsidP="00105663">
      <w:pPr>
        <w:pStyle w:val="Podtitul"/>
        <w:rPr>
          <w:rFonts w:ascii="Book Antiqua" w:hAnsi="Book Antiqua"/>
          <w:sz w:val="22"/>
          <w:szCs w:val="22"/>
        </w:rPr>
      </w:pPr>
    </w:p>
    <w:p w14:paraId="7822B325" w14:textId="77777777" w:rsidR="00105663" w:rsidRPr="006347A1" w:rsidRDefault="00105663" w:rsidP="00105663">
      <w:pPr>
        <w:pStyle w:val="Podtitul"/>
        <w:rPr>
          <w:rFonts w:ascii="Book Antiqua" w:hAnsi="Book Antiqua"/>
          <w:sz w:val="22"/>
          <w:szCs w:val="22"/>
        </w:rPr>
      </w:pPr>
      <w:r w:rsidRPr="006347A1">
        <w:rPr>
          <w:rFonts w:ascii="Book Antiqua" w:hAnsi="Book Antiqua"/>
          <w:sz w:val="22"/>
          <w:szCs w:val="22"/>
        </w:rPr>
        <w:t>IX. volebné obdobie</w:t>
      </w:r>
    </w:p>
    <w:p w14:paraId="663F7F89" w14:textId="77777777" w:rsidR="00105663" w:rsidRPr="006347A1" w:rsidRDefault="00105663" w:rsidP="00105663">
      <w:pPr>
        <w:pStyle w:val="Podtitul"/>
        <w:jc w:val="left"/>
        <w:rPr>
          <w:rFonts w:ascii="Book Antiqua" w:hAnsi="Book Antiqua"/>
          <w:sz w:val="22"/>
          <w:szCs w:val="22"/>
        </w:rPr>
      </w:pPr>
      <w:r w:rsidRPr="006347A1">
        <w:rPr>
          <w:rFonts w:ascii="Book Antiqua" w:hAnsi="Book Antiqua"/>
          <w:sz w:val="22"/>
          <w:szCs w:val="22"/>
        </w:rPr>
        <w:tab/>
      </w:r>
      <w:r w:rsidRPr="006347A1">
        <w:rPr>
          <w:rFonts w:ascii="Book Antiqua" w:hAnsi="Book Antiqua"/>
          <w:sz w:val="22"/>
          <w:szCs w:val="22"/>
        </w:rPr>
        <w:tab/>
      </w:r>
      <w:r w:rsidRPr="006347A1">
        <w:rPr>
          <w:rFonts w:ascii="Book Antiqua" w:hAnsi="Book Antiqua"/>
          <w:sz w:val="22"/>
          <w:szCs w:val="22"/>
        </w:rPr>
        <w:tab/>
      </w:r>
    </w:p>
    <w:p w14:paraId="2D0CA488" w14:textId="77777777" w:rsidR="00105663" w:rsidRPr="006347A1" w:rsidRDefault="00105663" w:rsidP="00105663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5910AF40" w14:textId="77777777" w:rsidR="00105663" w:rsidRPr="006347A1" w:rsidRDefault="00105663" w:rsidP="00105663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70200CC7" w14:textId="77777777" w:rsidR="00105663" w:rsidRPr="00955ACC" w:rsidRDefault="00105663" w:rsidP="00105663">
      <w:pPr>
        <w:pStyle w:val="Podtitul"/>
        <w:rPr>
          <w:rFonts w:ascii="Book Antiqua" w:hAnsi="Book Antiqua"/>
          <w:b/>
          <w:bCs/>
          <w:sz w:val="22"/>
          <w:szCs w:val="22"/>
        </w:rPr>
      </w:pPr>
      <w:r w:rsidRPr="00955ACC">
        <w:rPr>
          <w:rFonts w:ascii="Book Antiqua" w:hAnsi="Book Antiqua"/>
          <w:b/>
          <w:bCs/>
          <w:sz w:val="22"/>
          <w:szCs w:val="22"/>
        </w:rPr>
        <w:t>N á v r h</w:t>
      </w:r>
    </w:p>
    <w:p w14:paraId="18972907" w14:textId="77777777" w:rsidR="00105663" w:rsidRPr="00955ACC" w:rsidRDefault="00105663" w:rsidP="00105663">
      <w:pPr>
        <w:pStyle w:val="Podtitul"/>
        <w:rPr>
          <w:rFonts w:ascii="Book Antiqua" w:hAnsi="Book Antiqua"/>
          <w:b/>
          <w:sz w:val="22"/>
          <w:szCs w:val="22"/>
        </w:rPr>
      </w:pPr>
    </w:p>
    <w:p w14:paraId="7A0DB965" w14:textId="4447FCFD" w:rsidR="00105663" w:rsidRDefault="00105663" w:rsidP="00105663">
      <w:pPr>
        <w:pStyle w:val="Podtitul"/>
        <w:spacing w:before="120" w:after="120"/>
        <w:rPr>
          <w:rFonts w:ascii="Book Antiqua" w:hAnsi="Book Antiqua"/>
          <w:sz w:val="22"/>
          <w:szCs w:val="22"/>
        </w:rPr>
      </w:pPr>
      <w:r w:rsidRPr="00955ACC">
        <w:rPr>
          <w:rFonts w:ascii="Book Antiqua" w:hAnsi="Book Antiqua"/>
          <w:sz w:val="22"/>
          <w:szCs w:val="22"/>
        </w:rPr>
        <w:t xml:space="preserve"> skupiny poslancov Národnej rady Slovenskej republiky</w:t>
      </w:r>
      <w:r w:rsidRPr="006347A1">
        <w:rPr>
          <w:rFonts w:ascii="Book Antiqua" w:hAnsi="Book Antiqua"/>
          <w:sz w:val="22"/>
          <w:szCs w:val="22"/>
        </w:rPr>
        <w:t xml:space="preserve"> </w:t>
      </w:r>
    </w:p>
    <w:p w14:paraId="7B8E5F4F" w14:textId="3A0AE9A4" w:rsidR="00105663" w:rsidRPr="006347A1" w:rsidRDefault="00105663" w:rsidP="00105663">
      <w:pPr>
        <w:pStyle w:val="Podtitul"/>
        <w:spacing w:before="120" w:after="120"/>
        <w:jc w:val="left"/>
        <w:rPr>
          <w:rFonts w:ascii="Book Antiqua" w:hAnsi="Book Antiqua"/>
          <w:sz w:val="22"/>
          <w:szCs w:val="22"/>
        </w:rPr>
      </w:pPr>
    </w:p>
    <w:p w14:paraId="1FEB5136" w14:textId="77777777" w:rsidR="00105663" w:rsidRPr="006347A1" w:rsidRDefault="00105663" w:rsidP="00105663">
      <w:pPr>
        <w:rPr>
          <w:rFonts w:ascii="Book Antiqua" w:hAnsi="Book Antiqua"/>
        </w:rPr>
      </w:pPr>
    </w:p>
    <w:p w14:paraId="219753AB" w14:textId="77777777" w:rsidR="00105663" w:rsidRPr="006347A1" w:rsidRDefault="00105663" w:rsidP="00105663">
      <w:pPr>
        <w:jc w:val="center"/>
        <w:rPr>
          <w:rFonts w:ascii="Book Antiqua" w:hAnsi="Book Antiqua"/>
          <w:bCs/>
        </w:rPr>
      </w:pPr>
      <w:bookmarkStart w:id="2" w:name="_GoBack"/>
      <w:bookmarkEnd w:id="2"/>
      <w:r w:rsidRPr="006347A1">
        <w:rPr>
          <w:rFonts w:ascii="Book Antiqua" w:hAnsi="Book Antiqua"/>
          <w:bCs/>
        </w:rPr>
        <w:t>n a</w:t>
      </w:r>
      <w:r>
        <w:rPr>
          <w:rFonts w:ascii="Book Antiqua" w:hAnsi="Book Antiqua"/>
          <w:bCs/>
        </w:rPr>
        <w:t xml:space="preserve">  p r i j a t i e</w:t>
      </w:r>
    </w:p>
    <w:p w14:paraId="457192CC" w14:textId="77777777" w:rsidR="00105663" w:rsidRPr="006347A1" w:rsidRDefault="00105663" w:rsidP="00105663">
      <w:pPr>
        <w:jc w:val="center"/>
        <w:rPr>
          <w:rFonts w:ascii="Book Antiqua" w:hAnsi="Book Antiqua"/>
          <w:bCs/>
        </w:rPr>
      </w:pPr>
    </w:p>
    <w:p w14:paraId="7638874F" w14:textId="6E228A7D" w:rsidR="00105663" w:rsidRPr="00105663" w:rsidRDefault="00105663" w:rsidP="00105663">
      <w:pPr>
        <w:spacing w:before="120" w:after="120" w:line="276" w:lineRule="auto"/>
        <w:jc w:val="center"/>
        <w:rPr>
          <w:rFonts w:ascii="Book Antiqua" w:hAnsi="Book Antiqua"/>
          <w:b/>
          <w:bCs/>
        </w:rPr>
      </w:pPr>
      <w:bookmarkStart w:id="3" w:name="_Hlk127200235"/>
      <w:r>
        <w:rPr>
          <w:rFonts w:ascii="Book Antiqua" w:hAnsi="Book Antiqua"/>
          <w:b/>
          <w:bCs/>
        </w:rPr>
        <w:t>uznesenia Národnej rady Slovenskej republiky k</w:t>
      </w:r>
      <w:r w:rsidR="00D3110D">
        <w:rPr>
          <w:rFonts w:ascii="Book Antiqua" w:hAnsi="Book Antiqua"/>
          <w:b/>
          <w:bCs/>
        </w:rPr>
        <w:t> </w:t>
      </w:r>
      <w:bookmarkEnd w:id="3"/>
      <w:r w:rsidR="00D3110D">
        <w:rPr>
          <w:rFonts w:ascii="Book Antiqua" w:hAnsi="Book Antiqua"/>
          <w:b/>
          <w:bCs/>
        </w:rPr>
        <w:t xml:space="preserve">zavedeniu štátnej bonifikácie </w:t>
      </w:r>
      <w:r w:rsidR="00D3110D">
        <w:rPr>
          <w:rFonts w:ascii="Book Antiqua" w:hAnsi="Book Antiqua" w:cs="Open Sans"/>
          <w:b/>
          <w:bCs/>
          <w:color w:val="000000"/>
          <w:shd w:val="clear" w:color="auto" w:fill="FFFFFF"/>
        </w:rPr>
        <w:t>hypotekárnych úverov</w:t>
      </w:r>
    </w:p>
    <w:p w14:paraId="3119877C" w14:textId="71ABC6A0" w:rsidR="00105663" w:rsidRPr="006347A1" w:rsidRDefault="00105663" w:rsidP="00105663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Open Sans"/>
          <w:b/>
          <w:color w:val="000000"/>
          <w:shd w:val="clear" w:color="auto" w:fill="FFFFFF"/>
        </w:rPr>
      </w:pPr>
    </w:p>
    <w:p w14:paraId="4EDCB0CB" w14:textId="77777777" w:rsidR="00105663" w:rsidRPr="006347A1" w:rsidRDefault="00105663" w:rsidP="00105663">
      <w:pPr>
        <w:tabs>
          <w:tab w:val="left" w:pos="-1980"/>
        </w:tabs>
        <w:jc w:val="both"/>
        <w:rPr>
          <w:rFonts w:ascii="Book Antiqua" w:hAnsi="Book Antiqua"/>
          <w:u w:val="single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251"/>
        <w:gridCol w:w="427"/>
        <w:gridCol w:w="4395"/>
      </w:tblGrid>
      <w:tr w:rsidR="00105663" w:rsidRPr="00F45298" w14:paraId="3D40E759" w14:textId="77777777" w:rsidTr="00821D8D">
        <w:trPr>
          <w:trHeight w:val="267"/>
          <w:jc w:val="center"/>
        </w:trPr>
        <w:tc>
          <w:tcPr>
            <w:tcW w:w="4251" w:type="dxa"/>
            <w:shd w:val="clear" w:color="auto" w:fill="auto"/>
          </w:tcPr>
          <w:p w14:paraId="03773B6F" w14:textId="77777777" w:rsidR="00105663" w:rsidRPr="00F45298" w:rsidRDefault="00105663" w:rsidP="00821D8D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Fonts w:ascii="Book Antiqua" w:hAnsi="Book Antiqua"/>
                <w:sz w:val="22"/>
                <w:szCs w:val="22"/>
                <w:u w:val="single"/>
              </w:rPr>
              <w:t xml:space="preserve">P r e d k l a d a j ú </w:t>
            </w:r>
            <w:r w:rsidRPr="00F45298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427" w:type="dxa"/>
            <w:shd w:val="clear" w:color="auto" w:fill="auto"/>
          </w:tcPr>
          <w:p w14:paraId="102FC314" w14:textId="77777777" w:rsidR="00105663" w:rsidRPr="00F45298" w:rsidRDefault="00105663" w:rsidP="00821D8D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135BA11F" w14:textId="77777777" w:rsidR="00105663" w:rsidRPr="00F45298" w:rsidRDefault="00105663" w:rsidP="00821D8D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Fonts w:ascii="Book Antiqua" w:hAnsi="Book Antiqua"/>
                <w:sz w:val="22"/>
                <w:szCs w:val="22"/>
                <w:u w:val="single"/>
              </w:rPr>
              <w:t>Návrh na uznesenie</w:t>
            </w:r>
            <w:r w:rsidRPr="00F45298"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105663" w:rsidRPr="00F45298" w14:paraId="21F6E418" w14:textId="77777777" w:rsidTr="00821D8D">
        <w:trPr>
          <w:trHeight w:val="3271"/>
          <w:jc w:val="center"/>
        </w:trPr>
        <w:tc>
          <w:tcPr>
            <w:tcW w:w="4251" w:type="dxa"/>
            <w:shd w:val="clear" w:color="auto" w:fill="auto"/>
          </w:tcPr>
          <w:p w14:paraId="5C6A52ED" w14:textId="353B44CC" w:rsidR="00704E7D" w:rsidRDefault="00704E7D" w:rsidP="00704E7D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Júliu JAKAB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75FC3C04" w14:textId="77777777" w:rsidR="00704E7D" w:rsidRDefault="00704E7D" w:rsidP="00704E7D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Lukáš BUŽO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68975133" w14:textId="77777777" w:rsidR="00704E7D" w:rsidRDefault="00704E7D" w:rsidP="00704E7D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Ľubomír GALKO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1012F32A" w14:textId="77777777" w:rsidR="00704E7D" w:rsidRDefault="00704E7D" w:rsidP="00704E7D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Gábor GRENDEL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4207395F" w14:textId="00158DFD" w:rsidR="00704E7D" w:rsidRDefault="00704E7D" w:rsidP="00704E7D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Rastislav KRÁTKY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2A30C44F" w14:textId="77777777" w:rsidR="00704E7D" w:rsidRDefault="00704E7D" w:rsidP="00704E7D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Marek KRAJČÍ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2BE7D986" w14:textId="77777777" w:rsidR="00704E7D" w:rsidRDefault="00704E7D" w:rsidP="00704E7D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79698F">
              <w:rPr>
                <w:rFonts w:ascii="Book Antiqua" w:hAnsi="Book Antiqua"/>
                <w:sz w:val="22"/>
                <w:szCs w:val="22"/>
              </w:rPr>
              <w:t xml:space="preserve">Igor MATOVIČ </w:t>
            </w:r>
            <w:proofErr w:type="spellStart"/>
            <w:r w:rsidRPr="0079698F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Pr="0079698F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7890C6D0" w14:textId="77777777" w:rsidR="00704E7D" w:rsidRDefault="00704E7D" w:rsidP="00704E7D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Roman MIKULEC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6528114C" w14:textId="77777777" w:rsidR="00704E7D" w:rsidRDefault="00704E7D" w:rsidP="00704E7D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Peter POLLÁK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4D2C74A3" w14:textId="77777777" w:rsidR="00704E7D" w:rsidRDefault="00704E7D" w:rsidP="00704E7D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Jozef PROČKO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3D837DDD" w14:textId="77777777" w:rsidR="00704E7D" w:rsidRDefault="00704E7D" w:rsidP="00704E7D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Veronika REMIŠOVÁ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7880494B" w14:textId="77777777" w:rsidR="00704E7D" w:rsidRDefault="00704E7D" w:rsidP="00704E7D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Michal ŠIPOŠ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6C88C36C" w14:textId="77777777" w:rsidR="00704E7D" w:rsidRDefault="00704E7D" w:rsidP="00704E7D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Anežka ŠKOPOVÁ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55BDE5C4" w14:textId="77777777" w:rsidR="00704E7D" w:rsidRDefault="00704E7D" w:rsidP="00704E7D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Viliam TANKÓ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712480D1" w14:textId="77777777" w:rsidR="00704E7D" w:rsidRDefault="00704E7D" w:rsidP="00704E7D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Richard VAŠEČKA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3D41AFF1" w14:textId="77777777" w:rsidR="00105663" w:rsidRPr="00F45298" w:rsidRDefault="00105663" w:rsidP="00821D8D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  <w:p w14:paraId="6D1AC5D6" w14:textId="77777777" w:rsidR="00105663" w:rsidRPr="00F45298" w:rsidRDefault="00105663" w:rsidP="00821D8D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37249ADA" w14:textId="77777777" w:rsidR="00105663" w:rsidRPr="00F45298" w:rsidRDefault="00105663" w:rsidP="00821D8D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12557DA2" w14:textId="77777777" w:rsidR="00105663" w:rsidRPr="00F45298" w:rsidRDefault="00105663" w:rsidP="00105663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hAnsi="Book Antiqua"/>
                <w:sz w:val="22"/>
                <w:szCs w:val="22"/>
              </w:rPr>
            </w:pPr>
            <w:bookmarkStart w:id="4" w:name="__DdeLink__1042_3691294648"/>
            <w:r w:rsidRPr="00F45298">
              <w:rPr>
                <w:rFonts w:ascii="Book Antiqua" w:hAnsi="Book Antiqua"/>
                <w:sz w:val="22"/>
                <w:szCs w:val="22"/>
              </w:rPr>
              <w:t>Návrh uznesenia Národnej rady Slovenskej republiky</w:t>
            </w:r>
          </w:p>
          <w:p w14:paraId="74C15A8F" w14:textId="77777777" w:rsidR="00105663" w:rsidRPr="00F45298" w:rsidRDefault="00105663" w:rsidP="00105663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Fonts w:ascii="Book Antiqua" w:hAnsi="Book Antiqua"/>
                <w:sz w:val="22"/>
                <w:szCs w:val="22"/>
              </w:rPr>
              <w:t>Odôvodnenie</w:t>
            </w:r>
          </w:p>
          <w:p w14:paraId="38BC0E52" w14:textId="77777777" w:rsidR="00105663" w:rsidRPr="00F45298" w:rsidRDefault="00105663" w:rsidP="00821D8D">
            <w:pPr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217E28B2" w14:textId="77777777" w:rsidR="00105663" w:rsidRPr="00F45298" w:rsidRDefault="00105663" w:rsidP="00821D8D">
            <w:pPr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7FEC0462" w14:textId="77777777" w:rsidR="00105663" w:rsidRPr="00F45298" w:rsidRDefault="00105663" w:rsidP="00821D8D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1C712DFF" w14:textId="77777777" w:rsidR="00105663" w:rsidRPr="00F45298" w:rsidRDefault="00105663" w:rsidP="00821D8D">
            <w:pPr>
              <w:spacing w:before="120"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bookmarkEnd w:id="4"/>
          <w:p w14:paraId="3CFE55FF" w14:textId="77777777" w:rsidR="00105663" w:rsidRPr="00F45298" w:rsidRDefault="00105663" w:rsidP="00821D8D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Style w:val="awspan"/>
                <w:rFonts w:ascii="Book Antiqua" w:eastAsiaTheme="majorEastAsia" w:hAnsi="Book Antiqua"/>
                <w:color w:val="000000"/>
                <w:sz w:val="22"/>
                <w:szCs w:val="22"/>
              </w:rPr>
              <w:t xml:space="preserve"> </w:t>
            </w:r>
          </w:p>
          <w:p w14:paraId="0435E09F" w14:textId="77777777" w:rsidR="00105663" w:rsidRPr="00F45298" w:rsidRDefault="00105663" w:rsidP="00821D8D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5CAF402" w14:textId="77777777" w:rsidR="00347193" w:rsidRDefault="00347193" w:rsidP="00D40C7C">
      <w:pPr>
        <w:rPr>
          <w:rFonts w:ascii="Book Antiqua" w:hAnsi="Book Antiqua"/>
        </w:rPr>
      </w:pPr>
    </w:p>
    <w:p w14:paraId="5AF7D450" w14:textId="5F6438BA" w:rsidR="00347193" w:rsidRPr="00D40C7C" w:rsidRDefault="00955ACC" w:rsidP="00D40C7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B</w:t>
      </w:r>
      <w:r w:rsidR="00105663" w:rsidRPr="006347A1">
        <w:rPr>
          <w:rFonts w:ascii="Book Antiqua" w:hAnsi="Book Antiqua"/>
        </w:rPr>
        <w:t xml:space="preserve">ratislava </w:t>
      </w:r>
      <w:r w:rsidR="00105663">
        <w:rPr>
          <w:rFonts w:ascii="Book Antiqua" w:hAnsi="Book Antiqua"/>
        </w:rPr>
        <w:t>november</w:t>
      </w:r>
      <w:r w:rsidR="00105663" w:rsidRPr="006347A1">
        <w:rPr>
          <w:rFonts w:ascii="Book Antiqua" w:hAnsi="Book Antiqua"/>
        </w:rPr>
        <w:t xml:space="preserve"> 2023</w:t>
      </w:r>
    </w:p>
    <w:p w14:paraId="6D48E97E" w14:textId="25FFA208" w:rsidR="00105663" w:rsidRPr="00A84E05" w:rsidRDefault="00105663" w:rsidP="00D40C7C">
      <w:pPr>
        <w:pageBreakBefore/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b/>
          <w:bCs/>
        </w:rPr>
        <w:lastRenderedPageBreak/>
        <w:t>NÁRODNÁ RADA SLOVENSKEJ REPUBLIKY</w:t>
      </w:r>
    </w:p>
    <w:bookmarkEnd w:id="0"/>
    <w:p w14:paraId="21326F9A" w14:textId="77777777" w:rsidR="00105663" w:rsidRPr="00A84E05" w:rsidRDefault="00105663" w:rsidP="00105663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14:paraId="26F01EEB" w14:textId="77777777" w:rsidR="00105663" w:rsidRPr="00A84E05" w:rsidRDefault="00105663" w:rsidP="00105663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I</w:t>
      </w:r>
      <w:r w:rsidRPr="0024779A">
        <w:rPr>
          <w:rFonts w:ascii="Book Antiqua" w:hAnsi="Book Antiqua"/>
          <w:spacing w:val="20"/>
        </w:rPr>
        <w:t>X</w:t>
      </w:r>
      <w:r w:rsidRPr="00A84E05">
        <w:rPr>
          <w:rFonts w:ascii="Book Antiqua" w:hAnsi="Book Antiqua"/>
          <w:spacing w:val="20"/>
        </w:rPr>
        <w:t>.  volebné obdobie</w:t>
      </w:r>
    </w:p>
    <w:p w14:paraId="64DEEB25" w14:textId="77777777" w:rsidR="00105663" w:rsidRPr="00A84E05" w:rsidRDefault="00105663" w:rsidP="00105663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A68EBE0" w14:textId="77777777" w:rsidR="00105663" w:rsidRPr="00113514" w:rsidRDefault="00105663" w:rsidP="00105663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14:paraId="362DCF03" w14:textId="77777777" w:rsidR="00105663" w:rsidRPr="00A84E05" w:rsidRDefault="00105663" w:rsidP="00105663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66B6961" w14:textId="77777777" w:rsidR="00105663" w:rsidRDefault="00105663" w:rsidP="00105663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31B66610" w14:textId="77777777" w:rsidR="00105663" w:rsidRPr="00A84E05" w:rsidRDefault="00105663" w:rsidP="00105663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3D7633A7" w14:textId="77777777" w:rsidR="00105663" w:rsidRPr="00A84E05" w:rsidRDefault="00105663" w:rsidP="00105663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AA85E36" w14:textId="0BD42E64" w:rsidR="00105663" w:rsidRPr="00A84E05" w:rsidRDefault="00105663" w:rsidP="00105663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Pr="00A84E05">
        <w:rPr>
          <w:rFonts w:ascii="Book Antiqua" w:hAnsi="Book Antiqua"/>
          <w:bCs/>
          <w:sz w:val="22"/>
          <w:szCs w:val="22"/>
        </w:rPr>
        <w:t xml:space="preserve"> 202</w:t>
      </w:r>
      <w:r>
        <w:rPr>
          <w:rFonts w:ascii="Book Antiqua" w:hAnsi="Book Antiqua"/>
          <w:bCs/>
          <w:sz w:val="22"/>
          <w:szCs w:val="22"/>
        </w:rPr>
        <w:t>3</w:t>
      </w:r>
    </w:p>
    <w:p w14:paraId="283347F0" w14:textId="77777777" w:rsidR="00105663" w:rsidRPr="00A84E05" w:rsidRDefault="00105663" w:rsidP="00105663">
      <w:pPr>
        <w:spacing w:before="120" w:after="0" w:line="276" w:lineRule="auto"/>
        <w:rPr>
          <w:rFonts w:ascii="Book Antiqua" w:hAnsi="Book Antiqua" w:cs="Times New Roman"/>
        </w:rPr>
      </w:pPr>
    </w:p>
    <w:p w14:paraId="1B89B7BD" w14:textId="04837A4F" w:rsidR="00105663" w:rsidRDefault="00D3110D" w:rsidP="00D3110D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Open Sans"/>
          <w:b/>
          <w:bCs/>
          <w:color w:val="000000"/>
          <w:shd w:val="clear" w:color="auto" w:fill="FFFFFF"/>
        </w:rPr>
      </w:pPr>
      <w:bookmarkStart w:id="5" w:name="_Hlk127199157"/>
      <w:r>
        <w:rPr>
          <w:rFonts w:ascii="Book Antiqua" w:hAnsi="Book Antiqua"/>
          <w:b/>
        </w:rPr>
        <w:t>k zavedeniu štátnej bonifikácie</w:t>
      </w:r>
      <w:r w:rsidR="00105663">
        <w:rPr>
          <w:rFonts w:ascii="Book Antiqua" w:hAnsi="Book Antiqua" w:cs="Open Sans"/>
          <w:b/>
          <w:bCs/>
          <w:color w:val="000000"/>
          <w:shd w:val="clear" w:color="auto" w:fill="FFFFFF"/>
        </w:rPr>
        <w:t xml:space="preserve"> </w:t>
      </w:r>
      <w:r>
        <w:rPr>
          <w:rFonts w:ascii="Book Antiqua" w:hAnsi="Book Antiqua" w:cs="Open Sans"/>
          <w:b/>
          <w:bCs/>
          <w:color w:val="000000"/>
          <w:shd w:val="clear" w:color="auto" w:fill="FFFFFF"/>
        </w:rPr>
        <w:t xml:space="preserve">hypotekárnych </w:t>
      </w:r>
      <w:r w:rsidR="00C72421">
        <w:rPr>
          <w:rFonts w:ascii="Book Antiqua" w:hAnsi="Book Antiqua" w:cs="Open Sans"/>
          <w:b/>
          <w:bCs/>
          <w:color w:val="000000"/>
          <w:shd w:val="clear" w:color="auto" w:fill="FFFFFF"/>
        </w:rPr>
        <w:t>úvero</w:t>
      </w:r>
      <w:bookmarkEnd w:id="5"/>
      <w:r>
        <w:rPr>
          <w:rFonts w:ascii="Book Antiqua" w:hAnsi="Book Antiqua" w:cs="Open Sans"/>
          <w:b/>
          <w:bCs/>
          <w:color w:val="000000"/>
          <w:shd w:val="clear" w:color="auto" w:fill="FFFFFF"/>
        </w:rPr>
        <w:t>v</w:t>
      </w:r>
    </w:p>
    <w:p w14:paraId="125B6B4C" w14:textId="77777777" w:rsidR="00D3110D" w:rsidRPr="00D3110D" w:rsidRDefault="00D3110D" w:rsidP="00D3110D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Open Sans"/>
          <w:b/>
          <w:color w:val="000000"/>
          <w:shd w:val="clear" w:color="auto" w:fill="FFFFFF"/>
        </w:rPr>
      </w:pPr>
    </w:p>
    <w:p w14:paraId="2CA4A8BC" w14:textId="460B94DA" w:rsidR="009E0197" w:rsidRDefault="00105663" w:rsidP="009E0197">
      <w:pPr>
        <w:tabs>
          <w:tab w:val="left" w:pos="1095"/>
        </w:tabs>
        <w:spacing w:before="120" w:after="0" w:line="360" w:lineRule="auto"/>
        <w:jc w:val="both"/>
        <w:rPr>
          <w:rFonts w:ascii="Book Antiqua" w:hAnsi="Book Antiqua" w:cs="Times New Roman"/>
        </w:rPr>
      </w:pPr>
      <w:r w:rsidRPr="00702F54">
        <w:rPr>
          <w:rFonts w:ascii="Book Antiqua" w:hAnsi="Book Antiqua" w:cs="Times New Roman"/>
          <w:b/>
          <w:bCs/>
        </w:rPr>
        <w:t>Národná rada Slovenskej republiky</w:t>
      </w:r>
      <w:r w:rsidR="009E0197">
        <w:rPr>
          <w:rFonts w:ascii="Book Antiqua" w:hAnsi="Book Antiqua" w:cs="Times New Roman"/>
          <w:b/>
          <w:bCs/>
        </w:rPr>
        <w:t xml:space="preserve"> </w:t>
      </w:r>
      <w:r w:rsidRPr="009E0197">
        <w:rPr>
          <w:rFonts w:ascii="Book Antiqua" w:hAnsi="Book Antiqua" w:cs="Times New Roman"/>
          <w:b/>
          <w:bCs/>
        </w:rPr>
        <w:t>zaväzuje vládu S</w:t>
      </w:r>
      <w:r w:rsidR="00D40C7C" w:rsidRPr="009E0197">
        <w:rPr>
          <w:rFonts w:ascii="Book Antiqua" w:hAnsi="Book Antiqua" w:cs="Times New Roman"/>
          <w:b/>
          <w:bCs/>
        </w:rPr>
        <w:t>lovenskej republiky</w:t>
      </w:r>
      <w:r w:rsidRPr="009E0197">
        <w:rPr>
          <w:rFonts w:ascii="Book Antiqua" w:hAnsi="Book Antiqua" w:cs="Times New Roman"/>
          <w:b/>
          <w:bCs/>
        </w:rPr>
        <w:t xml:space="preserve"> </w:t>
      </w:r>
      <w:r w:rsidRPr="009E0197">
        <w:rPr>
          <w:rFonts w:ascii="Book Antiqua" w:hAnsi="Book Antiqua" w:cs="Times New Roman"/>
        </w:rPr>
        <w:t xml:space="preserve">predložiť </w:t>
      </w:r>
      <w:r w:rsidR="00D40C7C" w:rsidRPr="009E0197">
        <w:rPr>
          <w:rFonts w:ascii="Book Antiqua" w:hAnsi="Book Antiqua" w:cs="Times New Roman"/>
        </w:rPr>
        <w:t xml:space="preserve">na najbližšiu schôdzu Národnej rady Slovenskej republiky podľa harmonogramu schôdzí Národnej rady Slovenskej republiky </w:t>
      </w:r>
      <w:r w:rsidRPr="009E0197">
        <w:rPr>
          <w:rFonts w:ascii="Book Antiqua" w:hAnsi="Book Antiqua" w:cs="Times New Roman"/>
        </w:rPr>
        <w:t xml:space="preserve">návrh zákona, </w:t>
      </w:r>
      <w:r w:rsidR="00064582">
        <w:rPr>
          <w:rFonts w:ascii="Book Antiqua" w:hAnsi="Book Antiqua" w:cs="Times New Roman"/>
        </w:rPr>
        <w:t>ktorého predmetom bude</w:t>
      </w:r>
    </w:p>
    <w:p w14:paraId="77BE3A25" w14:textId="3A01BA3D" w:rsidR="00105663" w:rsidRPr="003E7BE2" w:rsidRDefault="00D40C7C" w:rsidP="003E7BE2">
      <w:pPr>
        <w:pStyle w:val="Odsekzoznamu"/>
        <w:numPr>
          <w:ilvl w:val="0"/>
          <w:numId w:val="4"/>
        </w:numPr>
        <w:tabs>
          <w:tab w:val="left" w:pos="1095"/>
        </w:tabs>
        <w:spacing w:before="120" w:after="0" w:line="240" w:lineRule="auto"/>
        <w:jc w:val="both"/>
        <w:rPr>
          <w:rFonts w:ascii="Book Antiqua" w:hAnsi="Book Antiqua" w:cs="Times New Roman"/>
          <w:b/>
          <w:bCs/>
        </w:rPr>
      </w:pPr>
      <w:r w:rsidRPr="009E0197">
        <w:rPr>
          <w:rFonts w:ascii="Book Antiqua" w:hAnsi="Book Antiqua" w:cs="Times New Roman"/>
        </w:rPr>
        <w:t>zaved</w:t>
      </w:r>
      <w:r w:rsidR="00064582">
        <w:rPr>
          <w:rFonts w:ascii="Book Antiqua" w:hAnsi="Book Antiqua" w:cs="Times New Roman"/>
        </w:rPr>
        <w:t>enie</w:t>
      </w:r>
      <w:r w:rsidR="00105663" w:rsidRPr="009E0197">
        <w:rPr>
          <w:rFonts w:ascii="Book Antiqua" w:hAnsi="Book Antiqua" w:cs="Times New Roman"/>
        </w:rPr>
        <w:t xml:space="preserve"> štátn</w:t>
      </w:r>
      <w:r w:rsidR="00064582">
        <w:rPr>
          <w:rFonts w:ascii="Book Antiqua" w:hAnsi="Book Antiqua" w:cs="Times New Roman"/>
        </w:rPr>
        <w:t>ej</w:t>
      </w:r>
      <w:r w:rsidR="00105663" w:rsidRPr="009E0197">
        <w:rPr>
          <w:rFonts w:ascii="Book Antiqua" w:hAnsi="Book Antiqua" w:cs="Times New Roman"/>
        </w:rPr>
        <w:t xml:space="preserve"> bonifikáci</w:t>
      </w:r>
      <w:r w:rsidR="00064582">
        <w:rPr>
          <w:rFonts w:ascii="Book Antiqua" w:hAnsi="Book Antiqua" w:cs="Times New Roman"/>
        </w:rPr>
        <w:t>e</w:t>
      </w:r>
      <w:r w:rsidR="00105663" w:rsidRPr="009E0197">
        <w:rPr>
          <w:rFonts w:ascii="Book Antiqua" w:hAnsi="Book Antiqua" w:cs="Times New Roman"/>
        </w:rPr>
        <w:t xml:space="preserve"> hypotekárnych úverov </w:t>
      </w:r>
      <w:r w:rsidR="00064582">
        <w:rPr>
          <w:rFonts w:ascii="Book Antiqua" w:hAnsi="Book Antiqua" w:cs="Times New Roman"/>
        </w:rPr>
        <w:t xml:space="preserve">do právneho poriadku Slovenskej republiky </w:t>
      </w:r>
      <w:r w:rsidR="00105663" w:rsidRPr="009E0197">
        <w:rPr>
          <w:rFonts w:ascii="Book Antiqua" w:hAnsi="Book Antiqua" w:cs="Times New Roman"/>
        </w:rPr>
        <w:t>s účinnosťou od 1. januára 2024</w:t>
      </w:r>
      <w:r w:rsidR="00064582" w:rsidRPr="003E7BE2">
        <w:rPr>
          <w:rFonts w:ascii="Book Antiqua" w:hAnsi="Book Antiqua" w:cs="Times New Roman"/>
        </w:rPr>
        <w:t xml:space="preserve">, </w:t>
      </w:r>
      <w:r w:rsidR="003E7BE2">
        <w:rPr>
          <w:rFonts w:ascii="Book Antiqua" w:hAnsi="Book Antiqua" w:cs="Times New Roman"/>
        </w:rPr>
        <w:t xml:space="preserve">ktorá sa </w:t>
      </w:r>
      <w:r w:rsidR="009E0197" w:rsidRPr="003E7BE2">
        <w:rPr>
          <w:rFonts w:ascii="Book Antiqua" w:hAnsi="Book Antiqua" w:cs="Times New Roman"/>
        </w:rPr>
        <w:t xml:space="preserve">bude vzťahovať na všetky hypotekárne úvery, </w:t>
      </w:r>
      <w:proofErr w:type="spellStart"/>
      <w:r w:rsidR="009E0197" w:rsidRPr="003E7BE2">
        <w:rPr>
          <w:rFonts w:ascii="Book Antiqua" w:hAnsi="Book Antiqua" w:cs="Times New Roman"/>
        </w:rPr>
        <w:t>t</w:t>
      </w:r>
      <w:r w:rsidR="003E7BE2">
        <w:rPr>
          <w:rFonts w:ascii="Book Antiqua" w:hAnsi="Book Antiqua" w:cs="Times New Roman"/>
        </w:rPr>
        <w:t>.j</w:t>
      </w:r>
      <w:proofErr w:type="spellEnd"/>
      <w:r w:rsidR="003E7BE2">
        <w:rPr>
          <w:rFonts w:ascii="Book Antiqua" w:hAnsi="Book Antiqua" w:cs="Times New Roman"/>
        </w:rPr>
        <w:t>.</w:t>
      </w:r>
      <w:r w:rsidR="009E0197" w:rsidRPr="003E7BE2">
        <w:rPr>
          <w:rFonts w:ascii="Book Antiqua" w:hAnsi="Book Antiqua" w:cs="Times New Roman"/>
        </w:rPr>
        <w:t xml:space="preserve"> na hypotekárne úvery uzatvorené pred 1. januárom 2024, ale aj na hypotekárne úvery uzatvorené po 1. januári 2024,</w:t>
      </w:r>
    </w:p>
    <w:p w14:paraId="60EAD0B1" w14:textId="782B5706" w:rsidR="00242FFC" w:rsidRPr="00242FFC" w:rsidRDefault="00242FFC" w:rsidP="00242FFC">
      <w:pPr>
        <w:tabs>
          <w:tab w:val="left" w:pos="1095"/>
        </w:tabs>
        <w:spacing w:before="120" w:after="0" w:line="240" w:lineRule="auto"/>
        <w:jc w:val="both"/>
        <w:rPr>
          <w:rFonts w:ascii="Book Antiqua" w:hAnsi="Book Antiqua" w:cs="Times New Roman"/>
        </w:rPr>
      </w:pPr>
    </w:p>
    <w:p w14:paraId="54193FD8" w14:textId="7F837786" w:rsidR="008A5DF6" w:rsidRPr="008A5DF6" w:rsidRDefault="008A5DF6" w:rsidP="008A5DF6">
      <w:pPr>
        <w:pStyle w:val="Odsekzoznamu"/>
        <w:numPr>
          <w:ilvl w:val="0"/>
          <w:numId w:val="4"/>
        </w:numPr>
        <w:tabs>
          <w:tab w:val="left" w:pos="1095"/>
        </w:tabs>
        <w:spacing w:before="120" w:after="0" w:line="240" w:lineRule="auto"/>
        <w:jc w:val="both"/>
        <w:rPr>
          <w:rFonts w:ascii="Book Antiqua" w:hAnsi="Book Antiqua" w:cs="Times New Roman"/>
        </w:rPr>
      </w:pPr>
      <w:r w:rsidRPr="008A5DF6">
        <w:rPr>
          <w:rFonts w:ascii="Book Antiqua" w:hAnsi="Book Antiqua" w:cs="Open Sans"/>
          <w:shd w:val="clear" w:color="auto" w:fill="FFFFFF"/>
        </w:rPr>
        <w:t xml:space="preserve">zníženie výšky úrokovej sadzby určenej v zmluve o hypotekárnom úvere štátom </w:t>
      </w:r>
      <w:r w:rsidR="00C959FD">
        <w:rPr>
          <w:rFonts w:ascii="Book Antiqua" w:hAnsi="Book Antiqua" w:cs="Open Sans"/>
          <w:shd w:val="clear" w:color="auto" w:fill="FFFFFF"/>
        </w:rPr>
        <w:t xml:space="preserve">a bankou spolu </w:t>
      </w:r>
      <w:r w:rsidRPr="008A5DF6">
        <w:rPr>
          <w:rFonts w:ascii="Book Antiqua" w:hAnsi="Book Antiqua" w:cs="Open Sans"/>
          <w:shd w:val="clear" w:color="auto" w:fill="FFFFFF"/>
        </w:rPr>
        <w:t xml:space="preserve">o najmenej </w:t>
      </w:r>
      <w:r w:rsidR="00C959FD">
        <w:rPr>
          <w:rFonts w:ascii="Book Antiqua" w:hAnsi="Book Antiqua" w:cs="Open Sans"/>
          <w:shd w:val="clear" w:color="auto" w:fill="FFFFFF"/>
        </w:rPr>
        <w:t>tri</w:t>
      </w:r>
      <w:r w:rsidRPr="008A5DF6">
        <w:rPr>
          <w:rFonts w:ascii="Book Antiqua" w:hAnsi="Book Antiqua" w:cs="Open Sans"/>
          <w:shd w:val="clear" w:color="auto" w:fill="FFFFFF"/>
        </w:rPr>
        <w:t xml:space="preserve"> percentá</w:t>
      </w:r>
      <w:r w:rsidR="00C54A0F">
        <w:rPr>
          <w:rFonts w:ascii="Book Antiqua" w:hAnsi="Book Antiqua" w:cs="Times New Roman"/>
        </w:rPr>
        <w:t>.</w:t>
      </w:r>
    </w:p>
    <w:p w14:paraId="3B81E195" w14:textId="77777777" w:rsidR="008A5DF6" w:rsidRPr="008A5DF6" w:rsidRDefault="008A5DF6" w:rsidP="008A5DF6">
      <w:pPr>
        <w:tabs>
          <w:tab w:val="left" w:pos="1095"/>
        </w:tabs>
        <w:spacing w:before="120" w:after="0" w:line="240" w:lineRule="auto"/>
        <w:jc w:val="both"/>
        <w:rPr>
          <w:rFonts w:ascii="Book Antiqua" w:hAnsi="Book Antiqua" w:cs="Times New Roman"/>
        </w:rPr>
      </w:pPr>
    </w:p>
    <w:p w14:paraId="5608A8CC" w14:textId="6683345E" w:rsidR="00105663" w:rsidRDefault="00105663" w:rsidP="00105663">
      <w:pPr>
        <w:tabs>
          <w:tab w:val="left" w:pos="1095"/>
        </w:tabs>
        <w:spacing w:before="120" w:after="0" w:line="360" w:lineRule="auto"/>
        <w:jc w:val="both"/>
        <w:rPr>
          <w:rFonts w:ascii="Book Antiqua" w:hAnsi="Book Antiqua" w:cs="Times New Roman"/>
        </w:rPr>
      </w:pPr>
    </w:p>
    <w:p w14:paraId="527CDEA0" w14:textId="4F052E40" w:rsidR="00105663" w:rsidRPr="00105663" w:rsidRDefault="00105663" w:rsidP="00105663">
      <w:pPr>
        <w:tabs>
          <w:tab w:val="left" w:pos="1095"/>
        </w:tabs>
        <w:spacing w:before="120" w:after="0" w:line="360" w:lineRule="auto"/>
        <w:jc w:val="both"/>
        <w:rPr>
          <w:rFonts w:ascii="Book Antiqua" w:hAnsi="Book Antiqua" w:cs="Times New Roman"/>
        </w:rPr>
      </w:pPr>
    </w:p>
    <w:p w14:paraId="179F608D" w14:textId="3CE8AB2E" w:rsidR="00C72421" w:rsidRDefault="00C72421">
      <w:pPr>
        <w:rPr>
          <w:rFonts w:ascii="Book Antiqua" w:hAnsi="Book Antiqua" w:cs="Times New Roman"/>
          <w:b/>
          <w:bCs/>
        </w:rPr>
      </w:pPr>
    </w:p>
    <w:p w14:paraId="74460661" w14:textId="77777777" w:rsidR="002C17FD" w:rsidRDefault="002C17FD">
      <w:pPr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br w:type="page"/>
      </w:r>
    </w:p>
    <w:p w14:paraId="68517357" w14:textId="3048CF50" w:rsidR="00105663" w:rsidRDefault="00164A62" w:rsidP="00105663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lastRenderedPageBreak/>
        <w:t>O</w:t>
      </w:r>
      <w:r w:rsidR="00105663" w:rsidRPr="00702F54">
        <w:rPr>
          <w:rFonts w:ascii="Book Antiqua" w:hAnsi="Book Antiqua" w:cs="Times New Roman"/>
          <w:b/>
          <w:bCs/>
        </w:rPr>
        <w:t>DÔVOD</w:t>
      </w:r>
      <w:r>
        <w:rPr>
          <w:rFonts w:ascii="Book Antiqua" w:hAnsi="Book Antiqua" w:cs="Times New Roman"/>
          <w:b/>
          <w:bCs/>
        </w:rPr>
        <w:t xml:space="preserve">NENIE </w:t>
      </w:r>
    </w:p>
    <w:p w14:paraId="17C2CCEA" w14:textId="77777777" w:rsidR="00105663" w:rsidRDefault="00105663" w:rsidP="00105663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</w:p>
    <w:p w14:paraId="53EB6B44" w14:textId="7A6A2463" w:rsidR="00105663" w:rsidRDefault="00105663" w:rsidP="00164A62">
      <w:pPr>
        <w:spacing w:before="120" w:after="12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Navrhuje sa prijatie uznesenia Národnou radou Slovenskej republiky, ktorou sa zaviaže vláda Slovenskej republiky k</w:t>
      </w:r>
      <w:r w:rsidR="007B6623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 xml:space="preserve">predloženiu </w:t>
      </w:r>
      <w:r w:rsidR="007B6623">
        <w:rPr>
          <w:rFonts w:ascii="Book Antiqua" w:hAnsi="Book Antiqua" w:cs="Times New Roman"/>
        </w:rPr>
        <w:t>návrhu zákona, ktorého predmetom bude bonifikácia hypotekárnych úverov</w:t>
      </w:r>
      <w:r w:rsidR="00164A62">
        <w:rPr>
          <w:rFonts w:ascii="Book Antiqua" w:hAnsi="Book Antiqua" w:cs="Times New Roman"/>
        </w:rPr>
        <w:t xml:space="preserve"> </w:t>
      </w:r>
      <w:r w:rsidR="007D6C48">
        <w:rPr>
          <w:rFonts w:ascii="Book Antiqua" w:hAnsi="Book Antiqua" w:cs="Times New Roman"/>
        </w:rPr>
        <w:t>v takom znení</w:t>
      </w:r>
      <w:r w:rsidR="00164A62">
        <w:rPr>
          <w:rFonts w:ascii="Book Antiqua" w:hAnsi="Book Antiqua" w:cs="Times New Roman"/>
        </w:rPr>
        <w:t xml:space="preserve">, ako to prisľúbil predseda politickej strany SMER- SD Robert Fico </w:t>
      </w:r>
      <w:r w:rsidR="001472D1">
        <w:rPr>
          <w:rFonts w:ascii="Book Antiqua" w:hAnsi="Book Antiqua" w:cs="Times New Roman"/>
        </w:rPr>
        <w:t>počas volebnej kampane</w:t>
      </w:r>
      <w:r w:rsidR="00164A62">
        <w:rPr>
          <w:rFonts w:ascii="Book Antiqua" w:hAnsi="Book Antiqua" w:cs="Times New Roman"/>
        </w:rPr>
        <w:t xml:space="preserve">. </w:t>
      </w:r>
      <w:r w:rsidR="001472D1">
        <w:rPr>
          <w:rFonts w:ascii="Book Antiqua" w:hAnsi="Book Antiqua" w:cs="Times New Roman"/>
        </w:rPr>
        <w:t>V nej Robert Fico sľuboval, že s touto legislatívou príde na prvom rokovaní vlády Slovenskej republiky, pričom do dnešného dňa predmetná legislatíva na rokovanie vlády Slovenskej republiky predložená nebola.</w:t>
      </w:r>
    </w:p>
    <w:p w14:paraId="6EB0B2C9" w14:textId="44AF10AC" w:rsidR="00164A62" w:rsidRDefault="00164A62" w:rsidP="00164A62">
      <w:pPr>
        <w:spacing w:before="120" w:after="120" w:line="276" w:lineRule="auto"/>
        <w:jc w:val="both"/>
        <w:rPr>
          <w:rFonts w:ascii="Book Antiqua" w:hAnsi="Book Antiqua" w:cs="Times New Roman"/>
        </w:rPr>
      </w:pPr>
    </w:p>
    <w:p w14:paraId="5854E5DA" w14:textId="37F1CE07" w:rsidR="00164A62" w:rsidRDefault="00164A62" w:rsidP="00164A62">
      <w:pPr>
        <w:spacing w:before="120" w:after="12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Vzhľadom na alarmujúcu situáciu v oblasti hypotekárnych úverov, kde hrozí drastické zvyšovanie mesačných splátok za hypotekárny úver, čo bude mať značne negatívny ekonomický dopad na ob</w:t>
      </w:r>
      <w:r w:rsidR="007D6C48">
        <w:rPr>
          <w:rFonts w:ascii="Book Antiqua" w:hAnsi="Book Antiqua" w:cs="Times New Roman"/>
        </w:rPr>
        <w:t xml:space="preserve">čanov Slovenskej republiky je </w:t>
      </w:r>
      <w:r>
        <w:rPr>
          <w:rFonts w:ascii="Book Antiqua" w:hAnsi="Book Antiqua" w:cs="Times New Roman"/>
        </w:rPr>
        <w:t>potrebné, aby sa sľubované opatrenia prijali čo najskôr.</w:t>
      </w:r>
    </w:p>
    <w:p w14:paraId="7F80A18C" w14:textId="04C275AB" w:rsidR="00164A62" w:rsidRDefault="00164A62" w:rsidP="00164A62">
      <w:pPr>
        <w:spacing w:before="120" w:after="120" w:line="276" w:lineRule="auto"/>
        <w:jc w:val="both"/>
        <w:rPr>
          <w:rFonts w:ascii="Book Antiqua" w:hAnsi="Book Antiqua" w:cs="Times New Roman"/>
        </w:rPr>
      </w:pPr>
    </w:p>
    <w:p w14:paraId="3328D3B3" w14:textId="5BFF5B19" w:rsidR="00164A62" w:rsidRPr="00105663" w:rsidRDefault="00164A62" w:rsidP="00164A62">
      <w:pPr>
        <w:spacing w:before="120" w:after="12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Z tohto dôvodu navrhujeme, aby Národná rada Slovenskej republiky zaviazala vládu SR, aby predložila návrh zákonnej úpravy tak, aby štátna bonifikácia mohla vstúpiť do účinnosti už 1. januára 202</w:t>
      </w:r>
      <w:r w:rsidR="007D6C48">
        <w:rPr>
          <w:rFonts w:ascii="Book Antiqua" w:hAnsi="Book Antiqua" w:cs="Times New Roman"/>
        </w:rPr>
        <w:t>4</w:t>
      </w:r>
      <w:r>
        <w:rPr>
          <w:rFonts w:ascii="Book Antiqua" w:hAnsi="Book Antiqua" w:cs="Times New Roman"/>
        </w:rPr>
        <w:t>.</w:t>
      </w:r>
    </w:p>
    <w:p w14:paraId="36D59494" w14:textId="097F051F" w:rsidR="00105663" w:rsidRDefault="00105663" w:rsidP="00164A62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3AB1CF20" w14:textId="77777777" w:rsidR="00105663" w:rsidRPr="00702F54" w:rsidRDefault="00105663" w:rsidP="00105663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</w:p>
    <w:bookmarkEnd w:id="1"/>
    <w:p w14:paraId="5263E4E7" w14:textId="77777777" w:rsidR="00105663" w:rsidRPr="001F22EA" w:rsidRDefault="00105663" w:rsidP="00105663">
      <w:pPr>
        <w:pStyle w:val="Odsekzoznamu"/>
        <w:spacing w:before="120" w:after="0" w:line="276" w:lineRule="auto"/>
        <w:ind w:left="0" w:firstLine="708"/>
        <w:jc w:val="both"/>
        <w:rPr>
          <w:rFonts w:ascii="Book Antiqua" w:hAnsi="Book Antiqua" w:cs="Open Sans"/>
          <w:shd w:val="clear" w:color="auto" w:fill="FFFFFF"/>
        </w:rPr>
      </w:pPr>
    </w:p>
    <w:p w14:paraId="49FA1609" w14:textId="77777777" w:rsidR="00304961" w:rsidRDefault="00304961"/>
    <w:sectPr w:rsidR="00304961" w:rsidSect="00E34C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5DE2C" w14:textId="77777777" w:rsidR="00BB5B87" w:rsidRDefault="00BB5B87">
      <w:pPr>
        <w:spacing w:after="0" w:line="240" w:lineRule="auto"/>
      </w:pPr>
      <w:r>
        <w:separator/>
      </w:r>
    </w:p>
  </w:endnote>
  <w:endnote w:type="continuationSeparator" w:id="0">
    <w:p w14:paraId="31DCB78E" w14:textId="77777777" w:rsidR="00BB5B87" w:rsidRDefault="00BB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1496F" w14:textId="77777777" w:rsidR="00EF696B" w:rsidRDefault="00EF696B">
    <w:pPr>
      <w:pStyle w:val="Pta"/>
      <w:jc w:val="center"/>
    </w:pPr>
  </w:p>
  <w:p w14:paraId="127B0729" w14:textId="77777777" w:rsidR="00EF696B" w:rsidRDefault="00EF69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61FD8" w14:textId="77777777" w:rsidR="00BB5B87" w:rsidRDefault="00BB5B87">
      <w:pPr>
        <w:spacing w:after="0" w:line="240" w:lineRule="auto"/>
      </w:pPr>
      <w:r>
        <w:separator/>
      </w:r>
    </w:p>
  </w:footnote>
  <w:footnote w:type="continuationSeparator" w:id="0">
    <w:p w14:paraId="2C71278E" w14:textId="77777777" w:rsidR="00BB5B87" w:rsidRDefault="00BB5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3CC"/>
    <w:multiLevelType w:val="hybridMultilevel"/>
    <w:tmpl w:val="460CCC2A"/>
    <w:lvl w:ilvl="0" w:tplc="CEFA0856">
      <w:start w:val="1"/>
      <w:numFmt w:val="upperLetter"/>
      <w:suff w:val="space"/>
      <w:lvlText w:val="%1)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E307D36"/>
    <w:multiLevelType w:val="hybridMultilevel"/>
    <w:tmpl w:val="1236290A"/>
    <w:lvl w:ilvl="0" w:tplc="C47A30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E6E43"/>
    <w:multiLevelType w:val="hybridMultilevel"/>
    <w:tmpl w:val="E3DACE9E"/>
    <w:lvl w:ilvl="0" w:tplc="6B88CB90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4152EF"/>
    <w:multiLevelType w:val="hybridMultilevel"/>
    <w:tmpl w:val="B450CFDA"/>
    <w:lvl w:ilvl="0" w:tplc="365271B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63"/>
    <w:rsid w:val="000162C6"/>
    <w:rsid w:val="0002052E"/>
    <w:rsid w:val="00064582"/>
    <w:rsid w:val="00067216"/>
    <w:rsid w:val="00102202"/>
    <w:rsid w:val="00105663"/>
    <w:rsid w:val="001472D1"/>
    <w:rsid w:val="00156866"/>
    <w:rsid w:val="00164A62"/>
    <w:rsid w:val="001E18B7"/>
    <w:rsid w:val="00242FFC"/>
    <w:rsid w:val="00244C19"/>
    <w:rsid w:val="002C17FD"/>
    <w:rsid w:val="00304961"/>
    <w:rsid w:val="00347193"/>
    <w:rsid w:val="003E7BE2"/>
    <w:rsid w:val="004645BF"/>
    <w:rsid w:val="00494FDD"/>
    <w:rsid w:val="006F6E9B"/>
    <w:rsid w:val="00704E7D"/>
    <w:rsid w:val="007B6623"/>
    <w:rsid w:val="007D6C48"/>
    <w:rsid w:val="008A5DF6"/>
    <w:rsid w:val="008F1EDB"/>
    <w:rsid w:val="00955ACC"/>
    <w:rsid w:val="00967ABB"/>
    <w:rsid w:val="009E0197"/>
    <w:rsid w:val="00A212EF"/>
    <w:rsid w:val="00A564D1"/>
    <w:rsid w:val="00A86A3F"/>
    <w:rsid w:val="00B8439E"/>
    <w:rsid w:val="00BB5B87"/>
    <w:rsid w:val="00C54A0F"/>
    <w:rsid w:val="00C72421"/>
    <w:rsid w:val="00C959FD"/>
    <w:rsid w:val="00D3110D"/>
    <w:rsid w:val="00D40C7C"/>
    <w:rsid w:val="00EF696B"/>
    <w:rsid w:val="00F4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6E72"/>
  <w15:chartTrackingRefBased/>
  <w15:docId w15:val="{6188A053-9BA6-4237-BF2A-6B7BCF50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56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105663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105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5663"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05663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05663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105663"/>
  </w:style>
  <w:style w:type="character" w:customStyle="1" w:styleId="awspan">
    <w:name w:val="awspan"/>
    <w:basedOn w:val="Predvolenpsmoodseku"/>
    <w:qFormat/>
    <w:rsid w:val="00105663"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105663"/>
  </w:style>
  <w:style w:type="character" w:customStyle="1" w:styleId="NzovChar">
    <w:name w:val="Názov Char"/>
    <w:basedOn w:val="Predvolenpsmoodseku"/>
    <w:link w:val="Nzov"/>
    <w:uiPriority w:val="10"/>
    <w:qFormat/>
    <w:rsid w:val="00105663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105663"/>
    <w:rPr>
      <w:rFonts w:asciiTheme="majorHAnsi" w:eastAsiaTheme="majorEastAsia" w:hAnsiTheme="majorHAnsi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105663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NzovChar1">
    <w:name w:val="Názov Char1"/>
    <w:basedOn w:val="Predvolenpsmoodseku"/>
    <w:uiPriority w:val="10"/>
    <w:rsid w:val="00105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link w:val="PodtitulChar"/>
    <w:uiPriority w:val="11"/>
    <w:qFormat/>
    <w:rsid w:val="00105663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character" w:customStyle="1" w:styleId="PodtitulChar1">
    <w:name w:val="Podtitul Char1"/>
    <w:basedOn w:val="Predvolenpsmoodseku"/>
    <w:uiPriority w:val="11"/>
    <w:rsid w:val="00105663"/>
    <w:rPr>
      <w:rFonts w:eastAsiaTheme="minorEastAsia"/>
      <w:color w:val="5A5A5A" w:themeColor="text1" w:themeTint="A5"/>
      <w:spacing w:val="15"/>
    </w:rPr>
  </w:style>
  <w:style w:type="table" w:styleId="Mriekatabuky">
    <w:name w:val="Table Grid"/>
    <w:basedOn w:val="Normlnatabuka"/>
    <w:rsid w:val="0010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2</cp:revision>
  <dcterms:created xsi:type="dcterms:W3CDTF">2023-11-20T14:40:00Z</dcterms:created>
  <dcterms:modified xsi:type="dcterms:W3CDTF">2023-11-20T14:40:00Z</dcterms:modified>
</cp:coreProperties>
</file>