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C91684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14:paraId="00000002" w14:textId="77777777" w:rsidR="00386510" w:rsidRPr="00C91684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C91684">
        <w:rPr>
          <w:rFonts w:ascii="Book Antiqua" w:eastAsia="Times New Roman" w:hAnsi="Book Antiqua" w:cs="Times New Roman"/>
          <w:b/>
        </w:rPr>
        <w:t>DÔVODOVÁ SPRÁVA</w:t>
      </w:r>
    </w:p>
    <w:p w14:paraId="00000003" w14:textId="77777777" w:rsidR="00386510" w:rsidRPr="00C91684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</w:rPr>
      </w:pPr>
    </w:p>
    <w:p w14:paraId="00000004" w14:textId="77777777" w:rsidR="00386510" w:rsidRPr="00C91684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</w:rPr>
      </w:pPr>
      <w:r w:rsidRPr="00C91684">
        <w:rPr>
          <w:rFonts w:ascii="Book Antiqua" w:eastAsia="Times New Roman" w:hAnsi="Book Antiqua" w:cs="Times New Roman"/>
          <w:b/>
        </w:rPr>
        <w:t xml:space="preserve">A. VŠEOBECNÁ ČASŤ </w:t>
      </w:r>
    </w:p>
    <w:p w14:paraId="3161926F" w14:textId="77777777" w:rsidR="007838BE" w:rsidRPr="00C91684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14:paraId="605057DD" w14:textId="74FC1B41" w:rsidR="00ED6DB9" w:rsidRPr="00C91684" w:rsidRDefault="00BD2AFF" w:rsidP="00BD2AFF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 w:rsidRPr="00C91684">
        <w:rPr>
          <w:rFonts w:ascii="Book Antiqua" w:eastAsia="Times New Roman" w:hAnsi="Book Antiqua" w:cs="Times New Roman"/>
        </w:rPr>
        <w:tab/>
      </w:r>
      <w:r w:rsidR="006F7B9F" w:rsidRPr="00C91684">
        <w:rPr>
          <w:rFonts w:ascii="Book Antiqua" w:hAnsi="Book Antiqua"/>
        </w:rPr>
        <w:t xml:space="preserve">Návrh zákona, </w:t>
      </w:r>
      <w:bookmarkStart w:id="1" w:name="_Hlk127200235"/>
      <w:bookmarkStart w:id="2" w:name="_Hlk127199157"/>
      <w:r w:rsidR="001E15B8" w:rsidRPr="00C91684">
        <w:rPr>
          <w:rFonts w:ascii="Book Antiqua" w:hAnsi="Book Antiqua"/>
        </w:rPr>
        <w:t xml:space="preserve">ktorým sa mení a dopĺňa </w:t>
      </w:r>
      <w:r w:rsidR="001E15B8" w:rsidRPr="00C91684">
        <w:rPr>
          <w:rFonts w:ascii="Book Antiqua" w:hAnsi="Book Antiqua" w:cs="Open Sans"/>
          <w:shd w:val="clear" w:color="auto" w:fill="FFFFFF"/>
        </w:rPr>
        <w:t>zákon č. 296/2020 Z. z. o 13. dôchodku a o zmene a doplnení niektorých zákonov v znení</w:t>
      </w:r>
      <w:r w:rsidR="001E15B8" w:rsidRPr="00C91684">
        <w:rPr>
          <w:rFonts w:ascii="Book Antiqua" w:hAnsi="Book Antiqua"/>
        </w:rPr>
        <w:t xml:space="preserve"> neskorších predpisov</w:t>
      </w:r>
      <w:r w:rsidR="00911A32" w:rsidRPr="00C91684">
        <w:rPr>
          <w:rFonts w:ascii="Book Antiqua" w:hAnsi="Book Antiqua" w:cs="Open Sans"/>
          <w:shd w:val="clear" w:color="auto" w:fill="FFFFFF"/>
        </w:rPr>
        <w:t xml:space="preserve"> </w:t>
      </w:r>
      <w:bookmarkEnd w:id="1"/>
      <w:bookmarkEnd w:id="2"/>
      <w:r w:rsidR="006F7B9F" w:rsidRPr="00C91684">
        <w:rPr>
          <w:rFonts w:ascii="Book Antiqua" w:hAnsi="Book Antiqua"/>
        </w:rPr>
        <w:t>(ďalej len „návrh zákona“) predklad</w:t>
      </w:r>
      <w:r w:rsidR="00AE0A03" w:rsidRPr="00C91684">
        <w:rPr>
          <w:rFonts w:ascii="Book Antiqua" w:hAnsi="Book Antiqua"/>
        </w:rPr>
        <w:t xml:space="preserve">á </w:t>
      </w:r>
      <w:r w:rsidR="00C06E62">
        <w:rPr>
          <w:rFonts w:ascii="Book Antiqua" w:hAnsi="Book Antiqua"/>
        </w:rPr>
        <w:t xml:space="preserve">skupina </w:t>
      </w:r>
      <w:r w:rsidR="00AE0A03" w:rsidRPr="00C91684">
        <w:rPr>
          <w:rFonts w:ascii="Book Antiqua" w:hAnsi="Book Antiqua"/>
        </w:rPr>
        <w:t>poslan</w:t>
      </w:r>
      <w:r w:rsidR="00C06E62">
        <w:rPr>
          <w:rFonts w:ascii="Book Antiqua" w:hAnsi="Book Antiqua"/>
        </w:rPr>
        <w:t>cov</w:t>
      </w:r>
      <w:r w:rsidR="006F7B9F" w:rsidRPr="00C91684">
        <w:rPr>
          <w:rFonts w:ascii="Book Antiqua" w:hAnsi="Book Antiqua"/>
        </w:rPr>
        <w:t xml:space="preserve"> Národnej rady Slovenskej republik</w:t>
      </w:r>
      <w:r w:rsidR="00C06E62">
        <w:rPr>
          <w:rFonts w:ascii="Book Antiqua" w:hAnsi="Book Antiqua"/>
        </w:rPr>
        <w:t>y</w:t>
      </w:r>
      <w:r w:rsidR="00ED6DB9" w:rsidRPr="00C91684">
        <w:rPr>
          <w:rFonts w:ascii="Book Antiqua" w:hAnsi="Book Antiqua"/>
        </w:rPr>
        <w:t>.</w:t>
      </w:r>
    </w:p>
    <w:p w14:paraId="51BF7F4C" w14:textId="19754679" w:rsidR="00E45D1D" w:rsidRPr="00C91684" w:rsidRDefault="00BD2AFF" w:rsidP="00BD2AFF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C91684">
        <w:rPr>
          <w:rFonts w:ascii="Book Antiqua" w:hAnsi="Book Antiqua"/>
        </w:rPr>
        <w:tab/>
      </w:r>
      <w:r w:rsidR="00E45D1D" w:rsidRPr="00C91684">
        <w:rPr>
          <w:rFonts w:ascii="Book Antiqua" w:hAnsi="Book Antiqua"/>
        </w:rPr>
        <w:t>Členské štáty Európskej únie, Slovenskú republiku nevynímajúc, v posledných rokoch v dôsledku vojenského konfliktu, kríz a vysokej inflácie trápi udržateľnosť dosiahnutej životnej úrovne. Najviac zasiahnutými skupinami obyvateľstva sú rodiny s deťmi a dôchodcovia. Rodinám s deťmi bola v minulom volebnom období doručená finančná pomoc, ktorá v histórii Slovenskej republiky nemá obdobu, najmä zvýšený daňový bonus na dieťa, zvýšený prídavok na dieťa, zavedenie tehotenského príspevku, obedov zadarmo vo vyššej sume...</w:t>
      </w:r>
    </w:p>
    <w:p w14:paraId="5945963B" w14:textId="4DB21C45" w:rsidR="00E45D1D" w:rsidRPr="0005251D" w:rsidRDefault="00E45D1D" w:rsidP="00BD2AFF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C91684">
        <w:rPr>
          <w:rFonts w:ascii="Book Antiqua" w:hAnsi="Book Antiqua"/>
        </w:rPr>
        <w:tab/>
      </w:r>
      <w:r w:rsidR="00F648A3">
        <w:rPr>
          <w:rFonts w:ascii="Book Antiqua" w:hAnsi="Book Antiqua"/>
        </w:rPr>
        <w:t xml:space="preserve">Pomoc dostali </w:t>
      </w:r>
      <w:r w:rsidRPr="00C91684">
        <w:rPr>
          <w:rFonts w:ascii="Book Antiqua" w:hAnsi="Book Antiqua"/>
        </w:rPr>
        <w:t>aj dôchodc</w:t>
      </w:r>
      <w:r w:rsidR="00F648A3">
        <w:rPr>
          <w:rFonts w:ascii="Book Antiqua" w:hAnsi="Book Antiqua"/>
        </w:rPr>
        <w:t>ovia</w:t>
      </w:r>
      <w:r w:rsidRPr="00C91684">
        <w:rPr>
          <w:rFonts w:ascii="Book Antiqua" w:hAnsi="Book Antiqua"/>
        </w:rPr>
        <w:t xml:space="preserve"> prostredníctvom valorizácie súm dôchodkov a 13. dôchodku a ďalšou možnosťou,</w:t>
      </w:r>
      <w:r w:rsidR="00D06348" w:rsidRPr="00C91684">
        <w:rPr>
          <w:rFonts w:ascii="Book Antiqua" w:hAnsi="Book Antiqua"/>
        </w:rPr>
        <w:t xml:space="preserve"> ktorá je aj jedným zo zásadných sľubov politických strán tvoriacich súčasnú koalíciu a bola </w:t>
      </w:r>
      <w:r w:rsidR="00D06348" w:rsidRPr="0005251D">
        <w:rPr>
          <w:rFonts w:ascii="Book Antiqua" w:hAnsi="Book Antiqua"/>
        </w:rPr>
        <w:t>hlavnou</w:t>
      </w:r>
      <w:r w:rsidR="00D44CF6" w:rsidRPr="0005251D">
        <w:rPr>
          <w:rFonts w:ascii="Book Antiqua" w:hAnsi="Book Antiqua"/>
        </w:rPr>
        <w:t xml:space="preserve"> volebnou</w:t>
      </w:r>
      <w:r w:rsidR="00D06348" w:rsidRPr="0005251D">
        <w:rPr>
          <w:rFonts w:ascii="Book Antiqua" w:hAnsi="Book Antiqua"/>
        </w:rPr>
        <w:t xml:space="preserve"> témou súčasného ministra práce, sociálnych vecí a</w:t>
      </w:r>
      <w:r w:rsidR="00D44CF6" w:rsidRPr="0005251D">
        <w:rPr>
          <w:rFonts w:ascii="Book Antiqua" w:hAnsi="Book Antiqua"/>
        </w:rPr>
        <w:t> </w:t>
      </w:r>
      <w:r w:rsidR="00D06348" w:rsidRPr="0005251D">
        <w:rPr>
          <w:rFonts w:ascii="Book Antiqua" w:hAnsi="Book Antiqua"/>
        </w:rPr>
        <w:t>rodiny</w:t>
      </w:r>
      <w:r w:rsidR="00D44CF6" w:rsidRPr="0005251D">
        <w:rPr>
          <w:rFonts w:ascii="Book Antiqua" w:hAnsi="Book Antiqua"/>
        </w:rPr>
        <w:t xml:space="preserve"> SR</w:t>
      </w:r>
      <w:r w:rsidR="00D06348" w:rsidRPr="0005251D">
        <w:rPr>
          <w:rFonts w:ascii="Book Antiqua" w:hAnsi="Book Antiqua"/>
        </w:rPr>
        <w:t>,</w:t>
      </w:r>
      <w:r w:rsidRPr="0005251D">
        <w:rPr>
          <w:rFonts w:ascii="Book Antiqua" w:hAnsi="Book Antiqua"/>
        </w:rPr>
        <w:t xml:space="preserve"> ako pomôcť dôchodcom</w:t>
      </w:r>
      <w:r w:rsidR="00D06348" w:rsidRPr="0005251D">
        <w:rPr>
          <w:rFonts w:ascii="Book Antiqua" w:hAnsi="Book Antiqua"/>
        </w:rPr>
        <w:t xml:space="preserve">, je zvýšenie sumy 13. dôchodku. </w:t>
      </w:r>
    </w:p>
    <w:p w14:paraId="6BA43C17" w14:textId="41DD5BBB" w:rsidR="00A5475B" w:rsidRPr="00511A7D" w:rsidRDefault="00E45D1D" w:rsidP="00511A7D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/>
        </w:rPr>
      </w:pPr>
      <w:r w:rsidRPr="0005251D">
        <w:rPr>
          <w:rFonts w:ascii="Book Antiqua" w:hAnsi="Book Antiqua"/>
        </w:rPr>
        <w:tab/>
      </w:r>
      <w:r w:rsidR="00A5475B" w:rsidRPr="00511A7D">
        <w:rPr>
          <w:rFonts w:ascii="Book Antiqua" w:hAnsi="Book Antiqua"/>
          <w:b/>
        </w:rPr>
        <w:t>Cieľom tohto n</w:t>
      </w:r>
      <w:r w:rsidR="00BD2AFF" w:rsidRPr="00511A7D">
        <w:rPr>
          <w:rFonts w:ascii="Book Antiqua" w:hAnsi="Book Antiqua"/>
          <w:b/>
        </w:rPr>
        <w:t>ávrh</w:t>
      </w:r>
      <w:r w:rsidR="00A5475B" w:rsidRPr="00511A7D">
        <w:rPr>
          <w:rFonts w:ascii="Book Antiqua" w:hAnsi="Book Antiqua"/>
          <w:b/>
        </w:rPr>
        <w:t>u</w:t>
      </w:r>
      <w:r w:rsidR="00BD2AFF" w:rsidRPr="00511A7D">
        <w:rPr>
          <w:rFonts w:ascii="Book Antiqua" w:hAnsi="Book Antiqua"/>
          <w:b/>
        </w:rPr>
        <w:t xml:space="preserve"> zákona </w:t>
      </w:r>
      <w:r w:rsidR="00511A7D" w:rsidRPr="00511A7D">
        <w:rPr>
          <w:rFonts w:ascii="Book Antiqua" w:hAnsi="Book Antiqua"/>
          <w:b/>
        </w:rPr>
        <w:t xml:space="preserve">je </w:t>
      </w:r>
      <w:r w:rsidR="00A5475B" w:rsidRPr="00511A7D">
        <w:rPr>
          <w:rFonts w:ascii="Book Antiqua" w:hAnsi="Book Antiqua"/>
          <w:b/>
        </w:rPr>
        <w:t xml:space="preserve">doplatiť rozdiel medzi </w:t>
      </w:r>
      <w:r w:rsidR="004A2B34">
        <w:rPr>
          <w:rFonts w:ascii="Book Antiqua" w:hAnsi="Book Antiqua"/>
          <w:b/>
        </w:rPr>
        <w:t>sumou 640 eur</w:t>
      </w:r>
      <w:r w:rsidR="0091505F">
        <w:rPr>
          <w:rFonts w:ascii="Book Antiqua" w:hAnsi="Book Antiqua"/>
          <w:b/>
        </w:rPr>
        <w:t xml:space="preserve"> sľúbenou pred voľbami predsedom Národnej rady Slovenskej republiky ako predsedom jednej z koaličných strán</w:t>
      </w:r>
      <w:r w:rsidR="004A2B34">
        <w:rPr>
          <w:rFonts w:ascii="Book Antiqua" w:hAnsi="Book Antiqua"/>
          <w:b/>
        </w:rPr>
        <w:t xml:space="preserve"> a sumou 13. dôchodku </w:t>
      </w:r>
      <w:r w:rsidR="00A5475B" w:rsidRPr="00511A7D">
        <w:rPr>
          <w:rFonts w:ascii="Book Antiqua" w:hAnsi="Book Antiqua"/>
          <w:b/>
        </w:rPr>
        <w:t>vyplaten</w:t>
      </w:r>
      <w:r w:rsidR="004A2B34">
        <w:rPr>
          <w:rFonts w:ascii="Book Antiqua" w:hAnsi="Book Antiqua"/>
          <w:b/>
        </w:rPr>
        <w:t>ého</w:t>
      </w:r>
      <w:r w:rsidR="00A5475B" w:rsidRPr="00511A7D">
        <w:rPr>
          <w:rFonts w:ascii="Book Antiqua" w:hAnsi="Book Antiqua"/>
          <w:b/>
        </w:rPr>
        <w:t xml:space="preserve"> </w:t>
      </w:r>
      <w:r w:rsidR="004A2B34">
        <w:rPr>
          <w:rFonts w:ascii="Book Antiqua" w:hAnsi="Book Antiqua"/>
          <w:b/>
        </w:rPr>
        <w:t>v roku</w:t>
      </w:r>
      <w:r w:rsidR="00A5475B" w:rsidRPr="00511A7D">
        <w:rPr>
          <w:rFonts w:ascii="Book Antiqua" w:hAnsi="Book Antiqua"/>
          <w:b/>
        </w:rPr>
        <w:t xml:space="preserve"> 2023</w:t>
      </w:r>
      <w:r w:rsidR="004A2B34">
        <w:rPr>
          <w:rFonts w:ascii="Book Antiqua" w:hAnsi="Book Antiqua"/>
          <w:b/>
        </w:rPr>
        <w:t>, a to</w:t>
      </w:r>
      <w:r w:rsidR="00A5475B" w:rsidRPr="00511A7D">
        <w:rPr>
          <w:rFonts w:ascii="Book Antiqua" w:hAnsi="Book Antiqua"/>
          <w:b/>
        </w:rPr>
        <w:t xml:space="preserve"> v najbližšom možnom termíne.</w:t>
      </w:r>
    </w:p>
    <w:p w14:paraId="3CEE2291" w14:textId="45E1EA3B" w:rsidR="00BD2AFF" w:rsidRPr="0005251D" w:rsidRDefault="00D06348" w:rsidP="00BD2AFF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05251D">
        <w:rPr>
          <w:rFonts w:ascii="Book Antiqua" w:hAnsi="Book Antiqua"/>
        </w:rPr>
        <w:tab/>
      </w:r>
      <w:r w:rsidR="00A5475B" w:rsidRPr="0005251D">
        <w:rPr>
          <w:rFonts w:ascii="Book Antiqua" w:hAnsi="Book Antiqua"/>
        </w:rPr>
        <w:t xml:space="preserve">Keďže </w:t>
      </w:r>
      <w:r w:rsidR="0091505F">
        <w:rPr>
          <w:rFonts w:ascii="Book Antiqua" w:hAnsi="Book Antiqua"/>
        </w:rPr>
        <w:t xml:space="preserve">vláda SR tvrdí, že </w:t>
      </w:r>
      <w:r w:rsidR="00A5475B" w:rsidRPr="0005251D">
        <w:rPr>
          <w:rFonts w:ascii="Book Antiqua" w:hAnsi="Book Antiqua"/>
        </w:rPr>
        <w:t xml:space="preserve">pri dodržaní zásad a dĺžky legislatívneho procesu nie je možné zvýšiť sumu 13. dôchodku tak, aby sa vo vyššej sume vyplatil už v tomto roku (2023), zavádza sa nová štátna sociálna dávka, a to príplatok k 13. dôchodku.  </w:t>
      </w:r>
    </w:p>
    <w:p w14:paraId="4F1BDBD4" w14:textId="286DF0B7" w:rsidR="00BD2AFF" w:rsidRPr="0005251D" w:rsidRDefault="00BD2AFF" w:rsidP="00BD2AFF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05251D">
        <w:rPr>
          <w:rFonts w:ascii="Book Antiqua" w:hAnsi="Book Antiqua"/>
        </w:rPr>
        <w:tab/>
        <w:t xml:space="preserve">Suma príplatku k 13. dôchodku sa určí ako rozdiel medzi </w:t>
      </w:r>
      <w:r w:rsidR="0091505F">
        <w:rPr>
          <w:rFonts w:ascii="Book Antiqua" w:hAnsi="Book Antiqua"/>
        </w:rPr>
        <w:t xml:space="preserve">sľúbenou </w:t>
      </w:r>
      <w:r w:rsidRPr="0005251D">
        <w:rPr>
          <w:rFonts w:ascii="Book Antiqua" w:hAnsi="Book Antiqua"/>
        </w:rPr>
        <w:t>sumou</w:t>
      </w:r>
      <w:r w:rsidR="0091505F">
        <w:rPr>
          <w:rFonts w:ascii="Book Antiqua" w:hAnsi="Book Antiqua"/>
        </w:rPr>
        <w:t xml:space="preserve"> 640 eur </w:t>
      </w:r>
      <w:r w:rsidR="006A33D7" w:rsidRPr="0005251D">
        <w:rPr>
          <w:rFonts w:ascii="Book Antiqua" w:hAnsi="Book Antiqua"/>
        </w:rPr>
        <w:t xml:space="preserve"> a</w:t>
      </w:r>
      <w:r w:rsidR="0091505F">
        <w:rPr>
          <w:rFonts w:ascii="Book Antiqua" w:hAnsi="Book Antiqua"/>
        </w:rPr>
        <w:t xml:space="preserve"> sumou </w:t>
      </w:r>
      <w:r w:rsidRPr="0005251D">
        <w:rPr>
          <w:rFonts w:ascii="Book Antiqua" w:hAnsi="Book Antiqua"/>
        </w:rPr>
        <w:t xml:space="preserve">13. dôchodku, ktorá bude poberateľovi dôchodku vyplatená v tomto roku. </w:t>
      </w:r>
    </w:p>
    <w:p w14:paraId="4C475171" w14:textId="0D645EF2" w:rsidR="00BD2AFF" w:rsidRPr="00C91684" w:rsidRDefault="00BD2AFF" w:rsidP="00BD2AFF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05251D">
        <w:rPr>
          <w:rFonts w:ascii="Book Antiqua" w:hAnsi="Book Antiqua"/>
        </w:rPr>
        <w:tab/>
        <w:t>V praxi to znamená, že ak v tomto roku bude poberateľovi</w:t>
      </w:r>
      <w:r w:rsidRPr="00C91684">
        <w:rPr>
          <w:rFonts w:ascii="Book Antiqua" w:hAnsi="Book Antiqua"/>
        </w:rPr>
        <w:t xml:space="preserve"> dôchodku vyplatený 13. dôchodok v</w:t>
      </w:r>
      <w:r w:rsidR="00866274" w:rsidRPr="00C91684">
        <w:rPr>
          <w:rFonts w:ascii="Book Antiqua" w:hAnsi="Book Antiqua"/>
        </w:rPr>
        <w:t xml:space="preserve"> sume</w:t>
      </w:r>
      <w:r w:rsidRPr="00C91684">
        <w:rPr>
          <w:rFonts w:ascii="Book Antiqua" w:hAnsi="Book Antiqua"/>
        </w:rPr>
        <w:t xml:space="preserve"> 300 eur, príslušný orgán vyplatí poberateľovi dôchodku do 31. marca 2024 príplatok k 13. dôchodku v sume 340 eur (640 eur – 300 eur = 340 eur)</w:t>
      </w:r>
      <w:r w:rsidR="00A5475B" w:rsidRPr="00C91684">
        <w:rPr>
          <w:rFonts w:ascii="Book Antiqua" w:hAnsi="Book Antiqua"/>
        </w:rPr>
        <w:t>.</w:t>
      </w:r>
    </w:p>
    <w:p w14:paraId="4263B4B9" w14:textId="76CE8848" w:rsidR="00BD2AFF" w:rsidRPr="00C91684" w:rsidRDefault="00BD2AFF" w:rsidP="00BD2AFF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 w:rsidRPr="00C91684">
        <w:rPr>
          <w:rFonts w:ascii="Book Antiqua" w:hAnsi="Book Antiqua"/>
        </w:rPr>
        <w:tab/>
        <w:t>V zmysle prechodných ustanovení sa príplatok k 13. dôchodku vyplatí len v roku 2024</w:t>
      </w:r>
      <w:r w:rsidR="006A33D7">
        <w:rPr>
          <w:rFonts w:ascii="Book Antiqua" w:hAnsi="Book Antiqua"/>
        </w:rPr>
        <w:t>.</w:t>
      </w:r>
      <w:r w:rsidRPr="00C91684">
        <w:rPr>
          <w:rFonts w:ascii="Book Antiqua" w:hAnsi="Book Antiqua"/>
        </w:rPr>
        <w:t xml:space="preserve"> </w:t>
      </w:r>
    </w:p>
    <w:p w14:paraId="24245B8E" w14:textId="5BFF9F83" w:rsidR="00BD2AFF" w:rsidRPr="00C91684" w:rsidRDefault="00BD2AFF" w:rsidP="00BD2AFF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 w:rsidRPr="00C91684">
        <w:rPr>
          <w:rFonts w:ascii="Book Antiqua" w:hAnsi="Book Antiqua"/>
        </w:rPr>
        <w:tab/>
      </w:r>
      <w:r w:rsidR="00B63A0B" w:rsidRPr="00C91684">
        <w:rPr>
          <w:rFonts w:ascii="Book Antiqua" w:eastAsia="Times New Roman" w:hAnsi="Book Antiqua" w:cs="Times New Roman"/>
        </w:rPr>
        <w:t xml:space="preserve">Návrh zákona </w:t>
      </w:r>
      <w:r w:rsidR="003D3E6B" w:rsidRPr="00C91684">
        <w:rPr>
          <w:rFonts w:ascii="Book Antiqua" w:eastAsia="Times New Roman" w:hAnsi="Book Antiqua" w:cs="Times New Roman"/>
        </w:rPr>
        <w:t>má</w:t>
      </w:r>
      <w:r w:rsidR="001E15B8" w:rsidRPr="00C91684">
        <w:rPr>
          <w:rFonts w:ascii="Book Antiqua" w:eastAsia="Times New Roman" w:hAnsi="Book Antiqua" w:cs="Times New Roman"/>
        </w:rPr>
        <w:t xml:space="preserve"> negatívny</w:t>
      </w:r>
      <w:r w:rsidR="003D3E6B" w:rsidRPr="00C91684">
        <w:rPr>
          <w:rFonts w:ascii="Book Antiqua" w:eastAsia="Times New Roman" w:hAnsi="Book Antiqua" w:cs="Times New Roman"/>
        </w:rPr>
        <w:t xml:space="preserve"> </w:t>
      </w:r>
      <w:r w:rsidR="00B63A0B" w:rsidRPr="00C91684">
        <w:rPr>
          <w:rFonts w:ascii="Book Antiqua" w:eastAsia="Times New Roman" w:hAnsi="Book Antiqua" w:cs="Times New Roman"/>
        </w:rPr>
        <w:t>vplyv na rozpočet verejnej správy,</w:t>
      </w:r>
      <w:r w:rsidR="003D3E6B" w:rsidRPr="00C91684">
        <w:rPr>
          <w:rFonts w:ascii="Book Antiqua" w:eastAsia="Times New Roman" w:hAnsi="Book Antiqua" w:cs="Times New Roman"/>
        </w:rPr>
        <w:t xml:space="preserve"> </w:t>
      </w:r>
      <w:r w:rsidR="00AB1268" w:rsidRPr="00C91684">
        <w:rPr>
          <w:rFonts w:ascii="Book Antiqua" w:eastAsia="Times New Roman" w:hAnsi="Book Antiqua" w:cs="Times New Roman"/>
        </w:rPr>
        <w:t xml:space="preserve">má </w:t>
      </w:r>
      <w:r w:rsidR="004E0F11" w:rsidRPr="00C91684">
        <w:rPr>
          <w:rFonts w:ascii="Book Antiqua" w:eastAsia="Times New Roman" w:hAnsi="Book Antiqua" w:cs="Times New Roman"/>
        </w:rPr>
        <w:t>pozitívne</w:t>
      </w:r>
      <w:r w:rsidR="00B63A0B" w:rsidRPr="00C91684">
        <w:rPr>
          <w:rFonts w:ascii="Book Antiqua" w:eastAsia="Times New Roman" w:hAnsi="Book Antiqua" w:cs="Times New Roman"/>
        </w:rPr>
        <w:t xml:space="preserve"> sociálne vplyvy, </w:t>
      </w:r>
      <w:r w:rsidR="00A5475B" w:rsidRPr="00C91684">
        <w:rPr>
          <w:rFonts w:ascii="Book Antiqua" w:eastAsia="Times New Roman" w:hAnsi="Book Antiqua" w:cs="Times New Roman"/>
        </w:rPr>
        <w:t>nemá</w:t>
      </w:r>
      <w:r w:rsidR="003D3E6B" w:rsidRPr="00C91684">
        <w:rPr>
          <w:rFonts w:ascii="Book Antiqua" w:eastAsia="Times New Roman" w:hAnsi="Book Antiqua" w:cs="Times New Roman"/>
        </w:rPr>
        <w:t xml:space="preserve"> </w:t>
      </w:r>
      <w:r w:rsidR="00B63A0B" w:rsidRPr="00C91684">
        <w:rPr>
          <w:rFonts w:ascii="Book Antiqua" w:eastAsia="Times New Roman" w:hAnsi="Book Antiqua" w:cs="Times New Roman"/>
        </w:rPr>
        <w:t>vplyv</w:t>
      </w:r>
      <w:r w:rsidR="001E15B8" w:rsidRPr="00C91684">
        <w:rPr>
          <w:rFonts w:ascii="Book Antiqua" w:eastAsia="Times New Roman" w:hAnsi="Book Antiqua" w:cs="Times New Roman"/>
        </w:rPr>
        <w:t>y</w:t>
      </w:r>
      <w:r w:rsidR="00B63A0B" w:rsidRPr="00C91684">
        <w:rPr>
          <w:rFonts w:ascii="Book Antiqua" w:eastAsia="Times New Roman" w:hAnsi="Book Antiqua" w:cs="Times New Roman"/>
        </w:rPr>
        <w:t xml:space="preserve"> na manželstvo, rodičovstvo, rodinu,</w:t>
      </w:r>
      <w:r w:rsidR="00AB1268" w:rsidRPr="00C91684">
        <w:rPr>
          <w:rFonts w:ascii="Book Antiqua" w:eastAsia="Times New Roman" w:hAnsi="Book Antiqua" w:cs="Times New Roman"/>
        </w:rPr>
        <w:t xml:space="preserve"> </w:t>
      </w:r>
      <w:r w:rsidR="00B63A0B" w:rsidRPr="00C91684">
        <w:rPr>
          <w:rFonts w:ascii="Book Antiqua" w:eastAsia="Times New Roman" w:hAnsi="Book Antiqua" w:cs="Times New Roman"/>
        </w:rPr>
        <w:t>na informatizáciu spoločnosti,</w:t>
      </w:r>
      <w:r w:rsidR="00AB1268" w:rsidRPr="00C91684">
        <w:rPr>
          <w:rFonts w:ascii="Book Antiqua" w:eastAsia="Times New Roman" w:hAnsi="Book Antiqua" w:cs="Times New Roman"/>
        </w:rPr>
        <w:t xml:space="preserve"> </w:t>
      </w:r>
      <w:r w:rsidR="00B63A0B" w:rsidRPr="00C91684">
        <w:rPr>
          <w:rFonts w:ascii="Book Antiqua" w:eastAsia="Times New Roman" w:hAnsi="Book Antiqua" w:cs="Times New Roman"/>
        </w:rPr>
        <w:t>na podnikateľské prostredie,</w:t>
      </w:r>
      <w:r w:rsidR="00AB1268" w:rsidRPr="00C91684">
        <w:rPr>
          <w:rFonts w:ascii="Book Antiqua" w:eastAsia="Times New Roman" w:hAnsi="Book Antiqua" w:cs="Times New Roman"/>
        </w:rPr>
        <w:t xml:space="preserve"> </w:t>
      </w:r>
      <w:r w:rsidR="00B63A0B" w:rsidRPr="00C91684">
        <w:rPr>
          <w:rFonts w:ascii="Book Antiqua" w:eastAsia="Times New Roman" w:hAnsi="Book Antiqua" w:cs="Times New Roman"/>
        </w:rPr>
        <w:t xml:space="preserve">na životné  prostredie </w:t>
      </w:r>
      <w:r w:rsidRPr="00C91684">
        <w:rPr>
          <w:rFonts w:ascii="Book Antiqua" w:eastAsia="Times New Roman" w:hAnsi="Book Antiqua" w:cs="Times New Roman"/>
        </w:rPr>
        <w:t xml:space="preserve">a </w:t>
      </w:r>
      <w:r w:rsidR="00B63A0B" w:rsidRPr="00C91684">
        <w:rPr>
          <w:rFonts w:ascii="Book Antiqua" w:eastAsia="Times New Roman" w:hAnsi="Book Antiqua" w:cs="Times New Roman"/>
        </w:rPr>
        <w:t xml:space="preserve">ani na služby pre občana. </w:t>
      </w:r>
    </w:p>
    <w:p w14:paraId="6DD14886" w14:textId="21D90EEF" w:rsidR="009A375B" w:rsidRPr="00C91684" w:rsidRDefault="00BD2AFF" w:rsidP="00BD2AFF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 w:rsidRPr="00C91684">
        <w:rPr>
          <w:rFonts w:ascii="Book Antiqua" w:hAnsi="Book Antiqua"/>
        </w:rPr>
        <w:tab/>
      </w:r>
      <w:r w:rsidR="009A375B" w:rsidRPr="00C91684">
        <w:rPr>
          <w:rFonts w:ascii="Book Antiqua" w:eastAsia="Times New Roman" w:hAnsi="Book Antiqua" w:cs="Times New Roman"/>
        </w:rPr>
        <w:t>Návrh zákona je v súlade s Ústavou Slovenskej republiky, ústavnými zákonmi a nálezmi Ústavného súdu Slovenskej republiky, medzinárodnými zml</w:t>
      </w:r>
      <w:r w:rsidR="00AE0A03" w:rsidRPr="00C91684">
        <w:rPr>
          <w:rFonts w:ascii="Book Antiqua" w:eastAsia="Times New Roman" w:hAnsi="Book Antiqua" w:cs="Times New Roman"/>
        </w:rPr>
        <w:t>uvami a medzinárodnými dokument</w:t>
      </w:r>
      <w:r w:rsidR="009A375B" w:rsidRPr="00C91684">
        <w:rPr>
          <w:rFonts w:ascii="Book Antiqua" w:eastAsia="Times New Roman" w:hAnsi="Book Antiqua" w:cs="Times New Roman"/>
        </w:rPr>
        <w:t>mi, ktorými je Slovenská republika viazaná, zákonmi a s právom Európskej únie.</w:t>
      </w:r>
    </w:p>
    <w:bookmarkEnd w:id="0"/>
    <w:p w14:paraId="237E7756" w14:textId="77777777" w:rsidR="00A77F33" w:rsidRPr="00C91684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14:paraId="0000000E" w14:textId="6056C342" w:rsidR="00386510" w:rsidRPr="00C91684" w:rsidRDefault="00BB6162" w:rsidP="0032734C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</w:rPr>
      </w:pPr>
      <w:r w:rsidRPr="00C91684">
        <w:rPr>
          <w:rFonts w:ascii="Book Antiqua" w:eastAsia="Times New Roman" w:hAnsi="Book Antiqua" w:cs="Times New Roman"/>
          <w:b/>
        </w:rPr>
        <w:lastRenderedPageBreak/>
        <w:t>B. OSOBITNÁ ČASŤ</w:t>
      </w:r>
    </w:p>
    <w:p w14:paraId="0000000F" w14:textId="77777777" w:rsidR="00386510" w:rsidRPr="00C91684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445C392D" w14:textId="17571C8C" w:rsidR="00334D0C" w:rsidRPr="00C91684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</w:rPr>
      </w:pPr>
      <w:r w:rsidRPr="00C91684">
        <w:rPr>
          <w:rFonts w:ascii="Book Antiqua" w:eastAsia="Times New Roman" w:hAnsi="Book Antiqua" w:cs="Times New Roman"/>
          <w:b/>
        </w:rPr>
        <w:t>K Čl. I</w:t>
      </w:r>
    </w:p>
    <w:p w14:paraId="00000011" w14:textId="302AB5AF" w:rsidR="00386510" w:rsidRPr="00C91684" w:rsidRDefault="00B63A0B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u w:val="single"/>
        </w:rPr>
      </w:pPr>
      <w:r w:rsidRPr="00C91684">
        <w:rPr>
          <w:rFonts w:ascii="Book Antiqua" w:eastAsia="Times New Roman" w:hAnsi="Book Antiqua" w:cs="Times New Roman"/>
          <w:u w:val="single"/>
        </w:rPr>
        <w:t>K bodu 1</w:t>
      </w:r>
    </w:p>
    <w:p w14:paraId="35F77692" w14:textId="5A840202" w:rsidR="00A5475B" w:rsidRPr="00C91684" w:rsidRDefault="00E064DE" w:rsidP="006F0EC7">
      <w:pPr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  <w:r w:rsidRPr="00C91684">
        <w:rPr>
          <w:rFonts w:ascii="Book Antiqua" w:eastAsia="Times New Roman" w:hAnsi="Book Antiqua" w:cs="Times New Roman"/>
        </w:rPr>
        <w:tab/>
      </w:r>
      <w:r w:rsidR="00BD2AFF" w:rsidRPr="00C91684">
        <w:rPr>
          <w:rFonts w:ascii="Book Antiqua" w:eastAsia="Times New Roman" w:hAnsi="Book Antiqua" w:cs="Times New Roman"/>
        </w:rPr>
        <w:t xml:space="preserve">Navrhuje sa zavedenie novej štátnej sociálnej dávky, </w:t>
      </w:r>
      <w:r w:rsidR="00A5475B" w:rsidRPr="00C91684">
        <w:rPr>
          <w:rFonts w:ascii="Book Antiqua" w:eastAsia="Times New Roman" w:hAnsi="Book Antiqua" w:cs="Times New Roman"/>
        </w:rPr>
        <w:t xml:space="preserve">a to </w:t>
      </w:r>
      <w:r w:rsidR="00BD2AFF" w:rsidRPr="00C91684">
        <w:rPr>
          <w:rFonts w:ascii="Book Antiqua" w:eastAsia="Times New Roman" w:hAnsi="Book Antiqua" w:cs="Times New Roman"/>
        </w:rPr>
        <w:t>príplatku k 13. dôchodku.</w:t>
      </w:r>
      <w:r w:rsidR="006F0EC7">
        <w:rPr>
          <w:rFonts w:ascii="Book Antiqua" w:eastAsia="Times New Roman" w:hAnsi="Book Antiqua" w:cs="Times New Roman"/>
        </w:rPr>
        <w:t xml:space="preserve"> </w:t>
      </w:r>
      <w:r w:rsidR="006045CE" w:rsidRPr="00C91684">
        <w:rPr>
          <w:rFonts w:ascii="Book Antiqua" w:eastAsia="Times New Roman" w:hAnsi="Book Antiqua" w:cs="Times New Roman"/>
        </w:rPr>
        <w:t xml:space="preserve">Primerane k tejto skutočnosti je potrebné rozšíriť predmet úpravy zákona č. </w:t>
      </w:r>
      <w:r w:rsidR="006045CE" w:rsidRPr="00C91684">
        <w:rPr>
          <w:rFonts w:ascii="Book Antiqua" w:hAnsi="Book Antiqua" w:cs="Open Sans"/>
          <w:shd w:val="clear" w:color="auto" w:fill="FFFFFF"/>
        </w:rPr>
        <w:t>296/2020 Z. z. o 13. dôchodku a o zmene a doplnení niektorých zákonov v znení</w:t>
      </w:r>
      <w:r w:rsidR="006045CE" w:rsidRPr="00C91684">
        <w:rPr>
          <w:rFonts w:ascii="Book Antiqua" w:hAnsi="Book Antiqua"/>
        </w:rPr>
        <w:t xml:space="preserve"> neskorších predpisov (ďalej len „zákon“).</w:t>
      </w:r>
    </w:p>
    <w:p w14:paraId="7B3A500A" w14:textId="3362F984" w:rsidR="00F5232F" w:rsidRPr="00C91684" w:rsidRDefault="00F5232F" w:rsidP="00AE0A03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u w:val="single"/>
        </w:rPr>
      </w:pPr>
      <w:r w:rsidRPr="00C91684">
        <w:rPr>
          <w:rFonts w:ascii="Book Antiqua" w:eastAsia="Times New Roman" w:hAnsi="Book Antiqua" w:cs="Times New Roman"/>
          <w:bCs/>
          <w:u w:val="single"/>
        </w:rPr>
        <w:t>K</w:t>
      </w:r>
      <w:r w:rsidR="00BD2AFF" w:rsidRPr="00C91684">
        <w:rPr>
          <w:rFonts w:ascii="Book Antiqua" w:eastAsia="Times New Roman" w:hAnsi="Book Antiqua" w:cs="Times New Roman"/>
          <w:bCs/>
          <w:u w:val="single"/>
        </w:rPr>
        <w:t> </w:t>
      </w:r>
      <w:r w:rsidRPr="00C91684">
        <w:rPr>
          <w:rFonts w:ascii="Book Antiqua" w:eastAsia="Times New Roman" w:hAnsi="Book Antiqua" w:cs="Times New Roman"/>
          <w:bCs/>
          <w:u w:val="single"/>
        </w:rPr>
        <w:t>bod</w:t>
      </w:r>
      <w:r w:rsidR="00BD2AFF" w:rsidRPr="00C91684">
        <w:rPr>
          <w:rFonts w:ascii="Book Antiqua" w:eastAsia="Times New Roman" w:hAnsi="Book Antiqua" w:cs="Times New Roman"/>
          <w:bCs/>
          <w:u w:val="single"/>
        </w:rPr>
        <w:t>u 2</w:t>
      </w:r>
    </w:p>
    <w:p w14:paraId="77D220D1" w14:textId="77B62C36" w:rsidR="00F5232F" w:rsidRPr="00C91684" w:rsidRDefault="00F5232F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  <w:r w:rsidRPr="00C91684">
        <w:rPr>
          <w:rFonts w:ascii="Book Antiqua" w:eastAsia="Times New Roman" w:hAnsi="Book Antiqua" w:cs="Times New Roman"/>
          <w:b/>
          <w:bCs/>
        </w:rPr>
        <w:tab/>
      </w:r>
      <w:r w:rsidR="00BD2AFF" w:rsidRPr="00C91684">
        <w:rPr>
          <w:rFonts w:ascii="Book Antiqua" w:eastAsia="Times New Roman" w:hAnsi="Book Antiqua" w:cs="Times New Roman"/>
        </w:rPr>
        <w:t>V nadväznosti na prvý novelizačný bod sa upravujú podmienky nároku na príplatok k 13. dôchodku. Nárok vznikne poberateľovi dôchodku, ktorému vznikol nárok na 13. dôchodok v predchádzajúcom kalendárnom roku. Keďže v zmysle prechodných ustanovení vznikne nárok na príplatok k 13. dôchodku len v roku 2024, nárok na príplatok k 13. dôchodku vznikne tomu poberateľovi dôchodku, ktorému vznikol nárok na 13. dôchodok v roku 2023.</w:t>
      </w:r>
    </w:p>
    <w:p w14:paraId="7EEAB514" w14:textId="0214B95D" w:rsidR="00662B02" w:rsidRPr="00C91684" w:rsidRDefault="00662B0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u w:val="single"/>
        </w:rPr>
      </w:pPr>
      <w:r w:rsidRPr="00C91684">
        <w:rPr>
          <w:rFonts w:ascii="Book Antiqua" w:eastAsia="Times New Roman" w:hAnsi="Book Antiqua" w:cs="Times New Roman"/>
          <w:u w:val="single"/>
        </w:rPr>
        <w:t>K</w:t>
      </w:r>
      <w:r w:rsidR="00BD2AFF" w:rsidRPr="00C91684">
        <w:rPr>
          <w:rFonts w:ascii="Book Antiqua" w:eastAsia="Times New Roman" w:hAnsi="Book Antiqua" w:cs="Times New Roman"/>
          <w:u w:val="single"/>
        </w:rPr>
        <w:t> </w:t>
      </w:r>
      <w:r w:rsidRPr="00C91684">
        <w:rPr>
          <w:rFonts w:ascii="Book Antiqua" w:eastAsia="Times New Roman" w:hAnsi="Book Antiqua" w:cs="Times New Roman"/>
          <w:u w:val="single"/>
        </w:rPr>
        <w:t>bodu</w:t>
      </w:r>
      <w:r w:rsidR="00BD2AFF" w:rsidRPr="00C91684">
        <w:rPr>
          <w:rFonts w:ascii="Book Antiqua" w:eastAsia="Times New Roman" w:hAnsi="Book Antiqua" w:cs="Times New Roman"/>
          <w:u w:val="single"/>
        </w:rPr>
        <w:t xml:space="preserve"> 3</w:t>
      </w:r>
    </w:p>
    <w:p w14:paraId="65D3E908" w14:textId="07155FEE" w:rsidR="00EF4E37" w:rsidRDefault="00662B0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  <w:r w:rsidRPr="00C91684">
        <w:rPr>
          <w:rFonts w:ascii="Book Antiqua" w:eastAsia="Times New Roman" w:hAnsi="Book Antiqua" w:cs="Times New Roman"/>
        </w:rPr>
        <w:tab/>
      </w:r>
      <w:r w:rsidR="00BD2AFF" w:rsidRPr="00C91684">
        <w:rPr>
          <w:rFonts w:ascii="Book Antiqua" w:eastAsia="Times New Roman" w:hAnsi="Book Antiqua" w:cs="Times New Roman"/>
        </w:rPr>
        <w:t xml:space="preserve">Navrhuje sa určenie </w:t>
      </w:r>
      <w:r w:rsidR="00EF4E37" w:rsidRPr="00C91684">
        <w:rPr>
          <w:rFonts w:ascii="Book Antiqua" w:eastAsia="Times New Roman" w:hAnsi="Book Antiqua" w:cs="Times New Roman"/>
        </w:rPr>
        <w:t>sum</w:t>
      </w:r>
      <w:r w:rsidR="006F0EC7">
        <w:rPr>
          <w:rFonts w:ascii="Book Antiqua" w:eastAsia="Times New Roman" w:hAnsi="Book Antiqua" w:cs="Times New Roman"/>
        </w:rPr>
        <w:t>y</w:t>
      </w:r>
      <w:r w:rsidR="00EF4E37" w:rsidRPr="00C91684">
        <w:rPr>
          <w:rFonts w:ascii="Book Antiqua" w:eastAsia="Times New Roman" w:hAnsi="Book Antiqua" w:cs="Times New Roman"/>
        </w:rPr>
        <w:t xml:space="preserve"> príplatku k 13. dôchodku, ktorá sa určí ako rozdiel sumy 640 eur a sumy 13. dôchodku vyplateného v roku 2023. </w:t>
      </w:r>
    </w:p>
    <w:p w14:paraId="4AE85355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038D4054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  <w:bookmarkStart w:id="3" w:name="_GoBack"/>
      <w:bookmarkEnd w:id="3"/>
    </w:p>
    <w:p w14:paraId="068DA4E1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73AA60CD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31EF82A9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2719AC72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611E9396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3831438F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03D824E4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63C8A717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7553CED3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4A8E7DBC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104B34C7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64ED2632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254014D6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1DB54C76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59F5F2B0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1203B42C" w14:textId="7FFFEDC3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  <w:r>
        <w:rPr>
          <w:noProof/>
        </w:rPr>
        <w:lastRenderedPageBreak/>
        <w:drawing>
          <wp:inline distT="0" distB="0" distL="0" distR="0" wp14:anchorId="304F4494" wp14:editId="705B3020">
            <wp:extent cx="5760720" cy="6826103"/>
            <wp:effectExtent l="0" t="0" r="0" b="0"/>
            <wp:docPr id="1611307070" name="Obrázok 1" descr="Může jít o obrázek 1 osoba a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obrázek 1 osoba a tex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116" cy="683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1FF6C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0EF28E57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0699BFFC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2DFD3060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562FE5A9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0875B122" w14:textId="77777777" w:rsidR="0032734C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2AB7FBC0" w14:textId="77777777" w:rsidR="0032734C" w:rsidRPr="00C91684" w:rsidRDefault="0032734C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</w:rPr>
      </w:pPr>
    </w:p>
    <w:p w14:paraId="227E7643" w14:textId="23DDF271" w:rsidR="00C45583" w:rsidRPr="00C91684" w:rsidRDefault="00EF4E37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u w:val="single"/>
        </w:rPr>
      </w:pPr>
      <w:r w:rsidRPr="00C91684">
        <w:rPr>
          <w:rStyle w:val="awspan"/>
          <w:rFonts w:ascii="Book Antiqua" w:hAnsi="Book Antiqua"/>
          <w:u w:val="single"/>
        </w:rPr>
        <w:lastRenderedPageBreak/>
        <w:t>K bodom 4 až </w:t>
      </w:r>
      <w:r w:rsidR="006F0EC7">
        <w:rPr>
          <w:rStyle w:val="awspan"/>
          <w:rFonts w:ascii="Book Antiqua" w:hAnsi="Book Antiqua"/>
          <w:u w:val="single"/>
        </w:rPr>
        <w:t>6</w:t>
      </w:r>
    </w:p>
    <w:p w14:paraId="52393A57" w14:textId="737FEB07" w:rsidR="00EF4E37" w:rsidRPr="00C91684" w:rsidRDefault="00EF4E37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</w:rPr>
      </w:pPr>
      <w:r w:rsidRPr="00C91684">
        <w:rPr>
          <w:rStyle w:val="awspan"/>
          <w:rFonts w:ascii="Book Antiqua" w:hAnsi="Book Antiqua"/>
        </w:rPr>
        <w:tab/>
        <w:t>Legislatívno-technické úpravy reagujúce na prvý novelizačný bod.</w:t>
      </w:r>
    </w:p>
    <w:p w14:paraId="74EB3D1B" w14:textId="6E148641" w:rsidR="00EF4E37" w:rsidRPr="00C91684" w:rsidRDefault="00EF4E37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u w:val="single"/>
        </w:rPr>
      </w:pPr>
      <w:r w:rsidRPr="00C91684">
        <w:rPr>
          <w:rStyle w:val="awspan"/>
          <w:rFonts w:ascii="Book Antiqua" w:hAnsi="Book Antiqua"/>
          <w:u w:val="single"/>
        </w:rPr>
        <w:t xml:space="preserve">K bodu </w:t>
      </w:r>
      <w:r w:rsidR="006F0EC7">
        <w:rPr>
          <w:rStyle w:val="awspan"/>
          <w:rFonts w:ascii="Book Antiqua" w:hAnsi="Book Antiqua"/>
          <w:u w:val="single"/>
        </w:rPr>
        <w:t>7</w:t>
      </w:r>
    </w:p>
    <w:p w14:paraId="34B22D51" w14:textId="605BE76C" w:rsidR="00EF4E37" w:rsidRPr="00C91684" w:rsidRDefault="00EF4E37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</w:rPr>
      </w:pPr>
      <w:r w:rsidRPr="00C91684">
        <w:rPr>
          <w:rStyle w:val="awspan"/>
          <w:rFonts w:ascii="Book Antiqua" w:hAnsi="Book Antiqua"/>
        </w:rPr>
        <w:tab/>
        <w:t>Ustanovuje sa, že spoločné ustanovenia (§ 5 až</w:t>
      </w:r>
      <w:r w:rsidR="006F0EC7">
        <w:rPr>
          <w:rStyle w:val="awspan"/>
          <w:rFonts w:ascii="Book Antiqua" w:hAnsi="Book Antiqua"/>
        </w:rPr>
        <w:t xml:space="preserve"> 8 a</w:t>
      </w:r>
      <w:r w:rsidRPr="00C91684">
        <w:rPr>
          <w:rStyle w:val="awspan"/>
          <w:rFonts w:ascii="Book Antiqua" w:hAnsi="Book Antiqua"/>
        </w:rPr>
        <w:t xml:space="preserve"> 10) sa primerane použijú aj na príplatok k 13. dôchodku.</w:t>
      </w:r>
    </w:p>
    <w:p w14:paraId="21F3860F" w14:textId="186B55ED" w:rsidR="00EF4E37" w:rsidRPr="00C91684" w:rsidRDefault="00EF4E37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u w:val="single"/>
        </w:rPr>
      </w:pPr>
      <w:r w:rsidRPr="00C91684">
        <w:rPr>
          <w:rStyle w:val="awspan"/>
          <w:rFonts w:ascii="Book Antiqua" w:hAnsi="Book Antiqua"/>
          <w:u w:val="single"/>
        </w:rPr>
        <w:t xml:space="preserve">K bodu </w:t>
      </w:r>
      <w:r w:rsidR="006F0EC7">
        <w:rPr>
          <w:rStyle w:val="awspan"/>
          <w:rFonts w:ascii="Book Antiqua" w:hAnsi="Book Antiqua"/>
          <w:u w:val="single"/>
        </w:rPr>
        <w:t>8</w:t>
      </w:r>
    </w:p>
    <w:p w14:paraId="69A0F67E" w14:textId="56B31B8F" w:rsidR="00EF4E37" w:rsidRPr="00C91684" w:rsidRDefault="00EF4E37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</w:rPr>
      </w:pPr>
      <w:r w:rsidRPr="00C91684">
        <w:rPr>
          <w:rStyle w:val="awspan"/>
          <w:rFonts w:ascii="Book Antiqua" w:hAnsi="Book Antiqua"/>
        </w:rPr>
        <w:tab/>
        <w:t>Prechodné ustanovenia určujú, že nárok na príplatok k 13. dôchodku vznikne len v roku 2024</w:t>
      </w:r>
      <w:r w:rsidR="006F0EC7">
        <w:rPr>
          <w:rStyle w:val="awspan"/>
          <w:rFonts w:ascii="Book Antiqua" w:hAnsi="Book Antiqua"/>
        </w:rPr>
        <w:t>.</w:t>
      </w:r>
    </w:p>
    <w:p w14:paraId="55FCF04E" w14:textId="639BD406" w:rsidR="00EF4E37" w:rsidRPr="00C91684" w:rsidRDefault="00EF4E37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</w:rPr>
      </w:pPr>
      <w:r w:rsidRPr="00C91684">
        <w:rPr>
          <w:rStyle w:val="awspan"/>
          <w:rFonts w:ascii="Book Antiqua" w:hAnsi="Book Antiqua"/>
        </w:rPr>
        <w:tab/>
      </w:r>
    </w:p>
    <w:p w14:paraId="6D258F8E" w14:textId="4F283174" w:rsidR="00F5232F" w:rsidRPr="00C91684" w:rsidRDefault="00F5232F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</w:rPr>
      </w:pPr>
      <w:r w:rsidRPr="00C91684">
        <w:rPr>
          <w:rStyle w:val="awspan"/>
          <w:rFonts w:ascii="Book Antiqua" w:hAnsi="Book Antiqua"/>
          <w:b/>
          <w:bCs/>
        </w:rPr>
        <w:t>K Čl. II</w:t>
      </w:r>
    </w:p>
    <w:p w14:paraId="00000029" w14:textId="3FEF5B02" w:rsidR="00386510" w:rsidRPr="00C91684" w:rsidRDefault="00F5232F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 w:rsidRPr="00C91684">
        <w:rPr>
          <w:rStyle w:val="awspan"/>
          <w:rFonts w:ascii="Book Antiqua" w:hAnsi="Book Antiqua"/>
        </w:rPr>
        <w:tab/>
      </w:r>
      <w:r w:rsidR="00BB6162" w:rsidRPr="00C91684">
        <w:rPr>
          <w:rFonts w:ascii="Book Antiqua" w:eastAsia="Times New Roman" w:hAnsi="Book Antiqua" w:cs="Times New Roman"/>
        </w:rPr>
        <w:t xml:space="preserve">Navrhuje sa účinnosť návrhu zákona </w:t>
      </w:r>
      <w:r w:rsidR="00AE0A03" w:rsidRPr="00C91684">
        <w:rPr>
          <w:rFonts w:ascii="Book Antiqua" w:eastAsia="Times New Roman" w:hAnsi="Book Antiqua" w:cs="Times New Roman"/>
        </w:rPr>
        <w:t xml:space="preserve">na </w:t>
      </w:r>
      <w:r w:rsidR="00BB6162" w:rsidRPr="00C91684">
        <w:rPr>
          <w:rFonts w:ascii="Book Antiqua" w:eastAsia="Times New Roman" w:hAnsi="Book Antiqua" w:cs="Times New Roman"/>
        </w:rPr>
        <w:t xml:space="preserve">1. </w:t>
      </w:r>
      <w:r w:rsidR="006F0EC7">
        <w:rPr>
          <w:rFonts w:ascii="Book Antiqua" w:eastAsia="Times New Roman" w:hAnsi="Book Antiqua" w:cs="Times New Roman"/>
        </w:rPr>
        <w:t>február</w:t>
      </w:r>
      <w:r w:rsidR="00E76879" w:rsidRPr="00C91684">
        <w:rPr>
          <w:rFonts w:ascii="Book Antiqua" w:eastAsia="Times New Roman" w:hAnsi="Book Antiqua" w:cs="Times New Roman"/>
        </w:rPr>
        <w:t>a</w:t>
      </w:r>
      <w:r w:rsidR="00BB6162" w:rsidRPr="00C91684">
        <w:rPr>
          <w:rFonts w:ascii="Book Antiqua" w:eastAsia="Times New Roman" w:hAnsi="Book Antiqua" w:cs="Times New Roman"/>
        </w:rPr>
        <w:t xml:space="preserve"> 202</w:t>
      </w:r>
      <w:r w:rsidR="00E76879" w:rsidRPr="00C91684">
        <w:rPr>
          <w:rFonts w:ascii="Book Antiqua" w:eastAsia="Times New Roman" w:hAnsi="Book Antiqua" w:cs="Times New Roman"/>
        </w:rPr>
        <w:t>4</w:t>
      </w:r>
      <w:r w:rsidR="00BB6162" w:rsidRPr="00C91684">
        <w:rPr>
          <w:rFonts w:ascii="Book Antiqua" w:eastAsia="Times New Roman" w:hAnsi="Book Antiqua" w:cs="Times New Roman"/>
        </w:rPr>
        <w:t xml:space="preserve">. </w:t>
      </w:r>
    </w:p>
    <w:p w14:paraId="1310A0AC" w14:textId="7FF0A38C" w:rsidR="009A375B" w:rsidRPr="00C91684" w:rsidRDefault="009A375B" w:rsidP="00866274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60180064" w14:textId="77777777" w:rsidR="009A375B" w:rsidRPr="00C91684" w:rsidRDefault="009A375B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3E0F7ED7" w14:textId="7381DAA4" w:rsidR="0032734C" w:rsidRPr="00C91684" w:rsidRDefault="006143A2">
      <w:pPr>
        <w:rPr>
          <w:rFonts w:ascii="Book Antiqua" w:hAnsi="Book Antiqua" w:cs="Book Antiqua"/>
          <w:b/>
          <w:bCs/>
          <w:caps/>
          <w:spacing w:val="30"/>
        </w:rPr>
      </w:pPr>
      <w:r w:rsidRPr="00C91684"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65E38694" w:rsidR="003B2158" w:rsidRPr="00C91684" w:rsidRDefault="003B2158" w:rsidP="0032734C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C91684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C91684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C91684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C91684">
        <w:rPr>
          <w:rFonts w:ascii="Book Antiqua" w:hAnsi="Book Antiqua" w:cs="Book Antiqua"/>
          <w:sz w:val="22"/>
          <w:szCs w:val="22"/>
        </w:rPr>
        <w:t xml:space="preserve"> </w:t>
      </w:r>
      <w:r w:rsidRPr="00C91684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C91684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91684">
        <w:rPr>
          <w:rFonts w:ascii="Book Antiqua" w:hAnsi="Book Antiqua" w:cs="Book Antiqua"/>
          <w:sz w:val="22"/>
          <w:szCs w:val="22"/>
        </w:rPr>
        <w:t> </w:t>
      </w:r>
    </w:p>
    <w:p w14:paraId="66BBC018" w14:textId="1F8238AA" w:rsidR="003B2158" w:rsidRPr="00C91684" w:rsidRDefault="003B2158" w:rsidP="001E15B8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91684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C91684">
        <w:rPr>
          <w:rFonts w:ascii="Book Antiqua" w:hAnsi="Book Antiqua" w:cs="Book Antiqua"/>
          <w:sz w:val="22"/>
          <w:szCs w:val="22"/>
        </w:rPr>
        <w:t xml:space="preserve"> </w:t>
      </w:r>
      <w:r w:rsidR="00716791">
        <w:rPr>
          <w:rFonts w:ascii="Book Antiqua" w:hAnsi="Book Antiqua" w:cs="Book Antiqua"/>
          <w:sz w:val="22"/>
          <w:szCs w:val="22"/>
        </w:rPr>
        <w:t xml:space="preserve">skupina </w:t>
      </w:r>
      <w:r w:rsidR="00AE0A03" w:rsidRPr="00C91684">
        <w:rPr>
          <w:rFonts w:ascii="Book Antiqua" w:hAnsi="Book Antiqua" w:cs="Book Antiqua"/>
          <w:sz w:val="22"/>
          <w:szCs w:val="22"/>
        </w:rPr>
        <w:t>poslan</w:t>
      </w:r>
      <w:r w:rsidR="00716791">
        <w:rPr>
          <w:rFonts w:ascii="Book Antiqua" w:hAnsi="Book Antiqua" w:cs="Book Antiqua"/>
          <w:sz w:val="22"/>
          <w:szCs w:val="22"/>
        </w:rPr>
        <w:t>cov</w:t>
      </w:r>
      <w:r w:rsidR="00802C5B" w:rsidRPr="00C91684">
        <w:rPr>
          <w:rFonts w:ascii="Book Antiqua" w:hAnsi="Book Antiqua"/>
          <w:sz w:val="22"/>
          <w:szCs w:val="22"/>
        </w:rPr>
        <w:t xml:space="preserve"> Národnej rady Slovenskej republiky</w:t>
      </w:r>
    </w:p>
    <w:p w14:paraId="22B3019D" w14:textId="5F1F4E23" w:rsidR="00F5232F" w:rsidRPr="00C91684" w:rsidRDefault="003B2158" w:rsidP="001E15B8">
      <w:pPr>
        <w:spacing w:before="120" w:after="0" w:line="276" w:lineRule="auto"/>
        <w:jc w:val="both"/>
        <w:rPr>
          <w:rFonts w:ascii="Book Antiqua" w:hAnsi="Book Antiqua" w:cs="Open Sans"/>
          <w:shd w:val="clear" w:color="auto" w:fill="FFFFFF"/>
        </w:rPr>
      </w:pPr>
      <w:r w:rsidRPr="00C91684">
        <w:rPr>
          <w:rFonts w:ascii="Book Antiqua" w:hAnsi="Book Antiqua" w:cs="Book Antiqua"/>
          <w:b/>
          <w:bCs/>
        </w:rPr>
        <w:t>2. Názov návrhu právneho predpisu:</w:t>
      </w:r>
      <w:r w:rsidRPr="00C91684">
        <w:rPr>
          <w:rFonts w:ascii="Book Antiqua" w:hAnsi="Book Antiqua" w:cs="Book Antiqua"/>
          <w:b/>
        </w:rPr>
        <w:t xml:space="preserve"> </w:t>
      </w:r>
      <w:r w:rsidR="00AE0A03" w:rsidRPr="00C91684">
        <w:rPr>
          <w:rFonts w:ascii="Book Antiqua" w:hAnsi="Book Antiqua"/>
        </w:rPr>
        <w:t>n</w:t>
      </w:r>
      <w:r w:rsidR="00F5232F" w:rsidRPr="00C91684">
        <w:rPr>
          <w:rFonts w:ascii="Book Antiqua" w:hAnsi="Book Antiqua"/>
        </w:rPr>
        <w:t xml:space="preserve">ávrh zákona, </w:t>
      </w:r>
      <w:bookmarkStart w:id="4" w:name="_Hlk149034472"/>
      <w:r w:rsidR="001E15B8" w:rsidRPr="00C91684">
        <w:rPr>
          <w:rFonts w:ascii="Book Antiqua" w:hAnsi="Book Antiqua"/>
        </w:rPr>
        <w:t xml:space="preserve">ktorým sa mení a dopĺňa </w:t>
      </w:r>
      <w:r w:rsidR="001E15B8" w:rsidRPr="00C91684">
        <w:rPr>
          <w:rFonts w:ascii="Book Antiqua" w:hAnsi="Book Antiqua" w:cs="Open Sans"/>
          <w:shd w:val="clear" w:color="auto" w:fill="FFFFFF"/>
        </w:rPr>
        <w:t>zákon č. 296/2020 Z. z. o 13. dôchodku a o zmene a doplnení niektorých zákonov v znení</w:t>
      </w:r>
      <w:r w:rsidR="001E15B8" w:rsidRPr="00C91684">
        <w:rPr>
          <w:rFonts w:ascii="Book Antiqua" w:hAnsi="Book Antiqua"/>
        </w:rPr>
        <w:t xml:space="preserve"> neskorších predpisov</w:t>
      </w:r>
      <w:bookmarkEnd w:id="4"/>
      <w:r w:rsidR="00F5232F" w:rsidRPr="00C91684">
        <w:rPr>
          <w:rFonts w:ascii="Book Antiqua" w:hAnsi="Book Antiqua" w:cs="Open Sans"/>
          <w:shd w:val="clear" w:color="auto" w:fill="FFFFFF"/>
        </w:rPr>
        <w:t xml:space="preserve"> </w:t>
      </w:r>
    </w:p>
    <w:p w14:paraId="04203ECD" w14:textId="741FE268" w:rsidR="00F5232F" w:rsidRPr="00C91684" w:rsidRDefault="00F5232F" w:rsidP="001E15B8">
      <w:pPr>
        <w:spacing w:before="120" w:after="0" w:line="276" w:lineRule="auto"/>
        <w:jc w:val="both"/>
        <w:rPr>
          <w:rFonts w:ascii="Book Antiqua" w:hAnsi="Book Antiqua" w:cs="Open Sans"/>
          <w:shd w:val="clear" w:color="auto" w:fill="FFFFFF"/>
        </w:rPr>
      </w:pPr>
      <w:r w:rsidRPr="00C91684">
        <w:rPr>
          <w:rFonts w:ascii="Book Antiqua" w:hAnsi="Book Antiqua" w:cs="Times New Roman"/>
          <w:b/>
          <w:bCs/>
        </w:rPr>
        <w:t>3. Predmet návrhu zákona:</w:t>
      </w:r>
    </w:p>
    <w:p w14:paraId="3FDE7664" w14:textId="77777777" w:rsidR="006143A2" w:rsidRPr="00C91684" w:rsidRDefault="00F5232F" w:rsidP="001E15B8">
      <w:pPr>
        <w:pStyle w:val="Odsekzoznamu"/>
        <w:numPr>
          <w:ilvl w:val="0"/>
          <w:numId w:val="7"/>
        </w:numPr>
        <w:spacing w:before="120" w:after="0" w:line="276" w:lineRule="auto"/>
        <w:jc w:val="both"/>
        <w:rPr>
          <w:rStyle w:val="awspan"/>
          <w:rFonts w:ascii="Book Antiqua" w:hAnsi="Book Antiqua" w:cs="Times New Roman"/>
        </w:rPr>
      </w:pPr>
      <w:r w:rsidRPr="00C91684">
        <w:rPr>
          <w:rFonts w:ascii="Book Antiqua" w:hAnsi="Book Antiqua" w:cs="Times New Roman"/>
        </w:rPr>
        <w:t>je upravený v primárnom práve Európskej únie,</w:t>
      </w:r>
      <w:r w:rsidR="006143A2" w:rsidRPr="00C91684">
        <w:rPr>
          <w:rFonts w:ascii="Book Antiqua" w:hAnsi="Book Antiqua" w:cs="Times New Roman"/>
        </w:rPr>
        <w:t xml:space="preserve"> a to </w:t>
      </w:r>
      <w:r w:rsidR="001E15B8" w:rsidRPr="00C91684">
        <w:rPr>
          <w:rStyle w:val="awspan"/>
          <w:rFonts w:ascii="Book Antiqua" w:hAnsi="Book Antiqua"/>
          <w:i/>
          <w:iCs/>
        </w:rPr>
        <w:t>čl.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151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a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153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Zmluvy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o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fungovaní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Európskej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únie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(konsolidované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znenie)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(Ú.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v.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ES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C</w:t>
      </w:r>
      <w:r w:rsidR="001E15B8" w:rsidRPr="00C91684">
        <w:rPr>
          <w:rStyle w:val="awspan"/>
          <w:rFonts w:ascii="Book Antiqua" w:hAnsi="Book Antiqua"/>
          <w:i/>
          <w:iCs/>
          <w:spacing w:val="-5"/>
        </w:rPr>
        <w:t xml:space="preserve"> </w:t>
      </w:r>
      <w:r w:rsidR="001E15B8" w:rsidRPr="00C91684">
        <w:rPr>
          <w:rStyle w:val="awspan"/>
          <w:rFonts w:ascii="Book Antiqua" w:hAnsi="Book Antiqua"/>
          <w:i/>
          <w:iCs/>
        </w:rPr>
        <w:t>202, 7. 6. 2016) v platnom znení</w:t>
      </w:r>
    </w:p>
    <w:p w14:paraId="5415D8AD" w14:textId="77777777" w:rsidR="006143A2" w:rsidRPr="00C91684" w:rsidRDefault="00F5232F" w:rsidP="006143A2">
      <w:pPr>
        <w:pStyle w:val="Odsekzoznamu"/>
        <w:numPr>
          <w:ilvl w:val="0"/>
          <w:numId w:val="7"/>
        </w:numPr>
        <w:spacing w:before="120" w:after="0" w:line="276" w:lineRule="auto"/>
        <w:jc w:val="both"/>
        <w:rPr>
          <w:rFonts w:ascii="Book Antiqua" w:hAnsi="Book Antiqua" w:cs="Times New Roman"/>
        </w:rPr>
      </w:pPr>
      <w:r w:rsidRPr="00C91684">
        <w:rPr>
          <w:rFonts w:ascii="Book Antiqua" w:hAnsi="Book Antiqua" w:cs="Times New Roman"/>
        </w:rPr>
        <w:t xml:space="preserve"> je upravený v sekundárnom práve Európskej únie,</w:t>
      </w:r>
      <w:r w:rsidR="006143A2" w:rsidRPr="00C91684">
        <w:rPr>
          <w:rFonts w:ascii="Book Antiqua" w:hAnsi="Book Antiqua" w:cs="Times New Roman"/>
        </w:rPr>
        <w:t xml:space="preserve"> a to:</w:t>
      </w:r>
    </w:p>
    <w:p w14:paraId="5EA0C38C" w14:textId="75A69D5C" w:rsidR="006143A2" w:rsidRPr="00C91684" w:rsidRDefault="006143A2" w:rsidP="006143A2">
      <w:pPr>
        <w:pStyle w:val="Odsekzoznamu"/>
        <w:numPr>
          <w:ilvl w:val="0"/>
          <w:numId w:val="8"/>
        </w:numPr>
        <w:spacing w:before="120" w:after="0" w:line="276" w:lineRule="auto"/>
        <w:jc w:val="both"/>
        <w:rPr>
          <w:rFonts w:ascii="Book Antiqua" w:hAnsi="Book Antiqua" w:cs="Times New Roman"/>
        </w:rPr>
      </w:pPr>
      <w:r w:rsidRPr="00C91684">
        <w:rPr>
          <w:rFonts w:ascii="Book Antiqua" w:eastAsia="Times New Roman" w:hAnsi="Book Antiqua" w:cs="Times New Roman"/>
          <w:i/>
          <w:iCs/>
        </w:rPr>
        <w:t>n</w:t>
      </w:r>
      <w:r w:rsidR="001E15B8" w:rsidRPr="00C91684">
        <w:rPr>
          <w:rFonts w:ascii="Book Antiqua" w:eastAsia="Times New Roman" w:hAnsi="Book Antiqua" w:cs="Times New Roman"/>
          <w:i/>
          <w:iCs/>
        </w:rPr>
        <w:t>ariadenie</w:t>
      </w:r>
      <w:r w:rsidR="001E15B8" w:rsidRPr="00C91684">
        <w:rPr>
          <w:rFonts w:ascii="Book Antiqua" w:eastAsia="Times New Roman" w:hAnsi="Book Antiqua" w:cs="Times New Roman"/>
          <w:i/>
          <w:iCs/>
          <w:spacing w:val="80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(ES)</w:t>
      </w:r>
      <w:r w:rsidR="001E15B8" w:rsidRPr="00C91684">
        <w:rPr>
          <w:rFonts w:ascii="Book Antiqua" w:eastAsia="Times New Roman" w:hAnsi="Book Antiqua" w:cs="Times New Roman"/>
          <w:i/>
          <w:iCs/>
          <w:spacing w:val="80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Európskeho</w:t>
      </w:r>
      <w:r w:rsidR="001E15B8" w:rsidRPr="00C91684">
        <w:rPr>
          <w:rFonts w:ascii="Book Antiqua" w:eastAsia="Times New Roman" w:hAnsi="Book Antiqua" w:cs="Times New Roman"/>
          <w:i/>
          <w:iCs/>
          <w:spacing w:val="80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parlamentu</w:t>
      </w:r>
      <w:r w:rsidR="001E15B8" w:rsidRPr="00C91684">
        <w:rPr>
          <w:rFonts w:ascii="Book Antiqua" w:eastAsia="Times New Roman" w:hAnsi="Book Antiqua" w:cs="Times New Roman"/>
          <w:i/>
          <w:iCs/>
          <w:spacing w:val="80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a</w:t>
      </w:r>
      <w:r w:rsidR="001E15B8" w:rsidRPr="00C91684">
        <w:rPr>
          <w:rFonts w:ascii="Book Antiqua" w:eastAsia="Times New Roman" w:hAnsi="Book Antiqua" w:cs="Times New Roman"/>
          <w:i/>
          <w:iCs/>
          <w:spacing w:val="80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Rady</w:t>
      </w:r>
      <w:r w:rsidR="001E15B8" w:rsidRPr="00C91684">
        <w:rPr>
          <w:rFonts w:ascii="Book Antiqua" w:eastAsia="Times New Roman" w:hAnsi="Book Antiqua" w:cs="Times New Roman"/>
          <w:i/>
          <w:iCs/>
          <w:spacing w:val="80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883/2004</w:t>
      </w:r>
      <w:r w:rsidR="001E15B8" w:rsidRPr="00C91684">
        <w:rPr>
          <w:rFonts w:ascii="Book Antiqua" w:eastAsia="Times New Roman" w:hAnsi="Book Antiqua" w:cs="Times New Roman"/>
          <w:i/>
          <w:iCs/>
          <w:spacing w:val="80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z</w:t>
      </w:r>
      <w:r w:rsidR="001E15B8" w:rsidRPr="00C91684">
        <w:rPr>
          <w:rFonts w:ascii="Book Antiqua" w:eastAsia="Times New Roman" w:hAnsi="Book Antiqua" w:cs="Times New Roman"/>
          <w:i/>
          <w:iCs/>
          <w:spacing w:val="80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29.</w:t>
      </w:r>
      <w:r w:rsidR="001E15B8" w:rsidRPr="00C91684">
        <w:rPr>
          <w:rFonts w:ascii="Book Antiqua" w:eastAsia="Times New Roman" w:hAnsi="Book Antiqua" w:cs="Times New Roman"/>
          <w:i/>
          <w:iCs/>
          <w:spacing w:val="80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apríla</w:t>
      </w:r>
      <w:r w:rsidR="001E15B8" w:rsidRPr="00C91684">
        <w:rPr>
          <w:rFonts w:ascii="Book Antiqua" w:eastAsia="Times New Roman" w:hAnsi="Book Antiqua" w:cs="Times New Roman"/>
          <w:i/>
          <w:iCs/>
          <w:spacing w:val="80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2004 o koordinácii</w:t>
      </w:r>
      <w:r w:rsidR="001E15B8" w:rsidRPr="00C91684">
        <w:rPr>
          <w:rFonts w:ascii="Book Antiqua" w:eastAsia="Times New Roman" w:hAnsi="Book Antiqua" w:cs="Times New Roman"/>
          <w:i/>
          <w:iCs/>
          <w:spacing w:val="88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systémov</w:t>
      </w:r>
      <w:r w:rsidR="001E15B8" w:rsidRPr="00C91684">
        <w:rPr>
          <w:rFonts w:ascii="Book Antiqua" w:eastAsia="Times New Roman" w:hAnsi="Book Antiqua" w:cs="Times New Roman"/>
          <w:i/>
          <w:iCs/>
          <w:spacing w:val="88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sociálneho</w:t>
      </w:r>
      <w:r w:rsidR="001E15B8" w:rsidRPr="00C91684">
        <w:rPr>
          <w:rFonts w:ascii="Book Antiqua" w:eastAsia="Times New Roman" w:hAnsi="Book Antiqua" w:cs="Times New Roman"/>
          <w:i/>
          <w:iCs/>
          <w:spacing w:val="88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zabezpečenia</w:t>
      </w:r>
      <w:r w:rsidR="001E15B8" w:rsidRPr="00C91684">
        <w:rPr>
          <w:rFonts w:ascii="Book Antiqua" w:eastAsia="Times New Roman" w:hAnsi="Book Antiqua" w:cs="Times New Roman"/>
          <w:i/>
          <w:iCs/>
          <w:spacing w:val="88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(Ú.</w:t>
      </w:r>
      <w:r w:rsidR="001E15B8" w:rsidRPr="00C91684">
        <w:rPr>
          <w:rFonts w:ascii="Book Antiqua" w:eastAsia="Times New Roman" w:hAnsi="Book Antiqua" w:cs="Times New Roman"/>
          <w:i/>
          <w:iCs/>
          <w:spacing w:val="88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v.</w:t>
      </w:r>
      <w:r w:rsidR="001E15B8" w:rsidRPr="00C91684">
        <w:rPr>
          <w:rFonts w:ascii="Book Antiqua" w:eastAsia="Times New Roman" w:hAnsi="Book Antiqua" w:cs="Times New Roman"/>
          <w:i/>
          <w:iCs/>
          <w:spacing w:val="88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EÚ</w:t>
      </w:r>
      <w:r w:rsidR="001E15B8" w:rsidRPr="00C91684">
        <w:rPr>
          <w:rFonts w:ascii="Book Antiqua" w:eastAsia="Times New Roman" w:hAnsi="Book Antiqua" w:cs="Times New Roman"/>
          <w:i/>
          <w:iCs/>
          <w:spacing w:val="88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L</w:t>
      </w:r>
      <w:r w:rsidR="001E15B8" w:rsidRPr="00C91684">
        <w:rPr>
          <w:rFonts w:ascii="Book Antiqua" w:eastAsia="Times New Roman" w:hAnsi="Book Antiqua" w:cs="Times New Roman"/>
          <w:i/>
          <w:iCs/>
          <w:spacing w:val="88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166,</w:t>
      </w:r>
      <w:r w:rsidR="001E15B8" w:rsidRPr="00C91684">
        <w:rPr>
          <w:rFonts w:ascii="Book Antiqua" w:eastAsia="Times New Roman" w:hAnsi="Book Antiqua" w:cs="Times New Roman"/>
          <w:i/>
          <w:iCs/>
          <w:spacing w:val="88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30.4.2004; Mimoriadne vydanie Ú. v. EÚ, kap. 5/zv. 5) v platnom znení, gestor: MPSVR SR,</w:t>
      </w:r>
    </w:p>
    <w:p w14:paraId="62CE29F9" w14:textId="70DAC82E" w:rsidR="001E15B8" w:rsidRPr="00C91684" w:rsidRDefault="006143A2" w:rsidP="006143A2">
      <w:pPr>
        <w:pStyle w:val="Odsekzoznamu"/>
        <w:numPr>
          <w:ilvl w:val="0"/>
          <w:numId w:val="8"/>
        </w:numPr>
        <w:spacing w:before="120" w:after="0" w:line="276" w:lineRule="auto"/>
        <w:jc w:val="both"/>
        <w:rPr>
          <w:rFonts w:ascii="Book Antiqua" w:hAnsi="Book Antiqua" w:cs="Times New Roman"/>
        </w:rPr>
      </w:pPr>
      <w:r w:rsidRPr="00C91684">
        <w:rPr>
          <w:rFonts w:ascii="Book Antiqua" w:eastAsia="Times New Roman" w:hAnsi="Book Antiqua" w:cs="Times New Roman"/>
          <w:i/>
          <w:iCs/>
        </w:rPr>
        <w:t>n</w:t>
      </w:r>
      <w:r w:rsidR="001E15B8" w:rsidRPr="00C91684">
        <w:rPr>
          <w:rFonts w:ascii="Book Antiqua" w:eastAsia="Times New Roman" w:hAnsi="Book Antiqua" w:cs="Times New Roman"/>
          <w:i/>
          <w:iCs/>
        </w:rPr>
        <w:t>ariadenie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Európskeho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parlamentu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a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Rady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(ES)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č.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987/2009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zo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16.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septembra</w:t>
      </w:r>
      <w:r w:rsidR="001E15B8" w:rsidRPr="00C91684">
        <w:rPr>
          <w:rFonts w:ascii="Book Antiqua" w:eastAsia="Times New Roman" w:hAnsi="Book Antiqua" w:cs="Times New Roman"/>
          <w:i/>
          <w:iCs/>
          <w:spacing w:val="3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2009, ktorým</w:t>
      </w:r>
      <w:r w:rsidR="001E15B8" w:rsidRPr="00C91684">
        <w:rPr>
          <w:rFonts w:ascii="Book Antiqua" w:eastAsia="Times New Roman" w:hAnsi="Book Antiqua" w:cs="Times New Roman"/>
          <w:i/>
          <w:iCs/>
          <w:spacing w:val="16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sa</w:t>
      </w:r>
      <w:r w:rsidR="001E15B8" w:rsidRPr="00C91684">
        <w:rPr>
          <w:rFonts w:ascii="Book Antiqua" w:eastAsia="Times New Roman" w:hAnsi="Book Antiqua" w:cs="Times New Roman"/>
          <w:i/>
          <w:iCs/>
          <w:spacing w:val="16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stanovuje</w:t>
      </w:r>
      <w:r w:rsidR="001E15B8" w:rsidRPr="00C91684">
        <w:rPr>
          <w:rFonts w:ascii="Book Antiqua" w:eastAsia="Times New Roman" w:hAnsi="Book Antiqua" w:cs="Times New Roman"/>
          <w:i/>
          <w:iCs/>
          <w:spacing w:val="16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postup</w:t>
      </w:r>
      <w:r w:rsidR="001E15B8" w:rsidRPr="00C91684">
        <w:rPr>
          <w:rFonts w:ascii="Book Antiqua" w:eastAsia="Times New Roman" w:hAnsi="Book Antiqua" w:cs="Times New Roman"/>
          <w:i/>
          <w:iCs/>
          <w:spacing w:val="16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vykonávania</w:t>
      </w:r>
      <w:r w:rsidR="001E15B8" w:rsidRPr="00C91684">
        <w:rPr>
          <w:rFonts w:ascii="Book Antiqua" w:eastAsia="Times New Roman" w:hAnsi="Book Antiqua" w:cs="Times New Roman"/>
          <w:i/>
          <w:iCs/>
          <w:spacing w:val="16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nariadenia</w:t>
      </w:r>
      <w:r w:rsidR="001E15B8" w:rsidRPr="00C91684">
        <w:rPr>
          <w:rFonts w:ascii="Book Antiqua" w:eastAsia="Times New Roman" w:hAnsi="Book Antiqua" w:cs="Times New Roman"/>
          <w:i/>
          <w:iCs/>
          <w:spacing w:val="16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(ES)</w:t>
      </w:r>
      <w:r w:rsidR="001E15B8" w:rsidRPr="00C91684">
        <w:rPr>
          <w:rFonts w:ascii="Book Antiqua" w:eastAsia="Times New Roman" w:hAnsi="Book Antiqua" w:cs="Times New Roman"/>
          <w:i/>
          <w:iCs/>
          <w:spacing w:val="16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č.</w:t>
      </w:r>
      <w:r w:rsidR="001E15B8" w:rsidRPr="00C91684">
        <w:rPr>
          <w:rFonts w:ascii="Book Antiqua" w:eastAsia="Times New Roman" w:hAnsi="Book Antiqua" w:cs="Times New Roman"/>
          <w:i/>
          <w:iCs/>
          <w:spacing w:val="16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883/2004</w:t>
      </w:r>
      <w:r w:rsidR="001E15B8" w:rsidRPr="00C91684">
        <w:rPr>
          <w:rFonts w:ascii="Book Antiqua" w:eastAsia="Times New Roman" w:hAnsi="Book Antiqua" w:cs="Times New Roman"/>
          <w:i/>
          <w:iCs/>
          <w:spacing w:val="16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o</w:t>
      </w:r>
      <w:r w:rsidR="001E15B8" w:rsidRPr="00C91684">
        <w:rPr>
          <w:rFonts w:ascii="Book Antiqua" w:eastAsia="Times New Roman" w:hAnsi="Book Antiqua" w:cs="Times New Roman"/>
          <w:i/>
          <w:iCs/>
          <w:spacing w:val="16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koordinácii systémov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sociálneho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zabezpečenia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(Ú.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v.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EÚ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L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284,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30.10.2009)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v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>platnom</w:t>
      </w:r>
      <w:r w:rsidR="001E15B8" w:rsidRPr="00C91684">
        <w:rPr>
          <w:rFonts w:ascii="Book Antiqua" w:eastAsia="Times New Roman" w:hAnsi="Book Antiqua" w:cs="Times New Roman"/>
          <w:i/>
          <w:iCs/>
          <w:spacing w:val="34"/>
        </w:rPr>
        <w:t xml:space="preserve"> </w:t>
      </w:r>
      <w:r w:rsidR="001E15B8" w:rsidRPr="00C91684">
        <w:rPr>
          <w:rFonts w:ascii="Book Antiqua" w:eastAsia="Times New Roman" w:hAnsi="Book Antiqua" w:cs="Times New Roman"/>
          <w:i/>
          <w:iCs/>
        </w:rPr>
        <w:t xml:space="preserve">znení, gestor: MPSVR SR, </w:t>
      </w:r>
    </w:p>
    <w:p w14:paraId="541B4279" w14:textId="70A00670" w:rsidR="001E15B8" w:rsidRPr="00C91684" w:rsidRDefault="00F5232F" w:rsidP="006143A2">
      <w:pPr>
        <w:pStyle w:val="Odsekzoznamu"/>
        <w:numPr>
          <w:ilvl w:val="0"/>
          <w:numId w:val="7"/>
        </w:numPr>
        <w:spacing w:before="120" w:after="0" w:line="276" w:lineRule="auto"/>
        <w:jc w:val="both"/>
        <w:rPr>
          <w:rFonts w:ascii="Book Antiqua" w:hAnsi="Book Antiqua" w:cs="Times New Roman"/>
        </w:rPr>
      </w:pPr>
      <w:r w:rsidRPr="00C91684">
        <w:rPr>
          <w:rFonts w:ascii="Book Antiqua" w:hAnsi="Book Antiqua" w:cs="Times New Roman"/>
        </w:rPr>
        <w:t xml:space="preserve">nie je obsiahnutý v judikatúre Súdneho dvora Európskej únie. </w:t>
      </w:r>
    </w:p>
    <w:p w14:paraId="129BA606" w14:textId="783CDEF6" w:rsidR="001E15B8" w:rsidRPr="00C91684" w:rsidRDefault="001E15B8" w:rsidP="001E15B8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C91684">
        <w:rPr>
          <w:rFonts w:ascii="Book Antiqua" w:eastAsia="Times New Roman" w:hAnsi="Book Antiqua" w:cs="Times New Roman"/>
          <w:b/>
          <w:bCs/>
        </w:rPr>
        <w:t>4. Záväzky Slovenskej republiky vo vzťahu k Európskej únii:</w:t>
      </w:r>
    </w:p>
    <w:p w14:paraId="21450FBA" w14:textId="7BBB9263" w:rsidR="006143A2" w:rsidRPr="00C91684" w:rsidRDefault="006143A2" w:rsidP="006143A2">
      <w:pPr>
        <w:pStyle w:val="Odsekzoznamu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Book Antiqua" w:hAnsi="Book Antiqua" w:cs="Times New Roman"/>
        </w:rPr>
      </w:pPr>
      <w:r w:rsidRPr="00C91684">
        <w:rPr>
          <w:rFonts w:ascii="Book Antiqua" w:eastAsia="Times New Roman" w:hAnsi="Book Antiqua" w:cs="Times New Roman"/>
        </w:rPr>
        <w:t>l</w:t>
      </w:r>
      <w:r w:rsidR="001E15B8" w:rsidRPr="00C91684">
        <w:rPr>
          <w:rFonts w:ascii="Book Antiqua" w:eastAsia="Times New Roman" w:hAnsi="Book Antiqua" w:cs="Times New Roman"/>
        </w:rPr>
        <w:t>ehota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na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prebranie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príslušného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právneho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aktu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Európskej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únie,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príp.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aj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osobitná</w:t>
      </w:r>
      <w:r w:rsidR="001E15B8" w:rsidRPr="00C91684">
        <w:rPr>
          <w:rFonts w:ascii="Book Antiqua" w:eastAsia="Times New Roman" w:hAnsi="Book Antiqua" w:cs="Times New Roman"/>
          <w:spacing w:val="2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 xml:space="preserve">lehota účinnosti jeho ustanovení </w:t>
      </w:r>
    </w:p>
    <w:p w14:paraId="592D0347" w14:textId="77777777" w:rsidR="006143A2" w:rsidRPr="00C91684" w:rsidRDefault="001E15B8" w:rsidP="006143A2">
      <w:pPr>
        <w:pStyle w:val="Odsekzoznamu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i/>
          <w:iCs/>
        </w:rPr>
      </w:pPr>
      <w:r w:rsidRPr="00C91684">
        <w:rPr>
          <w:rFonts w:ascii="Book Antiqua" w:eastAsia="Times New Roman" w:hAnsi="Book Antiqua" w:cs="Times New Roman"/>
          <w:i/>
          <w:iCs/>
        </w:rPr>
        <w:t>bezpredmetné,</w:t>
      </w:r>
    </w:p>
    <w:p w14:paraId="39D76AC6" w14:textId="44F3722F" w:rsidR="006143A2" w:rsidRPr="00C91684" w:rsidRDefault="006143A2" w:rsidP="006143A2">
      <w:pPr>
        <w:pStyle w:val="Odsekzoznamu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Book Antiqua" w:hAnsi="Book Antiqua" w:cs="Times New Roman"/>
        </w:rPr>
      </w:pPr>
      <w:r w:rsidRPr="00C91684">
        <w:rPr>
          <w:rFonts w:ascii="Book Antiqua" w:eastAsia="Times New Roman" w:hAnsi="Book Antiqua" w:cs="Times New Roman"/>
        </w:rPr>
        <w:t>I</w:t>
      </w:r>
      <w:r w:rsidR="001E15B8" w:rsidRPr="00C91684">
        <w:rPr>
          <w:rFonts w:ascii="Book Antiqua" w:eastAsia="Times New Roman" w:hAnsi="Book Antiqua" w:cs="Times New Roman"/>
        </w:rPr>
        <w:t>nformácia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o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začatí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konania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v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rámci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„EÚ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Pilot“</w:t>
      </w:r>
      <w:r w:rsidR="00F648A3">
        <w:rPr>
          <w:rFonts w:ascii="Book Antiqua" w:eastAsia="Times New Roman" w:hAnsi="Book Antiqua" w:cs="Times New Roman"/>
        </w:rPr>
        <w:t>,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alebo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o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začatí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postupu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Európskej</w:t>
      </w:r>
      <w:r w:rsidR="001E15B8" w:rsidRPr="00C91684">
        <w:rPr>
          <w:rFonts w:ascii="Book Antiqua" w:eastAsia="Times New Roman" w:hAnsi="Book Antiqua" w:cs="Times New Roman"/>
          <w:spacing w:val="-9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komisie, alebo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o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konaní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Súdneho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dvora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Európskej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únie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proti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Slovenskej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republike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podľa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čl.</w:t>
      </w:r>
      <w:r w:rsidR="001E15B8" w:rsidRPr="00C91684">
        <w:rPr>
          <w:rFonts w:ascii="Book Antiqua" w:eastAsia="Times New Roman" w:hAnsi="Book Antiqua" w:cs="Times New Roman"/>
          <w:spacing w:val="17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258 a 260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Zmluvy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o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fungovaní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Európskej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únie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v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jej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platnom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znení,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spolu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s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uvedením konkrétnych</w:t>
      </w:r>
      <w:r w:rsidR="001E15B8" w:rsidRPr="00C91684">
        <w:rPr>
          <w:rFonts w:ascii="Book Antiqua" w:eastAsia="Times New Roman" w:hAnsi="Book Antiqua" w:cs="Times New Roman"/>
          <w:spacing w:val="-1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vytýkaných</w:t>
      </w:r>
      <w:r w:rsidR="001E15B8" w:rsidRPr="00C91684">
        <w:rPr>
          <w:rFonts w:ascii="Book Antiqua" w:eastAsia="Times New Roman" w:hAnsi="Book Antiqua" w:cs="Times New Roman"/>
          <w:spacing w:val="-1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nedostatkov</w:t>
      </w:r>
      <w:r w:rsidR="001E15B8" w:rsidRPr="00C91684">
        <w:rPr>
          <w:rFonts w:ascii="Book Antiqua" w:eastAsia="Times New Roman" w:hAnsi="Book Antiqua" w:cs="Times New Roman"/>
          <w:spacing w:val="-1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a</w:t>
      </w:r>
      <w:r w:rsidR="001E15B8" w:rsidRPr="00C91684">
        <w:rPr>
          <w:rFonts w:ascii="Book Antiqua" w:eastAsia="Times New Roman" w:hAnsi="Book Antiqua" w:cs="Times New Roman"/>
          <w:spacing w:val="-1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požiadaviek</w:t>
      </w:r>
      <w:r w:rsidR="001E15B8" w:rsidRPr="00C91684">
        <w:rPr>
          <w:rFonts w:ascii="Book Antiqua" w:eastAsia="Times New Roman" w:hAnsi="Book Antiqua" w:cs="Times New Roman"/>
          <w:spacing w:val="-1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na</w:t>
      </w:r>
      <w:r w:rsidR="001E15B8" w:rsidRPr="00C91684">
        <w:rPr>
          <w:rFonts w:ascii="Book Antiqua" w:eastAsia="Times New Roman" w:hAnsi="Book Antiqua" w:cs="Times New Roman"/>
          <w:spacing w:val="-1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zabezpečenie</w:t>
      </w:r>
      <w:r w:rsidR="001E15B8" w:rsidRPr="00C91684">
        <w:rPr>
          <w:rFonts w:ascii="Book Antiqua" w:eastAsia="Times New Roman" w:hAnsi="Book Antiqua" w:cs="Times New Roman"/>
          <w:spacing w:val="-1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nápravy</w:t>
      </w:r>
      <w:r w:rsidR="001E15B8" w:rsidRPr="00C91684">
        <w:rPr>
          <w:rFonts w:ascii="Book Antiqua" w:eastAsia="Times New Roman" w:hAnsi="Book Antiqua" w:cs="Times New Roman"/>
          <w:spacing w:val="-1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so</w:t>
      </w:r>
      <w:r w:rsidR="001E15B8" w:rsidRPr="00C91684">
        <w:rPr>
          <w:rFonts w:ascii="Book Antiqua" w:eastAsia="Times New Roman" w:hAnsi="Book Antiqua" w:cs="Times New Roman"/>
          <w:spacing w:val="-10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zreteľom na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nariadenie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Európskeho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parlamentu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a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Rady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(ES)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č.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1049/2001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z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30.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mája</w:t>
      </w:r>
      <w:r w:rsidR="001E15B8" w:rsidRPr="00C91684">
        <w:rPr>
          <w:rFonts w:ascii="Book Antiqua" w:eastAsia="Times New Roman" w:hAnsi="Book Antiqua" w:cs="Times New Roman"/>
          <w:spacing w:val="65"/>
        </w:rPr>
        <w:t xml:space="preserve"> </w:t>
      </w:r>
      <w:r w:rsidR="001E15B8" w:rsidRPr="00C91684">
        <w:rPr>
          <w:rFonts w:ascii="Book Antiqua" w:eastAsia="Times New Roman" w:hAnsi="Book Antiqua" w:cs="Times New Roman"/>
        </w:rPr>
        <w:t>2001 o prístupe verejnosti k dokumentom Európskeho parlamentu, Rady a</w:t>
      </w:r>
      <w:r w:rsidRPr="00C91684">
        <w:rPr>
          <w:rFonts w:ascii="Book Antiqua" w:eastAsia="Times New Roman" w:hAnsi="Book Antiqua" w:cs="Times New Roman"/>
        </w:rPr>
        <w:t> </w:t>
      </w:r>
      <w:r w:rsidR="001E15B8" w:rsidRPr="00C91684">
        <w:rPr>
          <w:rFonts w:ascii="Book Antiqua" w:eastAsia="Times New Roman" w:hAnsi="Book Antiqua" w:cs="Times New Roman"/>
        </w:rPr>
        <w:t>Komisie</w:t>
      </w:r>
    </w:p>
    <w:p w14:paraId="132DD29B" w14:textId="77777777" w:rsidR="006143A2" w:rsidRPr="00C91684" w:rsidRDefault="001E15B8" w:rsidP="006143A2">
      <w:pPr>
        <w:pStyle w:val="Odsekzoznamu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i/>
          <w:iCs/>
        </w:rPr>
      </w:pPr>
      <w:r w:rsidRPr="00C91684">
        <w:rPr>
          <w:rFonts w:ascii="Book Antiqua" w:eastAsia="Times New Roman" w:hAnsi="Book Antiqua" w:cs="Times New Roman"/>
          <w:i/>
          <w:iCs/>
        </w:rPr>
        <w:t>bezpredmetné,</w:t>
      </w:r>
    </w:p>
    <w:p w14:paraId="168C53FB" w14:textId="77777777" w:rsidR="006143A2" w:rsidRPr="00C91684" w:rsidRDefault="001E15B8" w:rsidP="006143A2">
      <w:pPr>
        <w:pStyle w:val="Odsekzoznamu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Book Antiqua" w:hAnsi="Book Antiqua" w:cs="Times New Roman"/>
        </w:rPr>
      </w:pPr>
      <w:r w:rsidRPr="00C91684">
        <w:rPr>
          <w:rFonts w:ascii="Book Antiqua" w:eastAsia="Times New Roman" w:hAnsi="Book Antiqua" w:cs="Times New Roman"/>
        </w:rPr>
        <w:t xml:space="preserve"> Informácia o právnych predpisoch, v ktorých sú uvádzané právne akty Európskej únie už prebrané, spolu s uvedením rozsahu ich prebrania, príp. potreby prijatia ďalších úprav  </w:t>
      </w:r>
    </w:p>
    <w:p w14:paraId="3ED40D73" w14:textId="55CC37FA" w:rsidR="001E15B8" w:rsidRPr="00C91684" w:rsidRDefault="001E15B8" w:rsidP="006143A2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 w:cs="Times New Roman"/>
        </w:rPr>
      </w:pPr>
      <w:r w:rsidRPr="00C91684">
        <w:rPr>
          <w:rFonts w:ascii="Book Antiqua" w:eastAsia="Times New Roman" w:hAnsi="Book Antiqua" w:cs="Times New Roman"/>
          <w:i/>
          <w:iCs/>
        </w:rPr>
        <w:t>bezpredmetné.</w:t>
      </w:r>
    </w:p>
    <w:p w14:paraId="09E7E282" w14:textId="7FBD86C9" w:rsidR="001E15B8" w:rsidRPr="00C91684" w:rsidRDefault="001E15B8" w:rsidP="001E15B8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C91684">
        <w:rPr>
          <w:rFonts w:ascii="Book Antiqua" w:eastAsia="Times New Roman" w:hAnsi="Book Antiqua" w:cs="Times New Roman"/>
          <w:b/>
          <w:bCs/>
        </w:rPr>
        <w:t xml:space="preserve">5. Návrh zákona je zlučiteľný s právom Európskej únie:  </w:t>
      </w:r>
      <w:r w:rsidRPr="00C91684">
        <w:rPr>
          <w:rFonts w:ascii="Book Antiqua" w:eastAsia="Times New Roman" w:hAnsi="Book Antiqua" w:cs="Times New Roman"/>
          <w:i/>
          <w:iCs/>
        </w:rPr>
        <w:t>úplne.</w:t>
      </w:r>
      <w:r w:rsidRPr="00C91684">
        <w:rPr>
          <w:rFonts w:ascii="Book Antiqua" w:eastAsia="Times New Roman" w:hAnsi="Book Antiqua" w:cs="Times New Roman"/>
        </w:rPr>
        <w:t xml:space="preserve"> </w:t>
      </w:r>
    </w:p>
    <w:p w14:paraId="1C912BAB" w14:textId="77777777" w:rsidR="009A375B" w:rsidRPr="00C91684" w:rsidRDefault="009A375B" w:rsidP="00AE0A03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000CC520" w14:textId="77777777" w:rsidR="00B16F89" w:rsidRPr="00C91684" w:rsidRDefault="00B16F89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31C31C5" w14:textId="77777777" w:rsidR="00EF4E37" w:rsidRPr="00C91684" w:rsidRDefault="00EF4E37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670F3696" w14:textId="77777777" w:rsidR="00F40A65" w:rsidRPr="0005251D" w:rsidRDefault="00F40A65" w:rsidP="00F40A65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05251D">
        <w:rPr>
          <w:rFonts w:ascii="Book Antiqua" w:eastAsia="Times New Roman" w:hAnsi="Book Antiqua" w:cs="Times New Roman"/>
          <w:b/>
        </w:rPr>
        <w:lastRenderedPageBreak/>
        <w:t>Doložka vybraných vplyvov</w:t>
      </w:r>
    </w:p>
    <w:p w14:paraId="4DAE055D" w14:textId="77777777" w:rsidR="00F40A65" w:rsidRPr="00511A7D" w:rsidRDefault="00F40A65" w:rsidP="00F40A65">
      <w:pPr>
        <w:spacing w:after="200" w:line="276" w:lineRule="auto"/>
        <w:ind w:left="426"/>
        <w:contextualSpacing/>
        <w:rPr>
          <w:rFonts w:ascii="Book Antiqua" w:hAnsi="Book Antiqua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F40A65" w:rsidRPr="00511A7D" w14:paraId="1F98A2D8" w14:textId="77777777" w:rsidTr="00144712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81097B4" w14:textId="77777777" w:rsidR="00F40A65" w:rsidRPr="00511A7D" w:rsidRDefault="00F40A65" w:rsidP="00F40A65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Základné údaje</w:t>
            </w:r>
          </w:p>
        </w:tc>
      </w:tr>
      <w:tr w:rsidR="00F40A65" w:rsidRPr="00511A7D" w14:paraId="088D08D2" w14:textId="77777777" w:rsidTr="00144712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3DABF2C3" w14:textId="77777777" w:rsidR="00F40A65" w:rsidRPr="00511A7D" w:rsidRDefault="00F40A65" w:rsidP="00144712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Názov návrhu zákona</w:t>
            </w:r>
          </w:p>
        </w:tc>
      </w:tr>
      <w:tr w:rsidR="00F40A65" w:rsidRPr="00511A7D" w14:paraId="280ADBD9" w14:textId="77777777" w:rsidTr="00144712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25981BEF" w14:textId="09B7EDC3" w:rsidR="00F40A65" w:rsidRPr="00511A7D" w:rsidRDefault="00F40A65" w:rsidP="00F40A65">
            <w:pPr>
              <w:spacing w:before="120" w:line="276" w:lineRule="auto"/>
              <w:jc w:val="both"/>
              <w:rPr>
                <w:rFonts w:ascii="Book Antiqua" w:hAnsi="Book Antiqua" w:cs="Open Sans"/>
                <w:sz w:val="20"/>
                <w:szCs w:val="20"/>
                <w:shd w:val="clear" w:color="auto" w:fill="FFFFFF"/>
              </w:rPr>
            </w:pPr>
            <w:r w:rsidRPr="00511A7D">
              <w:rPr>
                <w:rFonts w:ascii="Book Antiqua" w:hAnsi="Book Antiqua"/>
                <w:sz w:val="20"/>
                <w:szCs w:val="20"/>
              </w:rPr>
              <w:t xml:space="preserve">návrh zákona, ktorým sa mení a dopĺňa </w:t>
            </w:r>
            <w:r w:rsidRPr="00511A7D">
              <w:rPr>
                <w:rFonts w:ascii="Book Antiqua" w:hAnsi="Book Antiqua" w:cs="Open Sans"/>
                <w:sz w:val="20"/>
                <w:szCs w:val="20"/>
                <w:shd w:val="clear" w:color="auto" w:fill="FFFFFF"/>
              </w:rPr>
              <w:t>zákon č. 296/2020 Z. z. o 13. dôchodku a o zmene a doplnení niektorých zákonov v znení</w:t>
            </w:r>
            <w:r w:rsidRPr="00511A7D">
              <w:rPr>
                <w:rFonts w:ascii="Book Antiqua" w:hAnsi="Book Antiqua"/>
                <w:sz w:val="20"/>
                <w:szCs w:val="20"/>
              </w:rPr>
              <w:t xml:space="preserve"> neskorších predpisov</w:t>
            </w:r>
            <w:r w:rsidRPr="00511A7D">
              <w:rPr>
                <w:rFonts w:ascii="Book Antiqua" w:hAnsi="Book Antiqua" w:cs="Open Sans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77469C7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</w:p>
        </w:tc>
      </w:tr>
      <w:tr w:rsidR="00F40A65" w:rsidRPr="00511A7D" w14:paraId="0E6C00F0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3A0E488" w14:textId="77777777" w:rsidR="00F40A65" w:rsidRPr="00511A7D" w:rsidRDefault="00F40A65" w:rsidP="00144712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 xml:space="preserve">Navrhovateľ (a </w:t>
            </w:r>
            <w:proofErr w:type="spellStart"/>
            <w:r w:rsidRPr="00511A7D">
              <w:rPr>
                <w:rFonts w:ascii="Book Antiqua" w:eastAsia="Calibri" w:hAnsi="Book Antiqua" w:cs="Times New Roman"/>
                <w:b/>
              </w:rPr>
              <w:t>spolunavrhovatelia</w:t>
            </w:r>
            <w:proofErr w:type="spellEnd"/>
            <w:r w:rsidRPr="00511A7D">
              <w:rPr>
                <w:rFonts w:ascii="Book Antiqua" w:eastAsia="Calibri" w:hAnsi="Book Antiqua" w:cs="Times New Roman"/>
                <w:b/>
              </w:rPr>
              <w:t>)</w:t>
            </w:r>
          </w:p>
        </w:tc>
      </w:tr>
      <w:tr w:rsidR="00F40A65" w:rsidRPr="00511A7D" w14:paraId="192FE91B" w14:textId="77777777" w:rsidTr="00144712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CAE42" w14:textId="6F1A990B" w:rsidR="00F40A65" w:rsidRPr="00511A7D" w:rsidRDefault="00511A7D" w:rsidP="00144712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skupina poslan</w:t>
            </w:r>
            <w:r w:rsidR="00F40A65"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c</w:t>
            </w: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ov</w:t>
            </w:r>
            <w:r w:rsidR="00F40A65"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 xml:space="preserve"> Národnej rady Slovenskej republiky </w:t>
            </w:r>
          </w:p>
          <w:p w14:paraId="44660739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</w:p>
        </w:tc>
      </w:tr>
      <w:tr w:rsidR="00F40A65" w:rsidRPr="00511A7D" w14:paraId="6A1E6B32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0E6AA7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</w:p>
        </w:tc>
      </w:tr>
      <w:tr w:rsidR="00F40A65" w:rsidRPr="00511A7D" w14:paraId="174FDA44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C0357E6" w14:textId="77777777" w:rsidR="00F40A65" w:rsidRPr="00511A7D" w:rsidRDefault="00F40A65" w:rsidP="00F40A65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Definovanie problému</w:t>
            </w:r>
          </w:p>
        </w:tc>
      </w:tr>
      <w:tr w:rsidR="00F40A65" w:rsidRPr="00511A7D" w14:paraId="3086F094" w14:textId="77777777" w:rsidTr="00144712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D6923" w14:textId="77777777" w:rsidR="00D44CF6" w:rsidRPr="00511A7D" w:rsidRDefault="00D44CF6" w:rsidP="00D44CF6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05E88B26" w14:textId="77777777" w:rsidR="00D44CF6" w:rsidRPr="00511A7D" w:rsidRDefault="00D44CF6" w:rsidP="00F40A65">
            <w:pPr>
              <w:jc w:val="both"/>
              <w:rPr>
                <w:rFonts w:ascii="Book Antiqua" w:hAnsi="Book Antiqua"/>
                <w:sz w:val="20"/>
                <w:szCs w:val="20"/>
                <w:lang w:eastAsia="ar-SA"/>
              </w:rPr>
            </w:pPr>
          </w:p>
          <w:p w14:paraId="3EE69FA2" w14:textId="56290DE5" w:rsidR="00F40A65" w:rsidRPr="00511A7D" w:rsidRDefault="00F40A65" w:rsidP="00F40A65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hAnsi="Book Antiqua"/>
                <w:sz w:val="20"/>
                <w:szCs w:val="20"/>
                <w:lang w:eastAsia="ar-SA"/>
              </w:rPr>
              <w:t xml:space="preserve">Podľa aktuálnej právnej úpravy </w:t>
            </w:r>
            <w:r w:rsidR="006F0EC7" w:rsidRPr="00511A7D">
              <w:rPr>
                <w:rFonts w:ascii="Book Antiqua" w:hAnsi="Book Antiqua"/>
                <w:sz w:val="20"/>
                <w:szCs w:val="20"/>
                <w:lang w:eastAsia="ar-SA"/>
              </w:rPr>
              <w:t xml:space="preserve">nie je možné poberateľom dôchodku vyplatiť 13. dôchodok vo výške priemerného starobného </w:t>
            </w:r>
            <w:r w:rsidR="00BC6D70" w:rsidRPr="00511A7D">
              <w:rPr>
                <w:rFonts w:ascii="Book Antiqua" w:hAnsi="Book Antiqua"/>
                <w:sz w:val="20"/>
                <w:szCs w:val="20"/>
                <w:lang w:eastAsia="ar-SA"/>
              </w:rPr>
              <w:t>dôchodku už v tomto roku</w:t>
            </w:r>
          </w:p>
        </w:tc>
      </w:tr>
      <w:tr w:rsidR="00F40A65" w:rsidRPr="00511A7D" w14:paraId="7335250A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3C838BB" w14:textId="77777777" w:rsidR="00F40A65" w:rsidRPr="00511A7D" w:rsidRDefault="00F40A65" w:rsidP="00F40A65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Ciele a výsledný stav</w:t>
            </w:r>
          </w:p>
        </w:tc>
      </w:tr>
      <w:tr w:rsidR="00F40A65" w:rsidRPr="00511A7D" w14:paraId="3175AFC7" w14:textId="77777777" w:rsidTr="00144712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21307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29A72F73" w14:textId="77777777" w:rsidR="00D44CF6" w:rsidRPr="00511A7D" w:rsidRDefault="00D44CF6" w:rsidP="00F40A65">
            <w:pPr>
              <w:jc w:val="both"/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</w:pPr>
          </w:p>
          <w:p w14:paraId="5EC11CAB" w14:textId="082A83CA" w:rsidR="00F40A65" w:rsidRPr="00511A7D" w:rsidRDefault="00BC6D70" w:rsidP="00D44CF6">
            <w:pPr>
              <w:jc w:val="both"/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K</w:t>
            </w:r>
            <w:r w:rsidR="00F40A65" w:rsidRPr="00511A7D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ompenzácia nižšej sumy 13. dôchodku vyplateného v roku 2023.</w:t>
            </w:r>
          </w:p>
        </w:tc>
      </w:tr>
      <w:tr w:rsidR="00F40A65" w:rsidRPr="00511A7D" w14:paraId="154CA8B4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AE52F1A" w14:textId="77777777" w:rsidR="00F40A65" w:rsidRPr="00511A7D" w:rsidRDefault="00F40A65" w:rsidP="00F40A65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Dotknuté subjekty</w:t>
            </w:r>
          </w:p>
        </w:tc>
      </w:tr>
      <w:tr w:rsidR="00F40A65" w:rsidRPr="00511A7D" w14:paraId="5CAF7E7D" w14:textId="77777777" w:rsidTr="00144712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F97DE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02DDBAC0" w14:textId="77777777" w:rsidR="00D44CF6" w:rsidRPr="00511A7D" w:rsidRDefault="00D44CF6" w:rsidP="00F40A65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  <w:p w14:paraId="1529F1E8" w14:textId="3F2829F0" w:rsidR="00F40A65" w:rsidRPr="00511A7D" w:rsidRDefault="00F40A65" w:rsidP="00F40A65">
            <w:pPr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Poberatelia dôchodku, ktorí majú nárok na 13. dôchodok,</w:t>
            </w:r>
          </w:p>
          <w:p w14:paraId="0534FBE0" w14:textId="0F521412" w:rsidR="00F40A65" w:rsidRPr="00511A7D" w:rsidRDefault="00F40A65" w:rsidP="00F40A65">
            <w:pPr>
              <w:rPr>
                <w:rFonts w:ascii="Book Antiqua" w:eastAsia="Times New Roman" w:hAnsi="Book Antiqua" w:cs="Times New Roman"/>
                <w:b/>
                <w:iCs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Orgány verejnej správy, ktoré vyplácajú 13. dôchodok.</w:t>
            </w:r>
          </w:p>
        </w:tc>
      </w:tr>
      <w:tr w:rsidR="00F40A65" w:rsidRPr="00511A7D" w14:paraId="00D33184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3947181" w14:textId="77777777" w:rsidR="00F40A65" w:rsidRPr="00511A7D" w:rsidRDefault="00F40A65" w:rsidP="00F40A65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Alternatívne riešenia</w:t>
            </w:r>
          </w:p>
        </w:tc>
      </w:tr>
      <w:tr w:rsidR="00F40A65" w:rsidRPr="00511A7D" w14:paraId="7692DAAD" w14:textId="77777777" w:rsidTr="00144712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F2AAF" w14:textId="77777777" w:rsidR="00D44CF6" w:rsidRPr="00511A7D" w:rsidRDefault="00D44CF6" w:rsidP="00D44CF6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7ED877F3" w14:textId="77777777" w:rsidR="00F40A65" w:rsidRPr="00511A7D" w:rsidRDefault="00F40A65" w:rsidP="00F40A65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  <w:p w14:paraId="45C37601" w14:textId="4CA9E5DB" w:rsidR="00D44CF6" w:rsidRPr="00511A7D" w:rsidRDefault="00D44CF6" w:rsidP="00F40A65">
            <w:pPr>
              <w:jc w:val="both"/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 xml:space="preserve">Nulový variant – neprijatie právnej úpravy by </w:t>
            </w:r>
            <w:r w:rsidR="00BC6D70" w:rsidRPr="00511A7D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znamenalo nevyplatenie 13. dôchodku vo výške priemerného starobného dôchodku za rok 2023.</w:t>
            </w:r>
          </w:p>
        </w:tc>
      </w:tr>
      <w:tr w:rsidR="00F40A65" w:rsidRPr="00511A7D" w14:paraId="6B0FF6EA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ADC28A3" w14:textId="77777777" w:rsidR="00F40A65" w:rsidRPr="00511A7D" w:rsidRDefault="00F40A65" w:rsidP="00F40A65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Vykonávacie predpisy</w:t>
            </w:r>
          </w:p>
        </w:tc>
      </w:tr>
      <w:tr w:rsidR="00F40A65" w:rsidRPr="00511A7D" w14:paraId="551D45AD" w14:textId="77777777" w:rsidTr="00144712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05908" w14:textId="77777777" w:rsidR="00F40A65" w:rsidRPr="00511A7D" w:rsidRDefault="00F40A65" w:rsidP="00F40A65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CE462A4" w14:textId="77777777" w:rsidR="00F40A65" w:rsidRPr="00511A7D" w:rsidRDefault="00D56240" w:rsidP="00F40A65">
            <w:pPr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eastAsia="Times New Roman" w:hAnsi="Book Antiqua" w:cs="Times New Roman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A65"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F40A65"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0A92C81" w14:textId="56054EA2" w:rsidR="00F40A65" w:rsidRPr="00511A7D" w:rsidRDefault="00D56240" w:rsidP="00F40A65">
            <w:pPr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eastAsia="Times New Roman" w:hAnsi="Book Antiqua" w:cs="Times New Roman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A65"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F40A65"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F40A65" w:rsidRPr="00511A7D" w14:paraId="0EC87A1D" w14:textId="77777777" w:rsidTr="00144712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6DE81" w14:textId="77777777" w:rsidR="00F40A65" w:rsidRPr="00511A7D" w:rsidRDefault="00F40A65" w:rsidP="00F40A65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2592E0D8" w14:textId="77777777" w:rsidR="00F40A65" w:rsidRPr="00511A7D" w:rsidRDefault="00F40A65" w:rsidP="00F40A65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</w:p>
        </w:tc>
      </w:tr>
      <w:tr w:rsidR="00F40A65" w:rsidRPr="00511A7D" w14:paraId="1EDEC3F7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C01747D" w14:textId="77777777" w:rsidR="00F40A65" w:rsidRPr="00511A7D" w:rsidRDefault="00F40A65" w:rsidP="00F40A65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 xml:space="preserve">Transpozícia práva EÚ </w:t>
            </w:r>
          </w:p>
        </w:tc>
      </w:tr>
      <w:tr w:rsidR="00D44CF6" w:rsidRPr="00511A7D" w14:paraId="118D667E" w14:textId="77777777" w:rsidTr="00144712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5FA63132" w14:textId="77777777" w:rsidR="00D44CF6" w:rsidRPr="00511A7D" w:rsidRDefault="00D44CF6" w:rsidP="00D44CF6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531BB2A9" w14:textId="77777777" w:rsidR="00D44CF6" w:rsidRPr="00511A7D" w:rsidRDefault="00D44CF6" w:rsidP="00D44CF6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  <w:p w14:paraId="6310AB6D" w14:textId="3F780C72" w:rsidR="00D44CF6" w:rsidRPr="00511A7D" w:rsidRDefault="00D44CF6" w:rsidP="00D44CF6">
            <w:pPr>
              <w:jc w:val="both"/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bezpredmetné</w:t>
            </w:r>
          </w:p>
        </w:tc>
      </w:tr>
      <w:tr w:rsidR="00D44CF6" w:rsidRPr="00511A7D" w14:paraId="6C8A99B6" w14:textId="77777777" w:rsidTr="00144712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1A6D8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</w:p>
        </w:tc>
      </w:tr>
      <w:tr w:rsidR="00D44CF6" w:rsidRPr="00511A7D" w14:paraId="24F43567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C37D507" w14:textId="77777777" w:rsidR="00D44CF6" w:rsidRPr="00511A7D" w:rsidRDefault="00D44CF6" w:rsidP="00D44CF6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Preskúmanie účelnosti</w:t>
            </w:r>
          </w:p>
        </w:tc>
      </w:tr>
      <w:tr w:rsidR="00D44CF6" w:rsidRPr="00511A7D" w14:paraId="2AF11B26" w14:textId="77777777" w:rsidTr="00144712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16B50" w14:textId="10C54067" w:rsidR="00D44CF6" w:rsidRPr="00511A7D" w:rsidRDefault="00D44CF6" w:rsidP="00D44CF6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2E252AC2" w14:textId="38FC60F1" w:rsidR="00D44CF6" w:rsidRPr="00511A7D" w:rsidRDefault="00D44CF6" w:rsidP="00D44CF6">
            <w:pPr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Po vyplatení 13. dôchodku v roku 2025.</w:t>
            </w:r>
          </w:p>
          <w:p w14:paraId="68729832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  <w:p w14:paraId="7C6EAD0E" w14:textId="2AED30B7" w:rsidR="00D44CF6" w:rsidRPr="00511A7D" w:rsidRDefault="00D44CF6" w:rsidP="00D44CF6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3CF1FFDA" w14:textId="32B16AF9" w:rsidR="00D44CF6" w:rsidRPr="00511A7D" w:rsidRDefault="00D44CF6" w:rsidP="00D44CF6">
            <w:pPr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Zlepšenie životnej úrovne poberateľov 13. dôchodku.</w:t>
            </w:r>
          </w:p>
        </w:tc>
      </w:tr>
      <w:tr w:rsidR="00D44CF6" w:rsidRPr="00511A7D" w14:paraId="0C237BC0" w14:textId="77777777" w:rsidTr="00144712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EAB492F" w14:textId="77777777" w:rsidR="00D44CF6" w:rsidRPr="00511A7D" w:rsidRDefault="00D44CF6" w:rsidP="00D44CF6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Vybrané vplyvy materiálu</w:t>
            </w:r>
          </w:p>
        </w:tc>
      </w:tr>
      <w:tr w:rsidR="00D44CF6" w:rsidRPr="00511A7D" w14:paraId="2AAC2FAE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84F28FA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FE3C974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0B41753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7EF76C3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8ABE5BD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5997344" w14:textId="0B3092EE" w:rsidR="00D44CF6" w:rsidRPr="00511A7D" w:rsidRDefault="00D44CF6" w:rsidP="00D44CF6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E7D390" w14:textId="77777777" w:rsidR="00D44CF6" w:rsidRPr="00511A7D" w:rsidRDefault="00D44CF6" w:rsidP="00D44CF6">
            <w:pPr>
              <w:ind w:left="34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44CF6" w:rsidRPr="00511A7D" w14:paraId="79659DA2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AADDD23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lastRenderedPageBreak/>
              <w:t xml:space="preserve">    z toho rozpočtovo zabezpečené vplyvy,         </w:t>
            </w:r>
          </w:p>
          <w:p w14:paraId="6B0940A8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D026F08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16A6571" w14:textId="5BEF0C3F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C26A3B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2722C88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2321BE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BD242AE" w14:textId="77777777" w:rsidR="00D44CF6" w:rsidRPr="00511A7D" w:rsidRDefault="00D44CF6" w:rsidP="00D44CF6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54B9B9" w14:textId="77777777" w:rsidR="00D44CF6" w:rsidRPr="00511A7D" w:rsidRDefault="00D44CF6" w:rsidP="00D44CF6">
            <w:pPr>
              <w:ind w:left="34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44CF6" w:rsidRPr="00511A7D" w14:paraId="57E43115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A5D4F3B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8B55C2D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9E3111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CD49CB" w14:textId="6AFF368F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94CACF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4354DC6" w14:textId="77777777" w:rsidR="00D44CF6" w:rsidRPr="00511A7D" w:rsidRDefault="00D44CF6" w:rsidP="00D44CF6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BF59865" w14:textId="77777777" w:rsidR="00D44CF6" w:rsidRPr="00511A7D" w:rsidRDefault="00D44CF6" w:rsidP="00D44CF6">
            <w:pPr>
              <w:ind w:left="34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44CF6" w:rsidRPr="00511A7D" w14:paraId="1CB6D4BC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683BDD06" w14:textId="77777777" w:rsidR="00D44CF6" w:rsidRPr="00511A7D" w:rsidRDefault="00D44CF6" w:rsidP="00D44CF6">
            <w:pPr>
              <w:ind w:left="171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5B9B2CAF" w14:textId="77777777" w:rsidR="00D44CF6" w:rsidRPr="00511A7D" w:rsidRDefault="00D44CF6" w:rsidP="00D44CF6">
            <w:pPr>
              <w:ind w:left="171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B0E18ED" w14:textId="4803F375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DF36C2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C44714B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BB024B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953CBFD" w14:textId="77777777" w:rsidR="00D44CF6" w:rsidRPr="00511A7D" w:rsidRDefault="00D44CF6" w:rsidP="00D44CF6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C59376" w14:textId="77777777" w:rsidR="00D44CF6" w:rsidRPr="00511A7D" w:rsidRDefault="00D44CF6" w:rsidP="00D44CF6">
            <w:pPr>
              <w:ind w:left="34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44CF6" w:rsidRPr="00511A7D" w14:paraId="55A21609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D0BF2FC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E757A59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E38924" w14:textId="77777777" w:rsidR="00D44CF6" w:rsidRPr="00511A7D" w:rsidRDefault="00D44CF6" w:rsidP="00D44CF6">
            <w:pPr>
              <w:ind w:right="-108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310F7A2" w14:textId="5AE9027A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F8B540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C4E4951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5F85EF" w14:textId="77777777" w:rsidR="00D44CF6" w:rsidRPr="00511A7D" w:rsidRDefault="00D44CF6" w:rsidP="00D44CF6">
            <w:pPr>
              <w:ind w:left="54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44CF6" w:rsidRPr="00511A7D" w14:paraId="54272019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6344CFB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A20BC" w14:textId="77777777" w:rsidR="00D44CF6" w:rsidRPr="00511A7D" w:rsidRDefault="00D44CF6" w:rsidP="00D44CF6">
            <w:pPr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6A72F" w14:textId="77777777" w:rsidR="00D44CF6" w:rsidRPr="00511A7D" w:rsidRDefault="00D44CF6" w:rsidP="00D44CF6">
            <w:pPr>
              <w:ind w:right="-108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89C94" w14:textId="77777777" w:rsidR="00D44CF6" w:rsidRPr="00511A7D" w:rsidRDefault="00D44CF6" w:rsidP="00D44CF6">
            <w:pPr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B9FD2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F351F" w14:textId="77777777" w:rsidR="00D44CF6" w:rsidRPr="00511A7D" w:rsidRDefault="00D44CF6" w:rsidP="00D44CF6">
            <w:pPr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CD71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44CF6" w:rsidRPr="00511A7D" w14:paraId="25747FFF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C0733D3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B5C1033" w14:textId="4690E412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659C1" w14:textId="77777777" w:rsidR="00D44CF6" w:rsidRPr="00511A7D" w:rsidRDefault="00D44CF6" w:rsidP="00D44CF6">
            <w:pPr>
              <w:ind w:right="-108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10E2A2B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45A10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AFD241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20708" w14:textId="77777777" w:rsidR="00D44CF6" w:rsidRPr="00511A7D" w:rsidRDefault="00D44CF6" w:rsidP="00D44CF6">
            <w:pPr>
              <w:ind w:left="54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44CF6" w:rsidRPr="00511A7D" w14:paraId="09E68518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5F150F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7B79580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F1A0F" w14:textId="77777777" w:rsidR="00D44CF6" w:rsidRPr="00511A7D" w:rsidRDefault="00D44CF6" w:rsidP="00D44CF6">
            <w:pPr>
              <w:ind w:right="-108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7C76620" w14:textId="7D6881E6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5A7B4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91F6236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75F79" w14:textId="77777777" w:rsidR="00D44CF6" w:rsidRPr="00511A7D" w:rsidRDefault="00D44CF6" w:rsidP="00D44CF6">
            <w:pPr>
              <w:ind w:left="54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44CF6" w:rsidRPr="00511A7D" w14:paraId="21139669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8C9EEA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CB975DD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B66B1" w14:textId="77777777" w:rsidR="00D44CF6" w:rsidRPr="00511A7D" w:rsidRDefault="00D44CF6" w:rsidP="00D44CF6">
            <w:pPr>
              <w:ind w:right="-108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ECF721C" w14:textId="107DC64F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985E5" w14:textId="77777777" w:rsidR="00D44CF6" w:rsidRPr="00511A7D" w:rsidRDefault="00D44CF6" w:rsidP="00D44CF6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072876B" w14:textId="77777777" w:rsidR="00D44CF6" w:rsidRPr="00511A7D" w:rsidRDefault="00D44CF6" w:rsidP="00D44CF6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1FD00" w14:textId="77777777" w:rsidR="00D44CF6" w:rsidRPr="00511A7D" w:rsidRDefault="00D44CF6" w:rsidP="00D44CF6">
            <w:pPr>
              <w:ind w:left="54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F40A65" w:rsidRPr="00511A7D" w14:paraId="450507EF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77DF079" w14:textId="77777777" w:rsidR="00F40A65" w:rsidRPr="00511A7D" w:rsidRDefault="00F40A65" w:rsidP="0014471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511A7D">
              <w:rPr>
                <w:rFonts w:ascii="Book Antiqua" w:hAnsi="Book Antiqua" w:cs="Times New Roman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7EF986" w14:textId="77777777" w:rsidR="00F40A65" w:rsidRPr="00511A7D" w:rsidRDefault="00F40A65" w:rsidP="00144712">
            <w:pPr>
              <w:spacing w:after="0" w:line="240" w:lineRule="auto"/>
              <w:rPr>
                <w:rFonts w:ascii="Book Antiqua" w:eastAsia="MS Mincho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37398E" w14:textId="77777777" w:rsidR="00F40A65" w:rsidRPr="00511A7D" w:rsidRDefault="00F40A65" w:rsidP="00144712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A7FF6A" w14:textId="77777777" w:rsidR="00F40A65" w:rsidRPr="00511A7D" w:rsidRDefault="00F40A65" w:rsidP="00144712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FE3EAD" w14:textId="77777777" w:rsidR="00F40A65" w:rsidRPr="00511A7D" w:rsidRDefault="00F40A65" w:rsidP="0014471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B76363" w14:textId="77777777" w:rsidR="00F40A65" w:rsidRPr="00511A7D" w:rsidRDefault="00F40A65" w:rsidP="00144712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6CC66E" w14:textId="77777777" w:rsidR="00F40A65" w:rsidRPr="00511A7D" w:rsidRDefault="00F40A65" w:rsidP="00144712">
            <w:pPr>
              <w:spacing w:after="0" w:line="240" w:lineRule="auto"/>
              <w:ind w:left="54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</w:p>
        </w:tc>
      </w:tr>
      <w:tr w:rsidR="00F40A65" w:rsidRPr="00511A7D" w14:paraId="62C58BB1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D0E2879" w14:textId="77777777" w:rsidR="00F40A65" w:rsidRPr="00511A7D" w:rsidRDefault="00F40A65" w:rsidP="00144712">
            <w:pPr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333AEA7" w14:textId="77777777" w:rsidR="00F40A65" w:rsidRPr="00511A7D" w:rsidRDefault="00F40A65" w:rsidP="00144712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0C030E3" w14:textId="77777777" w:rsidR="00F40A65" w:rsidRPr="00511A7D" w:rsidRDefault="00F40A65" w:rsidP="00144712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8201D60" w14:textId="620F055D" w:rsidR="00F40A65" w:rsidRPr="00511A7D" w:rsidRDefault="00F40A65" w:rsidP="00144712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313CC76" w14:textId="77777777" w:rsidR="00F40A65" w:rsidRPr="00511A7D" w:rsidRDefault="00F40A65" w:rsidP="0014471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9978EFB" w14:textId="77777777" w:rsidR="00F40A65" w:rsidRPr="00511A7D" w:rsidRDefault="00F40A65" w:rsidP="00144712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54EAEE" w14:textId="77777777" w:rsidR="00F40A65" w:rsidRPr="00511A7D" w:rsidRDefault="00F40A65" w:rsidP="00144712">
            <w:pPr>
              <w:spacing w:after="0" w:line="240" w:lineRule="auto"/>
              <w:ind w:left="54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F40A65" w:rsidRPr="00511A7D" w14:paraId="137AD44C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F8D0055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F52A075" w14:textId="77777777" w:rsidR="00F40A65" w:rsidRPr="00511A7D" w:rsidRDefault="00F40A65" w:rsidP="00144712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291B4" w14:textId="77777777" w:rsidR="00F40A65" w:rsidRPr="00511A7D" w:rsidRDefault="00F40A65" w:rsidP="00144712">
            <w:pPr>
              <w:ind w:right="-108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FC8121" w14:textId="5845EADD" w:rsidR="00F40A65" w:rsidRPr="00511A7D" w:rsidRDefault="00F40A65" w:rsidP="00144712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F2A78F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2C0E4" w14:textId="77777777" w:rsidR="00F40A65" w:rsidRPr="00511A7D" w:rsidRDefault="00F40A65" w:rsidP="00144712">
                <w:pPr>
                  <w:jc w:val="center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  <w:lang w:eastAsia="sk-SK"/>
                  </w:rPr>
                </w:pPr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9731" w14:textId="77777777" w:rsidR="00F40A65" w:rsidRPr="00511A7D" w:rsidRDefault="00F40A65" w:rsidP="00144712">
            <w:pPr>
              <w:ind w:left="54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A2F2280" w14:textId="77777777" w:rsidR="00F40A65" w:rsidRPr="00511A7D" w:rsidRDefault="00F40A65" w:rsidP="00F40A65">
      <w:pPr>
        <w:spacing w:after="0" w:line="240" w:lineRule="auto"/>
        <w:ind w:right="141"/>
        <w:rPr>
          <w:rFonts w:ascii="Book Antiqua" w:eastAsia="Times New Roman" w:hAnsi="Book Antiqua" w:cs="Times New Roman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F40A65" w:rsidRPr="00511A7D" w14:paraId="462E3E82" w14:textId="77777777" w:rsidTr="0014471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D4B8B5D" w14:textId="77777777" w:rsidR="00F40A65" w:rsidRPr="00511A7D" w:rsidRDefault="00F40A65" w:rsidP="00F40A65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Poznámky</w:t>
            </w:r>
          </w:p>
        </w:tc>
      </w:tr>
      <w:tr w:rsidR="00F40A65" w:rsidRPr="00511A7D" w14:paraId="7B272B3D" w14:textId="77777777" w:rsidTr="0014471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5F9C" w14:textId="29F3E92E" w:rsidR="00F40A65" w:rsidRPr="00511A7D" w:rsidRDefault="00F40A65" w:rsidP="00F40A65">
            <w:pPr>
              <w:spacing w:before="120" w:line="276" w:lineRule="auto"/>
              <w:jc w:val="both"/>
              <w:rPr>
                <w:rFonts w:ascii="Book Antiqua" w:hAnsi="Book Antiqua"/>
                <w:sz w:val="20"/>
                <w:szCs w:val="20"/>
                <w:lang w:eastAsia="ar-SA"/>
              </w:rPr>
            </w:pPr>
            <w:r w:rsidRPr="00511A7D">
              <w:rPr>
                <w:rFonts w:ascii="Book Antiqua" w:hAnsi="Book Antiqua"/>
                <w:sz w:val="20"/>
                <w:szCs w:val="20"/>
                <w:lang w:eastAsia="ar-SA"/>
              </w:rPr>
              <w:t xml:space="preserve">Návrh zákona má negatívny vplyv na rozpočet verejnej správy, </w:t>
            </w:r>
            <w:r w:rsidR="00BC6D70" w:rsidRPr="00511A7D">
              <w:rPr>
                <w:rFonts w:ascii="Book Antiqua" w:hAnsi="Book Antiqua"/>
                <w:sz w:val="20"/>
                <w:szCs w:val="20"/>
                <w:lang w:eastAsia="ar-SA"/>
              </w:rPr>
              <w:t>keďže sa zavádza príplatok k 13. dôchodku.</w:t>
            </w:r>
          </w:p>
          <w:p w14:paraId="297A48B8" w14:textId="325F32BA" w:rsidR="00F40A65" w:rsidRPr="00511A7D" w:rsidRDefault="00F40A65" w:rsidP="00BC6D70">
            <w:pPr>
              <w:spacing w:before="120" w:line="276" w:lineRule="auto"/>
              <w:jc w:val="both"/>
              <w:rPr>
                <w:rFonts w:ascii="Book Antiqua" w:eastAsia="Times New Roman" w:hAnsi="Book Antiqua"/>
                <w:sz w:val="20"/>
                <w:szCs w:val="20"/>
              </w:rPr>
            </w:pPr>
            <w:r w:rsidRPr="00511A7D">
              <w:rPr>
                <w:rFonts w:ascii="Book Antiqua" w:hAnsi="Book Antiqua"/>
                <w:sz w:val="20"/>
                <w:szCs w:val="20"/>
                <w:lang w:eastAsia="ar-SA"/>
              </w:rPr>
              <w:t xml:space="preserve">Pri použití údajov dostupných k septembru 2023 by boli negatívne dopady na rozpočet verejnej správy v roku 2024 vo výške </w:t>
            </w:r>
            <w:r w:rsidRPr="00511A7D">
              <w:rPr>
                <w:rFonts w:ascii="Book Antiqua" w:eastAsia="Times New Roman" w:hAnsi="Book Antiqua"/>
                <w:sz w:val="20"/>
                <w:szCs w:val="20"/>
              </w:rPr>
              <w:t>809 603 200 eur.</w:t>
            </w:r>
          </w:p>
          <w:p w14:paraId="53448F49" w14:textId="66D3BADB" w:rsidR="00F40A65" w:rsidRPr="00511A7D" w:rsidRDefault="00D44CF6" w:rsidP="00F40A65">
            <w:pPr>
              <w:spacing w:before="120" w:line="276" w:lineRule="auto"/>
              <w:jc w:val="both"/>
              <w:rPr>
                <w:rFonts w:ascii="Book Antiqua" w:eastAsia="Times New Roman" w:hAnsi="Book Antiqua"/>
                <w:sz w:val="20"/>
                <w:szCs w:val="20"/>
              </w:rPr>
            </w:pPr>
            <w:r w:rsidRPr="00511A7D">
              <w:rPr>
                <w:rFonts w:ascii="Book Antiqua" w:eastAsia="Times New Roman" w:hAnsi="Book Antiqua"/>
                <w:sz w:val="20"/>
                <w:szCs w:val="20"/>
              </w:rPr>
              <w:t>V dôsledku nižšieho deficitu štátneho rozpočtu ako bolo v roku 2023 plánované (5,6% oproti 6,4%) má štát k dispozícii 1,1 miliardy EUR, z ktorých môže vyplatiť</w:t>
            </w:r>
            <w:r w:rsidR="00BC6D70" w:rsidRPr="00511A7D">
              <w:rPr>
                <w:rFonts w:ascii="Book Antiqua" w:eastAsia="Times New Roman" w:hAnsi="Book Antiqua"/>
                <w:sz w:val="20"/>
                <w:szCs w:val="20"/>
              </w:rPr>
              <w:t xml:space="preserve"> príplatok</w:t>
            </w:r>
            <w:r w:rsidRPr="00511A7D">
              <w:rPr>
                <w:rFonts w:ascii="Book Antiqua" w:eastAsia="Times New Roman" w:hAnsi="Book Antiqua"/>
                <w:sz w:val="20"/>
                <w:szCs w:val="20"/>
              </w:rPr>
              <w:t xml:space="preserve"> 13. dôchodk</w:t>
            </w:r>
            <w:r w:rsidR="00BC6D70" w:rsidRPr="00511A7D">
              <w:rPr>
                <w:rFonts w:ascii="Book Antiqua" w:eastAsia="Times New Roman" w:hAnsi="Book Antiqua"/>
                <w:sz w:val="20"/>
                <w:szCs w:val="20"/>
              </w:rPr>
              <w:t>om.</w:t>
            </w:r>
            <w:r w:rsidRPr="00511A7D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r w:rsidR="00F40A65" w:rsidRPr="00511A7D">
              <w:rPr>
                <w:rFonts w:ascii="Book Antiqua" w:eastAsia="Times New Roman" w:hAnsi="Book Antiqua"/>
                <w:sz w:val="20"/>
                <w:szCs w:val="20"/>
              </w:rPr>
              <w:t>Negatívny vplyv na rozpočet verejnej správy</w:t>
            </w:r>
            <w:r w:rsidRPr="00511A7D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r w:rsidR="00F40A65" w:rsidRPr="00511A7D">
              <w:rPr>
                <w:rFonts w:ascii="Book Antiqua" w:eastAsia="Times New Roman" w:hAnsi="Book Antiqua"/>
                <w:sz w:val="20"/>
                <w:szCs w:val="20"/>
              </w:rPr>
              <w:t xml:space="preserve">bude </w:t>
            </w:r>
            <w:r w:rsidR="006C3FC0" w:rsidRPr="00511A7D">
              <w:rPr>
                <w:rFonts w:ascii="Book Antiqua" w:eastAsia="Times New Roman" w:hAnsi="Book Antiqua"/>
                <w:sz w:val="20"/>
                <w:szCs w:val="20"/>
              </w:rPr>
              <w:t xml:space="preserve">teda </w:t>
            </w:r>
            <w:r w:rsidR="00F40A65" w:rsidRPr="00511A7D">
              <w:rPr>
                <w:rFonts w:ascii="Book Antiqua" w:eastAsia="Times New Roman" w:hAnsi="Book Antiqua"/>
                <w:sz w:val="20"/>
                <w:szCs w:val="20"/>
              </w:rPr>
              <w:t>kompenzovaný lepším hospodárením štátu.</w:t>
            </w:r>
          </w:p>
          <w:p w14:paraId="7EEA3CB0" w14:textId="5867EBA2" w:rsidR="00F40A65" w:rsidRPr="00511A7D" w:rsidRDefault="00F40A65" w:rsidP="00F40A65">
            <w:pPr>
              <w:spacing w:before="120" w:line="276" w:lineRule="auto"/>
              <w:jc w:val="both"/>
              <w:rPr>
                <w:rFonts w:ascii="Book Antiqua" w:hAnsi="Book Antiqua"/>
                <w:i/>
                <w:iCs/>
                <w:lang w:eastAsia="ar-SA"/>
              </w:rPr>
            </w:pPr>
            <w:r w:rsidRPr="00511A7D">
              <w:rPr>
                <w:rFonts w:ascii="Book Antiqua" w:hAnsi="Book Antiqua"/>
                <w:sz w:val="20"/>
                <w:szCs w:val="20"/>
                <w:lang w:eastAsia="ar-SA"/>
              </w:rPr>
              <w:t>Návrh zákona má</w:t>
            </w:r>
            <w:r w:rsidR="00D44CF6" w:rsidRPr="00511A7D">
              <w:rPr>
                <w:rFonts w:ascii="Book Antiqua" w:hAnsi="Book Antiqua"/>
                <w:sz w:val="20"/>
                <w:szCs w:val="20"/>
                <w:lang w:eastAsia="ar-SA"/>
              </w:rPr>
              <w:t xml:space="preserve"> výrazne</w:t>
            </w:r>
            <w:r w:rsidRPr="00511A7D">
              <w:rPr>
                <w:rFonts w:ascii="Book Antiqua" w:hAnsi="Book Antiqua"/>
                <w:sz w:val="20"/>
                <w:szCs w:val="20"/>
                <w:lang w:eastAsia="ar-SA"/>
              </w:rPr>
              <w:t xml:space="preserve"> pozitívne sociálne vplyvy</w:t>
            </w:r>
            <w:r w:rsidR="00D44CF6" w:rsidRPr="00511A7D">
              <w:rPr>
                <w:rFonts w:ascii="Book Antiqua" w:hAnsi="Book Antiqua"/>
                <w:sz w:val="20"/>
                <w:szCs w:val="20"/>
                <w:lang w:eastAsia="ar-SA"/>
              </w:rPr>
              <w:t>,</w:t>
            </w:r>
            <w:r w:rsidRPr="00511A7D">
              <w:rPr>
                <w:rFonts w:ascii="Book Antiqua" w:hAnsi="Book Antiqua"/>
                <w:sz w:val="20"/>
                <w:szCs w:val="20"/>
                <w:lang w:eastAsia="ar-SA"/>
              </w:rPr>
              <w:t xml:space="preserve"> najmä na hospodárenie obyvateľstva a sociálnu </w:t>
            </w:r>
            <w:proofErr w:type="spellStart"/>
            <w:r w:rsidRPr="00511A7D">
              <w:rPr>
                <w:rFonts w:ascii="Book Antiqua" w:hAnsi="Book Antiqua"/>
                <w:sz w:val="20"/>
                <w:szCs w:val="20"/>
                <w:lang w:eastAsia="ar-SA"/>
              </w:rPr>
              <w:t>exklúziu</w:t>
            </w:r>
            <w:proofErr w:type="spellEnd"/>
            <w:r w:rsidRPr="00511A7D">
              <w:rPr>
                <w:rFonts w:ascii="Book Antiqua" w:hAnsi="Book Antiqua"/>
                <w:sz w:val="20"/>
                <w:szCs w:val="20"/>
                <w:lang w:eastAsia="ar-SA"/>
              </w:rPr>
              <w:t>.</w:t>
            </w:r>
          </w:p>
        </w:tc>
      </w:tr>
      <w:tr w:rsidR="00F40A65" w:rsidRPr="00511A7D" w14:paraId="6ABEB265" w14:textId="77777777" w:rsidTr="00144712">
        <w:tc>
          <w:tcPr>
            <w:tcW w:w="9176" w:type="dxa"/>
          </w:tcPr>
          <w:p w14:paraId="28B2B461" w14:textId="77777777" w:rsidR="00F40A65" w:rsidRPr="00511A7D" w:rsidRDefault="00F40A65" w:rsidP="00F40A65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 xml:space="preserve">Kontakt na spracovateľa/súčinnosť </w:t>
            </w:r>
          </w:p>
        </w:tc>
      </w:tr>
      <w:tr w:rsidR="00F40A65" w:rsidRPr="00511A7D" w14:paraId="1F84D06B" w14:textId="77777777" w:rsidTr="00144712">
        <w:trPr>
          <w:trHeight w:val="586"/>
        </w:trPr>
        <w:tc>
          <w:tcPr>
            <w:tcW w:w="9176" w:type="dxa"/>
          </w:tcPr>
          <w:p w14:paraId="30CEBFA2" w14:textId="3F960401" w:rsidR="00F40A65" w:rsidRPr="00511A7D" w:rsidRDefault="00F40A65" w:rsidP="00144712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069A75C2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  <w:p w14:paraId="6EA44706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2F45B02F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F40A65" w:rsidRPr="00511A7D" w14:paraId="3A65A929" w14:textId="77777777" w:rsidTr="00144712">
        <w:tc>
          <w:tcPr>
            <w:tcW w:w="9176" w:type="dxa"/>
          </w:tcPr>
          <w:p w14:paraId="453C6E70" w14:textId="77777777" w:rsidR="00F40A65" w:rsidRPr="00511A7D" w:rsidRDefault="00F40A65" w:rsidP="00F40A65">
            <w:pPr>
              <w:numPr>
                <w:ilvl w:val="0"/>
                <w:numId w:val="11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511A7D">
              <w:rPr>
                <w:rFonts w:ascii="Book Antiqua" w:eastAsia="Calibri" w:hAnsi="Book Antiqua" w:cs="Times New Roman"/>
                <w:b/>
              </w:rPr>
              <w:t>Stanovisko gestorov</w:t>
            </w:r>
          </w:p>
        </w:tc>
      </w:tr>
      <w:tr w:rsidR="00F40A65" w:rsidRPr="00511A7D" w14:paraId="79CE3FB7" w14:textId="77777777" w:rsidTr="00144712">
        <w:trPr>
          <w:trHeight w:val="401"/>
        </w:trPr>
        <w:tc>
          <w:tcPr>
            <w:tcW w:w="9176" w:type="dxa"/>
          </w:tcPr>
          <w:p w14:paraId="69176801" w14:textId="0823D0B9" w:rsidR="00F40A65" w:rsidRPr="00511A7D" w:rsidRDefault="00F40A65" w:rsidP="00144712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Stanovisko Ministerstva financií SR</w:t>
            </w: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priložené</w:t>
            </w:r>
          </w:p>
          <w:p w14:paraId="41FDCD99" w14:textId="54811DA2" w:rsidR="00F40A65" w:rsidRPr="00511A7D" w:rsidRDefault="00F40A65" w:rsidP="00144712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A7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511A7D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40C53B40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697EE9D4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511A7D">
              <w:rPr>
                <w:rFonts w:ascii="Book Antiqua" w:eastAsia="Times New Roman" w:hAnsi="Book Antiqua" w:cs="Times New Roman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44DD5337" w14:textId="77777777" w:rsidR="00F40A65" w:rsidRPr="00511A7D" w:rsidRDefault="00F40A65" w:rsidP="00144712">
            <w:pPr>
              <w:rPr>
                <w:rFonts w:ascii="Book Antiqua" w:eastAsia="Times New Roman" w:hAnsi="Book Antiqua" w:cs="Times New Roman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4BEFDD28" w14:textId="77777777" w:rsidR="00F40A65" w:rsidRPr="00511A7D" w:rsidRDefault="00F40A65" w:rsidP="00AE0A03">
      <w:pPr>
        <w:spacing w:before="120" w:after="0" w:line="276" w:lineRule="auto"/>
        <w:jc w:val="both"/>
        <w:rPr>
          <w:rFonts w:ascii="Book Antiqua" w:hAnsi="Book Antiqua"/>
          <w:b/>
          <w:bCs/>
          <w:lang w:eastAsia="ar-SA"/>
        </w:rPr>
      </w:pPr>
    </w:p>
    <w:sectPr w:rsidR="00F40A65" w:rsidRPr="00511A7D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52837" w14:textId="77777777" w:rsidR="00D56240" w:rsidRDefault="00D56240" w:rsidP="00C97949">
      <w:pPr>
        <w:spacing w:after="0" w:line="240" w:lineRule="auto"/>
      </w:pPr>
      <w:r>
        <w:separator/>
      </w:r>
    </w:p>
  </w:endnote>
  <w:endnote w:type="continuationSeparator" w:id="0">
    <w:p w14:paraId="305D9087" w14:textId="77777777" w:rsidR="00D56240" w:rsidRDefault="00D56240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5111500D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3D3">
          <w:rPr>
            <w:noProof/>
          </w:rPr>
          <w:t>3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AD0FF" w14:textId="77777777" w:rsidR="00D56240" w:rsidRDefault="00D56240" w:rsidP="00C97949">
      <w:pPr>
        <w:spacing w:after="0" w:line="240" w:lineRule="auto"/>
      </w:pPr>
      <w:r>
        <w:separator/>
      </w:r>
    </w:p>
  </w:footnote>
  <w:footnote w:type="continuationSeparator" w:id="0">
    <w:p w14:paraId="5CF950B2" w14:textId="77777777" w:rsidR="00D56240" w:rsidRDefault="00D56240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860"/>
    <w:multiLevelType w:val="hybridMultilevel"/>
    <w:tmpl w:val="4132A086"/>
    <w:lvl w:ilvl="0" w:tplc="9EEA1168">
      <w:start w:val="3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5167A9"/>
    <w:multiLevelType w:val="hybridMultilevel"/>
    <w:tmpl w:val="A25AFD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29E32BE"/>
    <w:multiLevelType w:val="hybridMultilevel"/>
    <w:tmpl w:val="DC064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6B77"/>
    <w:multiLevelType w:val="hybridMultilevel"/>
    <w:tmpl w:val="0C7C2E4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B755AC"/>
    <w:multiLevelType w:val="hybridMultilevel"/>
    <w:tmpl w:val="9606D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077CF"/>
    <w:multiLevelType w:val="hybridMultilevel"/>
    <w:tmpl w:val="623E6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23FB8"/>
    <w:rsid w:val="00046726"/>
    <w:rsid w:val="0005251D"/>
    <w:rsid w:val="000B1076"/>
    <w:rsid w:val="000D7AAE"/>
    <w:rsid w:val="000F6F44"/>
    <w:rsid w:val="001338D5"/>
    <w:rsid w:val="00166219"/>
    <w:rsid w:val="00191F05"/>
    <w:rsid w:val="001A3650"/>
    <w:rsid w:val="001A762C"/>
    <w:rsid w:val="001E15B8"/>
    <w:rsid w:val="001F02BF"/>
    <w:rsid w:val="00255EB4"/>
    <w:rsid w:val="00265BF1"/>
    <w:rsid w:val="00323127"/>
    <w:rsid w:val="00323776"/>
    <w:rsid w:val="0032734C"/>
    <w:rsid w:val="00334D0C"/>
    <w:rsid w:val="00360A1A"/>
    <w:rsid w:val="00381EC0"/>
    <w:rsid w:val="00386510"/>
    <w:rsid w:val="0038768A"/>
    <w:rsid w:val="003B2158"/>
    <w:rsid w:val="003D3E6B"/>
    <w:rsid w:val="00403989"/>
    <w:rsid w:val="00404AB4"/>
    <w:rsid w:val="004064CE"/>
    <w:rsid w:val="004243D3"/>
    <w:rsid w:val="00430AB9"/>
    <w:rsid w:val="004514EC"/>
    <w:rsid w:val="004777CE"/>
    <w:rsid w:val="004811D8"/>
    <w:rsid w:val="004A2B34"/>
    <w:rsid w:val="004D3230"/>
    <w:rsid w:val="004E0F11"/>
    <w:rsid w:val="00511A7D"/>
    <w:rsid w:val="00517DFD"/>
    <w:rsid w:val="005F0011"/>
    <w:rsid w:val="006045CE"/>
    <w:rsid w:val="006143A2"/>
    <w:rsid w:val="006540D6"/>
    <w:rsid w:val="00662B02"/>
    <w:rsid w:val="00674503"/>
    <w:rsid w:val="00687DAD"/>
    <w:rsid w:val="0069020B"/>
    <w:rsid w:val="006A33D7"/>
    <w:rsid w:val="006C3FC0"/>
    <w:rsid w:val="006D1C1F"/>
    <w:rsid w:val="006F0EC7"/>
    <w:rsid w:val="006F2637"/>
    <w:rsid w:val="006F7B9F"/>
    <w:rsid w:val="00716791"/>
    <w:rsid w:val="007253B8"/>
    <w:rsid w:val="007838BE"/>
    <w:rsid w:val="008003F2"/>
    <w:rsid w:val="00802C5B"/>
    <w:rsid w:val="00844FFC"/>
    <w:rsid w:val="00866274"/>
    <w:rsid w:val="008756DD"/>
    <w:rsid w:val="008B1E22"/>
    <w:rsid w:val="00911A32"/>
    <w:rsid w:val="0091505F"/>
    <w:rsid w:val="00925E7F"/>
    <w:rsid w:val="00962AEC"/>
    <w:rsid w:val="00964F40"/>
    <w:rsid w:val="00983F2C"/>
    <w:rsid w:val="00987C87"/>
    <w:rsid w:val="0099219C"/>
    <w:rsid w:val="00993083"/>
    <w:rsid w:val="009A375B"/>
    <w:rsid w:val="009C2F3F"/>
    <w:rsid w:val="00A10234"/>
    <w:rsid w:val="00A5475B"/>
    <w:rsid w:val="00A75AE5"/>
    <w:rsid w:val="00A77F33"/>
    <w:rsid w:val="00A80406"/>
    <w:rsid w:val="00A85BBD"/>
    <w:rsid w:val="00A922C0"/>
    <w:rsid w:val="00A94421"/>
    <w:rsid w:val="00AB1268"/>
    <w:rsid w:val="00AC148A"/>
    <w:rsid w:val="00AE0A03"/>
    <w:rsid w:val="00AF0B6F"/>
    <w:rsid w:val="00B14A4C"/>
    <w:rsid w:val="00B16F89"/>
    <w:rsid w:val="00B576F5"/>
    <w:rsid w:val="00B63A0B"/>
    <w:rsid w:val="00B76A1E"/>
    <w:rsid w:val="00B770AA"/>
    <w:rsid w:val="00BA6AE3"/>
    <w:rsid w:val="00BB6162"/>
    <w:rsid w:val="00BB6AD9"/>
    <w:rsid w:val="00BC6D70"/>
    <w:rsid w:val="00BD2AFF"/>
    <w:rsid w:val="00C00511"/>
    <w:rsid w:val="00C06E62"/>
    <w:rsid w:val="00C45583"/>
    <w:rsid w:val="00C71033"/>
    <w:rsid w:val="00C91684"/>
    <w:rsid w:val="00C97949"/>
    <w:rsid w:val="00CA1C34"/>
    <w:rsid w:val="00D04475"/>
    <w:rsid w:val="00D06348"/>
    <w:rsid w:val="00D306C6"/>
    <w:rsid w:val="00D30840"/>
    <w:rsid w:val="00D44CF6"/>
    <w:rsid w:val="00D53140"/>
    <w:rsid w:val="00D56240"/>
    <w:rsid w:val="00D6657D"/>
    <w:rsid w:val="00DF0CE7"/>
    <w:rsid w:val="00DF1BCB"/>
    <w:rsid w:val="00DF2B12"/>
    <w:rsid w:val="00E01592"/>
    <w:rsid w:val="00E01DD7"/>
    <w:rsid w:val="00E064DE"/>
    <w:rsid w:val="00E22E81"/>
    <w:rsid w:val="00E45D1D"/>
    <w:rsid w:val="00E7509E"/>
    <w:rsid w:val="00E76879"/>
    <w:rsid w:val="00EB20F0"/>
    <w:rsid w:val="00ED6DB9"/>
    <w:rsid w:val="00EF4E37"/>
    <w:rsid w:val="00F1322F"/>
    <w:rsid w:val="00F40A65"/>
    <w:rsid w:val="00F5232F"/>
    <w:rsid w:val="00F648A3"/>
    <w:rsid w:val="00F70678"/>
    <w:rsid w:val="00F72B98"/>
    <w:rsid w:val="00F82401"/>
    <w:rsid w:val="00F87FA8"/>
    <w:rsid w:val="00F9085F"/>
    <w:rsid w:val="00F9609E"/>
    <w:rsid w:val="00FB4833"/>
    <w:rsid w:val="00FD059A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styleId="Mriekatabuky">
    <w:name w:val="Table Grid"/>
    <w:basedOn w:val="Normlnatabuka"/>
    <w:uiPriority w:val="39"/>
    <w:rsid w:val="00D0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F40A6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BDA0D0-5260-43D5-95A6-59C26D0C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Kožár</dc:creator>
  <cp:lastModifiedBy>Klub SLOVENSKO, ZA ĽUDÍ, KÚ</cp:lastModifiedBy>
  <cp:revision>5</cp:revision>
  <dcterms:created xsi:type="dcterms:W3CDTF">2023-11-20T09:00:00Z</dcterms:created>
  <dcterms:modified xsi:type="dcterms:W3CDTF">2023-11-20T13:47:00Z</dcterms:modified>
</cp:coreProperties>
</file>