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CB82" w14:textId="77777777" w:rsidR="005351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b/>
          <w:smallCaps/>
          <w:color w:val="000000"/>
        </w:rPr>
        <w:t>DOLOŽKA</w:t>
      </w:r>
    </w:p>
    <w:p w14:paraId="4ACC0D79" w14:textId="77777777" w:rsidR="005351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>vybraných vplyvov</w:t>
      </w:r>
    </w:p>
    <w:p w14:paraId="112DAD3B" w14:textId="77777777" w:rsidR="00535155" w:rsidRDefault="00535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05B74D8" w14:textId="77777777" w:rsidR="00535155" w:rsidRDefault="00000000">
      <w:pPr>
        <w:jc w:val="both"/>
      </w:pPr>
      <w:r>
        <w:rPr>
          <w:b/>
          <w:color w:val="000000"/>
        </w:rPr>
        <w:t xml:space="preserve">A.1. Názov materiálu: </w:t>
      </w:r>
      <w:r>
        <w:t xml:space="preserve">Návrh zákona, ktorým sa mení a dopĺňa zákon č. 461/2003 Z. z. o sociálnom poistení v znení neskorších predpisov </w:t>
      </w:r>
    </w:p>
    <w:p w14:paraId="6F9E5616" w14:textId="77777777" w:rsidR="00535155" w:rsidRDefault="00535155">
      <w:pPr>
        <w:jc w:val="both"/>
        <w:rPr>
          <w:b/>
          <w:color w:val="000000"/>
        </w:rPr>
      </w:pPr>
    </w:p>
    <w:p w14:paraId="28597F1B" w14:textId="77777777" w:rsidR="005351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A.2. Vplyvy:</w:t>
      </w:r>
    </w:p>
    <w:p w14:paraId="0C6E050E" w14:textId="77777777" w:rsidR="00535155" w:rsidRDefault="00535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</w:p>
    <w:tbl>
      <w:tblPr>
        <w:tblStyle w:val="a"/>
        <w:tblW w:w="909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535155" w14:paraId="0F81BD12" w14:textId="77777777">
        <w:tc>
          <w:tcPr>
            <w:tcW w:w="5526" w:type="dxa"/>
            <w:vAlign w:val="center"/>
          </w:tcPr>
          <w:p w14:paraId="73C4A02E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59420A75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Pozitívne</w:t>
            </w:r>
          </w:p>
        </w:tc>
        <w:tc>
          <w:tcPr>
            <w:tcW w:w="1181" w:type="dxa"/>
            <w:vAlign w:val="center"/>
          </w:tcPr>
          <w:p w14:paraId="55980D2F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Žiadne</w:t>
            </w:r>
          </w:p>
        </w:tc>
        <w:tc>
          <w:tcPr>
            <w:tcW w:w="1196" w:type="dxa"/>
            <w:vAlign w:val="center"/>
          </w:tcPr>
          <w:p w14:paraId="453EA661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Negatívne</w:t>
            </w:r>
          </w:p>
        </w:tc>
      </w:tr>
      <w:tr w:rsidR="00535155" w14:paraId="143FCF72" w14:textId="77777777">
        <w:tc>
          <w:tcPr>
            <w:tcW w:w="5526" w:type="dxa"/>
            <w:vAlign w:val="center"/>
          </w:tcPr>
          <w:p w14:paraId="7F3F093E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14:paraId="30528816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693B7182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287E66F0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   X </w:t>
            </w:r>
          </w:p>
        </w:tc>
      </w:tr>
      <w:tr w:rsidR="00535155" w14:paraId="0058B002" w14:textId="77777777">
        <w:tc>
          <w:tcPr>
            <w:tcW w:w="5526" w:type="dxa"/>
            <w:vAlign w:val="center"/>
          </w:tcPr>
          <w:p w14:paraId="6F05FC1D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14:paraId="53A5CB1C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14:paraId="1A6DE4A4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04E91789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7D389FD5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35155" w14:paraId="6F9BF1C8" w14:textId="77777777">
        <w:tc>
          <w:tcPr>
            <w:tcW w:w="5526" w:type="dxa"/>
            <w:vAlign w:val="center"/>
          </w:tcPr>
          <w:p w14:paraId="6564F97E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3. Sociálne vplyvy</w:t>
            </w:r>
          </w:p>
        </w:tc>
        <w:tc>
          <w:tcPr>
            <w:tcW w:w="1192" w:type="dxa"/>
            <w:vAlign w:val="center"/>
          </w:tcPr>
          <w:p w14:paraId="6DC43C86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vAlign w:val="center"/>
          </w:tcPr>
          <w:p w14:paraId="1C52E288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32C94D01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35155" w14:paraId="54E20A6D" w14:textId="77777777">
        <w:tc>
          <w:tcPr>
            <w:tcW w:w="5526" w:type="dxa"/>
            <w:vAlign w:val="center"/>
          </w:tcPr>
          <w:p w14:paraId="4C977E5E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14:paraId="6AD7A799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81" w:type="dxa"/>
            <w:vAlign w:val="center"/>
          </w:tcPr>
          <w:p w14:paraId="6E459569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7E81CEA8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35155" w14:paraId="6547C5B8" w14:textId="77777777">
        <w:tc>
          <w:tcPr>
            <w:tcW w:w="5526" w:type="dxa"/>
            <w:vAlign w:val="center"/>
          </w:tcPr>
          <w:p w14:paraId="7EB6DA20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vAlign w:val="center"/>
          </w:tcPr>
          <w:p w14:paraId="47DAF85B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vAlign w:val="center"/>
          </w:tcPr>
          <w:p w14:paraId="3676A947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0148EA0E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35155" w14:paraId="6BE3E840" w14:textId="77777777">
        <w:tc>
          <w:tcPr>
            <w:tcW w:w="5526" w:type="dxa"/>
            <w:vAlign w:val="center"/>
          </w:tcPr>
          <w:p w14:paraId="0D790B40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14:paraId="77B1484D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vAlign w:val="center"/>
          </w:tcPr>
          <w:p w14:paraId="672F98B3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2801E611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35155" w14:paraId="21E5149A" w14:textId="77777777">
        <w:tc>
          <w:tcPr>
            <w:tcW w:w="5526" w:type="dxa"/>
            <w:vAlign w:val="center"/>
          </w:tcPr>
          <w:p w14:paraId="2151C36E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14:paraId="58C32741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51C5CFB7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2CBE76EC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35155" w14:paraId="4A045C42" w14:textId="77777777">
        <w:tc>
          <w:tcPr>
            <w:tcW w:w="5526" w:type="dxa"/>
            <w:vAlign w:val="center"/>
          </w:tcPr>
          <w:p w14:paraId="6C541BC1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14:paraId="71B9A3B6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79CA6CD5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65BE20FC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35155" w14:paraId="44E129E3" w14:textId="77777777">
        <w:tc>
          <w:tcPr>
            <w:tcW w:w="5526" w:type="dxa"/>
            <w:vAlign w:val="center"/>
          </w:tcPr>
          <w:p w14:paraId="24541B5B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 Vplyvy na služby pre občana, z toho</w:t>
            </w:r>
          </w:p>
          <w:p w14:paraId="49AA418F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vplyvy služieb verejnej správy na občana</w:t>
            </w:r>
          </w:p>
          <w:p w14:paraId="23A1DA13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14:paraId="1337DD8D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613B2B1C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  <w:p w14:paraId="35F1B68D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  <w:p w14:paraId="14F50FD9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186DBC65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535155" w14:paraId="3C3F162D" w14:textId="77777777">
        <w:tc>
          <w:tcPr>
            <w:tcW w:w="5526" w:type="dxa"/>
            <w:vAlign w:val="center"/>
          </w:tcPr>
          <w:p w14:paraId="0D10AFFA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14:paraId="543BBA5F" w14:textId="77777777" w:rsidR="005351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X</w:t>
            </w:r>
          </w:p>
        </w:tc>
        <w:tc>
          <w:tcPr>
            <w:tcW w:w="1181" w:type="dxa"/>
            <w:vAlign w:val="center"/>
          </w:tcPr>
          <w:p w14:paraId="1269C354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7E7727CE" w14:textId="77777777" w:rsidR="00535155" w:rsidRDefault="00535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B429E6D" w14:textId="77777777" w:rsidR="00535155" w:rsidRDefault="00535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5C4B2E3" w14:textId="77777777" w:rsidR="00535155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</w:rPr>
      </w:pPr>
      <w:r>
        <w:rPr>
          <w:rFonts w:eastAsia="Times New Roman" w:cs="Times New Roman"/>
          <w:b/>
          <w:color w:val="000000"/>
        </w:rPr>
        <w:t>A.3. Poznámky</w:t>
      </w:r>
    </w:p>
    <w:p w14:paraId="060F688A" w14:textId="77777777" w:rsidR="00535155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r>
        <w:t xml:space="preserve">Návrh zákona bude mať negatívny, nie však výrazný vplyv na rozpočet verejnej správy, pričom vychádzame z nasledovných dát: z údajov o sčítaní obyvateľstva z roku 2021 vyplýva, že </w:t>
      </w:r>
      <w:r>
        <w:rPr>
          <w:b/>
        </w:rPr>
        <w:t>bezdetné ženy tvoria 8,2% všetkých žien vo veku 55 - 59 rokov.</w:t>
      </w:r>
      <w:r>
        <w:t xml:space="preserve"> Podobne </w:t>
      </w:r>
      <w:r>
        <w:rPr>
          <w:b/>
        </w:rPr>
        <w:t>bezdetní muži tvoria zo všetkých mužov v spomínanom veku 13,2%.</w:t>
      </w:r>
      <w:r>
        <w:t xml:space="preserve"> Obdobná štruktúra bezdetných osôb je aj v iných vekových kategóriách. Ak sa zároveň pozrieme na počet novopriznaných dôchodkov pre ženy aj mužov za rok 2022, </w:t>
      </w:r>
      <w:r>
        <w:rPr>
          <w:b/>
        </w:rPr>
        <w:t>8,2% zo všetkých novopriznaných vdovských dôchodkov tvorí počet 1550 bezdetných žien</w:t>
      </w:r>
      <w:r>
        <w:t xml:space="preserve"> a </w:t>
      </w:r>
      <w:r>
        <w:rPr>
          <w:b/>
        </w:rPr>
        <w:t>pri mužoch ide o 13,2%, čo je na počet 899 vdovcov, ktorí sú bezdetní.</w:t>
      </w:r>
      <w:r>
        <w:t xml:space="preserve"> Ak vezmeme do úvahy </w:t>
      </w:r>
      <w:r>
        <w:rPr>
          <w:b/>
        </w:rPr>
        <w:t>priemernú výšku vdovského dôchodku za september 2023 (359 Eur) a priemernú výšku vdoveckého dôchodku za rovnaké obdobie (296 Eur)</w:t>
      </w:r>
      <w:r>
        <w:t xml:space="preserve">, </w:t>
      </w:r>
      <w:r>
        <w:rPr>
          <w:b/>
        </w:rPr>
        <w:t>celkové mesačné náklady</w:t>
      </w:r>
      <w:r>
        <w:t xml:space="preserve"> pri priznaní nároku na vdovský a vdovecký dôchodok pre bezdetné ženy boli 556 450 Eur a pre bezdetných mužov 266 104 Eur, čo je </w:t>
      </w:r>
      <w:r>
        <w:rPr>
          <w:b/>
        </w:rPr>
        <w:t>spolu 822 554 Eur. Ročne to bude spolu 9 870 700</w:t>
      </w:r>
      <w:r>
        <w:t xml:space="preserve">. Táto suma je však ešte </w:t>
      </w:r>
      <w:r>
        <w:rPr>
          <w:b/>
        </w:rPr>
        <w:t>značne nadhodnotená</w:t>
      </w:r>
      <w:r>
        <w:t xml:space="preserve">, keďže z uvedeného počtu bezdetných vdov a vdovcov by len časť spĺňala navrhovanú vekovú podmienku 59 rokov. Výpočet je orientačný, keďže exaktné dáta k bezdetným vdovám a vdovcom nie sú k dispozícii. </w:t>
      </w:r>
    </w:p>
    <w:p w14:paraId="182A20D8" w14:textId="77777777" w:rsidR="00535155" w:rsidRDefault="00535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14:paraId="233AC67A" w14:textId="77777777" w:rsidR="00535155" w:rsidRDefault="00535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</w:rPr>
      </w:pPr>
    </w:p>
    <w:p w14:paraId="20DCFF27" w14:textId="77777777" w:rsidR="005351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A.4. Alternatívne riešenia</w:t>
      </w:r>
    </w:p>
    <w:p w14:paraId="593543EC" w14:textId="77777777" w:rsidR="00535155" w:rsidRDefault="005351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7B9CE2" w14:textId="77777777" w:rsidR="005351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 xml:space="preserve">Bezpredmetné  </w:t>
      </w:r>
    </w:p>
    <w:p w14:paraId="003E7661" w14:textId="77777777" w:rsidR="0053515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ind w:left="567" w:hanging="56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A.5. </w:t>
      </w:r>
      <w:r>
        <w:rPr>
          <w:rFonts w:eastAsia="Times New Roman" w:cs="Times New Roman"/>
          <w:b/>
          <w:color w:val="000000"/>
        </w:rPr>
        <w:tab/>
        <w:t>Stanovisko gestorov</w:t>
      </w:r>
    </w:p>
    <w:p w14:paraId="7750067B" w14:textId="501091C8" w:rsidR="00535155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Bezpredmetné</w:t>
      </w:r>
    </w:p>
    <w:sectPr w:rsidR="0053515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5537"/>
    <w:multiLevelType w:val="multilevel"/>
    <w:tmpl w:val="AF40B9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3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55"/>
    <w:rsid w:val="003E3EDD"/>
    <w:rsid w:val="005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3FAD"/>
  <w15:docId w15:val="{163E4D3A-8D8D-436A-B103-F1A98C83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3D4D"/>
    <w:pPr>
      <w:suppressAutoHyphens/>
    </w:pPr>
    <w:rPr>
      <w:rFonts w:eastAsia="SimSun" w:cs="Mangal"/>
      <w:kern w:val="1"/>
      <w:lang w:eastAsia="hi-IN" w:bidi="hi-IN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ywebov">
    <w:name w:val="Normal (Web)"/>
    <w:aliases w:val="webb"/>
    <w:basedOn w:val="Normlny"/>
    <w:uiPriority w:val="99"/>
    <w:unhideWhenUsed/>
    <w:rsid w:val="003A3D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3A3D4D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3A3D4D"/>
    <w:pPr>
      <w:ind w:left="720"/>
      <w:contextualSpacing/>
    </w:pPr>
    <w:rPr>
      <w:szCs w:val="21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KNlpeMjocw8teCU4lIhGJhoTw==">CgMxLjA4AHIhMXEzb2pNV2VoSXpfNncyS0dfTE5XdXpzOHRyZUdqblBh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Petrík, Simona (asistent)</dc:creator>
  <cp:lastModifiedBy>Krajči Pavol</cp:lastModifiedBy>
  <cp:revision>2</cp:revision>
  <dcterms:created xsi:type="dcterms:W3CDTF">2021-08-31T11:57:00Z</dcterms:created>
  <dcterms:modified xsi:type="dcterms:W3CDTF">2023-11-20T13:22:00Z</dcterms:modified>
</cp:coreProperties>
</file>