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C77E1" w14:textId="77777777" w:rsidR="00E55EC5" w:rsidRPr="00677F48" w:rsidRDefault="00E55EC5" w:rsidP="00E55EC5">
      <w:pPr>
        <w:pBdr>
          <w:bottom w:val="single" w:sz="12" w:space="1" w:color="000001"/>
        </w:pBdr>
        <w:spacing w:before="120"/>
        <w:jc w:val="center"/>
        <w:rPr>
          <w:rFonts w:ascii="Book Antiqua" w:eastAsia="Times New Roman" w:hAnsi="Book Antiqua"/>
        </w:rPr>
      </w:pPr>
      <w:r w:rsidRPr="00677F48">
        <w:rPr>
          <w:rFonts w:ascii="Book Antiqua" w:eastAsia="Times New Roman" w:hAnsi="Book Antiqua"/>
          <w:b/>
        </w:rPr>
        <w:t>NÁRODNÁ  RADA  SLOVENSKEJ  REPUBLIKY</w:t>
      </w:r>
    </w:p>
    <w:p w14:paraId="67AFA84F" w14:textId="77777777" w:rsidR="00E55EC5" w:rsidRPr="00677F48" w:rsidRDefault="00E55EC5" w:rsidP="00E55EC5">
      <w:pPr>
        <w:spacing w:before="120"/>
        <w:jc w:val="center"/>
        <w:rPr>
          <w:rFonts w:ascii="Book Antiqua" w:eastAsia="Times New Roman" w:hAnsi="Book Antiqua"/>
        </w:rPr>
      </w:pPr>
    </w:p>
    <w:p w14:paraId="58D8DA08" w14:textId="5AF0635A" w:rsidR="00E55EC5" w:rsidRPr="00677F48" w:rsidRDefault="00677F48" w:rsidP="00E55EC5">
      <w:pPr>
        <w:spacing w:before="120"/>
        <w:jc w:val="center"/>
        <w:rPr>
          <w:rFonts w:ascii="Book Antiqua" w:eastAsia="Times New Roman" w:hAnsi="Book Antiqua"/>
          <w:b/>
        </w:rPr>
      </w:pPr>
      <w:r>
        <w:rPr>
          <w:rFonts w:ascii="Book Antiqua" w:eastAsia="Times New Roman" w:hAnsi="Book Antiqua"/>
        </w:rPr>
        <w:t>IX</w:t>
      </w:r>
      <w:r w:rsidR="00E55EC5" w:rsidRPr="00677F48">
        <w:rPr>
          <w:rFonts w:ascii="Book Antiqua" w:eastAsia="Times New Roman" w:hAnsi="Book Antiqua"/>
        </w:rPr>
        <w:t>. volebné obdobie</w:t>
      </w:r>
    </w:p>
    <w:p w14:paraId="12313E00" w14:textId="77777777" w:rsidR="00E55EC5" w:rsidRPr="00677F48" w:rsidRDefault="00E55EC5" w:rsidP="00677F48">
      <w:pPr>
        <w:spacing w:before="120" w:line="276" w:lineRule="auto"/>
        <w:jc w:val="center"/>
        <w:rPr>
          <w:rFonts w:ascii="Book Antiqua" w:eastAsia="Times New Roman" w:hAnsi="Book Antiqua"/>
          <w:b/>
        </w:rPr>
      </w:pPr>
    </w:p>
    <w:p w14:paraId="0624385B" w14:textId="77777777" w:rsidR="00E55EC5" w:rsidRPr="00677F48" w:rsidRDefault="00E55EC5" w:rsidP="00677F48">
      <w:pPr>
        <w:spacing w:before="120" w:line="276" w:lineRule="auto"/>
        <w:jc w:val="center"/>
        <w:rPr>
          <w:rFonts w:ascii="Book Antiqua" w:eastAsia="Times New Roman" w:hAnsi="Book Antiqua"/>
          <w:b/>
        </w:rPr>
      </w:pPr>
    </w:p>
    <w:p w14:paraId="3692B0EF" w14:textId="77777777" w:rsidR="00E55EC5" w:rsidRPr="00677F48" w:rsidRDefault="00E55EC5" w:rsidP="00677F48">
      <w:pPr>
        <w:spacing w:before="120" w:line="276" w:lineRule="auto"/>
        <w:jc w:val="center"/>
        <w:rPr>
          <w:rFonts w:ascii="Book Antiqua" w:eastAsia="Times New Roman" w:hAnsi="Book Antiqua"/>
        </w:rPr>
      </w:pPr>
      <w:r w:rsidRPr="00677F48">
        <w:rPr>
          <w:rFonts w:ascii="Book Antiqua" w:eastAsia="Times New Roman" w:hAnsi="Book Antiqua"/>
        </w:rPr>
        <w:t xml:space="preserve">Návrh </w:t>
      </w:r>
    </w:p>
    <w:p w14:paraId="349A8B4E" w14:textId="77777777" w:rsidR="00E55EC5" w:rsidRPr="00677F48" w:rsidRDefault="00E55EC5" w:rsidP="00677F48">
      <w:pPr>
        <w:spacing w:before="120" w:line="276" w:lineRule="auto"/>
        <w:jc w:val="center"/>
        <w:rPr>
          <w:rFonts w:ascii="Book Antiqua" w:eastAsia="Times New Roman" w:hAnsi="Book Antiqua"/>
          <w:b/>
        </w:rPr>
      </w:pPr>
    </w:p>
    <w:p w14:paraId="27DEF7F1" w14:textId="77777777" w:rsidR="00E55EC5" w:rsidRPr="00677F48" w:rsidRDefault="00E55EC5" w:rsidP="00677F48">
      <w:pPr>
        <w:spacing w:before="120" w:line="276" w:lineRule="auto"/>
        <w:jc w:val="center"/>
        <w:rPr>
          <w:rFonts w:ascii="Book Antiqua" w:eastAsia="Times New Roman" w:hAnsi="Book Antiqua"/>
        </w:rPr>
      </w:pPr>
      <w:r w:rsidRPr="00677F48">
        <w:rPr>
          <w:rFonts w:ascii="Book Antiqua" w:eastAsia="Times New Roman" w:hAnsi="Book Antiqua"/>
          <w:b/>
          <w:smallCaps/>
        </w:rPr>
        <w:t>ZÁKON</w:t>
      </w:r>
    </w:p>
    <w:p w14:paraId="2FDAB2C4" w14:textId="77777777" w:rsidR="00E55EC5" w:rsidRPr="00677F48" w:rsidRDefault="00E55EC5" w:rsidP="00677F48">
      <w:pPr>
        <w:spacing w:before="120" w:line="276" w:lineRule="auto"/>
        <w:jc w:val="center"/>
        <w:rPr>
          <w:rFonts w:ascii="Book Antiqua" w:eastAsia="Times New Roman" w:hAnsi="Book Antiqua"/>
        </w:rPr>
      </w:pPr>
    </w:p>
    <w:p w14:paraId="7408D75A" w14:textId="77777777" w:rsidR="00E55EC5" w:rsidRPr="00677F48" w:rsidRDefault="00E55EC5" w:rsidP="00677F48">
      <w:pPr>
        <w:spacing w:before="120" w:after="0" w:line="276" w:lineRule="auto"/>
        <w:jc w:val="center"/>
        <w:rPr>
          <w:rFonts w:ascii="Book Antiqua" w:eastAsia="Times New Roman" w:hAnsi="Book Antiqua"/>
        </w:rPr>
      </w:pPr>
      <w:r w:rsidRPr="00677F48">
        <w:rPr>
          <w:rFonts w:ascii="Book Antiqua" w:eastAsia="Times New Roman" w:hAnsi="Book Antiqua"/>
        </w:rPr>
        <w:t>z ... 2023,</w:t>
      </w:r>
    </w:p>
    <w:p w14:paraId="123A82D9" w14:textId="77777777" w:rsidR="0094096D" w:rsidRPr="00677F48" w:rsidRDefault="0094096D" w:rsidP="00677F48">
      <w:pPr>
        <w:spacing w:after="0" w:line="276" w:lineRule="auto"/>
        <w:contextualSpacing/>
        <w:jc w:val="center"/>
        <w:rPr>
          <w:rFonts w:ascii="Book Antiqua" w:hAnsi="Book Antiqua" w:cs="Times New Roman"/>
        </w:rPr>
      </w:pPr>
    </w:p>
    <w:p w14:paraId="69BA68B7" w14:textId="77777777" w:rsidR="0094096D" w:rsidRPr="00677F48" w:rsidRDefault="0094096D" w:rsidP="00677F48">
      <w:pPr>
        <w:widowControl w:val="0"/>
        <w:autoSpaceDE w:val="0"/>
        <w:autoSpaceDN w:val="0"/>
        <w:adjustRightInd w:val="0"/>
        <w:spacing w:after="0" w:line="276" w:lineRule="auto"/>
        <w:contextualSpacing/>
        <w:jc w:val="center"/>
        <w:rPr>
          <w:rFonts w:ascii="Book Antiqua" w:hAnsi="Book Antiqua" w:cs="Times New Roman"/>
          <w:b/>
        </w:rPr>
      </w:pPr>
      <w:r w:rsidRPr="00677F48">
        <w:rPr>
          <w:rFonts w:ascii="Book Antiqua" w:hAnsi="Book Antiqua" w:cs="Times New Roman"/>
          <w:b/>
        </w:rPr>
        <w:t xml:space="preserve">o jednorazovom finančnom odškodnení </w:t>
      </w:r>
      <w:r w:rsidR="008111E5" w:rsidRPr="00677F48">
        <w:rPr>
          <w:rFonts w:ascii="Book Antiqua" w:hAnsi="Book Antiqua" w:cs="Times New Roman"/>
          <w:b/>
        </w:rPr>
        <w:t xml:space="preserve">osôb </w:t>
      </w:r>
      <w:r w:rsidRPr="00677F48">
        <w:rPr>
          <w:rFonts w:ascii="Book Antiqua" w:hAnsi="Book Antiqua" w:cs="Times New Roman"/>
          <w:b/>
        </w:rPr>
        <w:t>sterilizovaných v rozpore s</w:t>
      </w:r>
      <w:r w:rsidR="00877834" w:rsidRPr="00677F48">
        <w:rPr>
          <w:rFonts w:ascii="Book Antiqua" w:hAnsi="Book Antiqua" w:cs="Times New Roman"/>
          <w:b/>
        </w:rPr>
        <w:t> </w:t>
      </w:r>
      <w:r w:rsidRPr="00677F48">
        <w:rPr>
          <w:rFonts w:ascii="Book Antiqua" w:hAnsi="Book Antiqua" w:cs="Times New Roman"/>
          <w:b/>
        </w:rPr>
        <w:t>právom</w:t>
      </w:r>
      <w:r w:rsidR="00877834" w:rsidRPr="00677F48">
        <w:rPr>
          <w:rFonts w:ascii="Book Antiqua" w:hAnsi="Book Antiqua" w:cs="Times New Roman"/>
          <w:b/>
        </w:rPr>
        <w:t xml:space="preserve"> </w:t>
      </w:r>
      <w:r w:rsidR="00877834" w:rsidRPr="00677F48">
        <w:rPr>
          <w:rFonts w:ascii="Book Antiqua" w:hAnsi="Book Antiqua" w:cs="Times New Roman"/>
          <w:b/>
          <w:iCs/>
        </w:rPr>
        <w:t>a o doplnení zákona Slovenskej národnej rady č. 71/1992 Zb. o súdnych poplatkoch a poplatku za výpis z registra trestov v znení neskorších predpisov</w:t>
      </w:r>
    </w:p>
    <w:p w14:paraId="2F5022ED" w14:textId="77777777" w:rsidR="0094096D" w:rsidRPr="00677F48" w:rsidRDefault="0094096D" w:rsidP="00677F48">
      <w:pPr>
        <w:widowControl w:val="0"/>
        <w:autoSpaceDE w:val="0"/>
        <w:autoSpaceDN w:val="0"/>
        <w:adjustRightInd w:val="0"/>
        <w:spacing w:after="0" w:line="276" w:lineRule="auto"/>
        <w:contextualSpacing/>
        <w:jc w:val="center"/>
        <w:rPr>
          <w:rFonts w:ascii="Book Antiqua" w:hAnsi="Book Antiqua" w:cs="Times New Roman"/>
          <w:b/>
        </w:rPr>
      </w:pPr>
    </w:p>
    <w:p w14:paraId="3058ADE6" w14:textId="77777777" w:rsidR="0094096D" w:rsidRPr="00677F48" w:rsidRDefault="0094096D" w:rsidP="00677F48">
      <w:pPr>
        <w:spacing w:after="0" w:line="276" w:lineRule="auto"/>
        <w:contextualSpacing/>
        <w:jc w:val="both"/>
        <w:rPr>
          <w:rFonts w:ascii="Book Antiqua" w:hAnsi="Book Antiqua" w:cs="Times New Roman"/>
        </w:rPr>
      </w:pPr>
      <w:bookmarkStart w:id="0" w:name="_GoBack"/>
      <w:bookmarkEnd w:id="0"/>
    </w:p>
    <w:p w14:paraId="55141530" w14:textId="77777777" w:rsidR="008111E5" w:rsidRPr="00677F48" w:rsidRDefault="0094096D" w:rsidP="00677F48">
      <w:pPr>
        <w:spacing w:after="0" w:line="276" w:lineRule="auto"/>
        <w:contextualSpacing/>
        <w:jc w:val="both"/>
        <w:rPr>
          <w:rFonts w:ascii="Book Antiqua" w:hAnsi="Book Antiqua" w:cs="Times New Roman"/>
        </w:rPr>
      </w:pPr>
      <w:r w:rsidRPr="00677F48">
        <w:rPr>
          <w:rFonts w:ascii="Book Antiqua" w:hAnsi="Book Antiqua" w:cs="Times New Roman"/>
        </w:rPr>
        <w:t>Národná rada Slovenskej republiky sa uzniesla na tomto zákone:</w:t>
      </w:r>
    </w:p>
    <w:p w14:paraId="7E7DBAF5" w14:textId="77777777" w:rsidR="00F50072" w:rsidRPr="009868CC" w:rsidRDefault="00F50072" w:rsidP="00677F48">
      <w:pPr>
        <w:spacing w:line="276" w:lineRule="auto"/>
        <w:jc w:val="center"/>
        <w:rPr>
          <w:rFonts w:ascii="Book Antiqua" w:hAnsi="Book Antiqua" w:cs="Times New Roman"/>
          <w:b/>
          <w:iCs/>
          <w:color w:val="000000"/>
        </w:rPr>
      </w:pPr>
    </w:p>
    <w:p w14:paraId="387A581E" w14:textId="77777777" w:rsidR="009757CE" w:rsidRPr="009868CC" w:rsidRDefault="009757CE" w:rsidP="00677F48">
      <w:pPr>
        <w:spacing w:line="276" w:lineRule="auto"/>
        <w:jc w:val="center"/>
        <w:rPr>
          <w:rFonts w:ascii="Book Antiqua" w:hAnsi="Book Antiqua" w:cs="Times New Roman"/>
          <w:b/>
          <w:iCs/>
          <w:color w:val="000000"/>
        </w:rPr>
      </w:pPr>
      <w:r w:rsidRPr="009868CC">
        <w:rPr>
          <w:rFonts w:ascii="Book Antiqua" w:hAnsi="Book Antiqua" w:cs="Times New Roman"/>
          <w:b/>
          <w:iCs/>
          <w:color w:val="000000"/>
        </w:rPr>
        <w:t>Čl. I</w:t>
      </w:r>
    </w:p>
    <w:p w14:paraId="48934E57" w14:textId="77777777" w:rsidR="0033543C" w:rsidRPr="009868CC" w:rsidRDefault="00243E85" w:rsidP="00677F48">
      <w:pPr>
        <w:spacing w:before="120" w:after="120" w:line="276" w:lineRule="auto"/>
        <w:jc w:val="center"/>
        <w:rPr>
          <w:rFonts w:ascii="Book Antiqua" w:hAnsi="Book Antiqua" w:cs="Times New Roman"/>
          <w:b/>
        </w:rPr>
      </w:pPr>
      <w:r w:rsidRPr="009868CC">
        <w:rPr>
          <w:rFonts w:ascii="Book Antiqua" w:hAnsi="Book Antiqua" w:cs="Times New Roman"/>
          <w:b/>
        </w:rPr>
        <w:t xml:space="preserve">§ 1 </w:t>
      </w:r>
    </w:p>
    <w:p w14:paraId="56313878" w14:textId="77777777" w:rsidR="00F50072" w:rsidRPr="009868CC" w:rsidRDefault="00667F7F" w:rsidP="00677F48">
      <w:pPr>
        <w:spacing w:before="120" w:after="120" w:line="276" w:lineRule="auto"/>
        <w:jc w:val="center"/>
        <w:rPr>
          <w:rFonts w:ascii="Book Antiqua" w:hAnsi="Book Antiqua" w:cs="Times New Roman"/>
          <w:b/>
        </w:rPr>
      </w:pPr>
      <w:r w:rsidRPr="009868CC">
        <w:rPr>
          <w:rFonts w:ascii="Book Antiqua" w:hAnsi="Book Antiqua" w:cs="Times New Roman"/>
          <w:b/>
        </w:rPr>
        <w:t>Predmet úpravy</w:t>
      </w:r>
    </w:p>
    <w:p w14:paraId="39503DC5" w14:textId="77777777" w:rsidR="00243E85" w:rsidRPr="00677F48" w:rsidRDefault="00882E92" w:rsidP="00677F48">
      <w:pPr>
        <w:spacing w:before="120" w:after="120" w:line="276" w:lineRule="auto"/>
        <w:jc w:val="both"/>
        <w:rPr>
          <w:rFonts w:ascii="Book Antiqua" w:hAnsi="Book Antiqua" w:cs="Times New Roman"/>
          <w:shd w:val="clear" w:color="auto" w:fill="FFFFFF"/>
        </w:rPr>
      </w:pPr>
      <w:r w:rsidRPr="00677F48">
        <w:rPr>
          <w:rFonts w:ascii="Book Antiqua" w:hAnsi="Book Antiqua" w:cs="Times New Roman"/>
          <w:shd w:val="clear" w:color="auto" w:fill="FFFFFF"/>
        </w:rPr>
        <w:t>T</w:t>
      </w:r>
      <w:r w:rsidR="00243E85" w:rsidRPr="00677F48">
        <w:rPr>
          <w:rFonts w:ascii="Book Antiqua" w:hAnsi="Book Antiqua" w:cs="Times New Roman"/>
          <w:shd w:val="clear" w:color="auto" w:fill="FFFFFF"/>
        </w:rPr>
        <w:t xml:space="preserve">ento zákon </w:t>
      </w:r>
      <w:r w:rsidR="007B7346" w:rsidRPr="00677F48">
        <w:rPr>
          <w:rFonts w:ascii="Book Antiqua" w:hAnsi="Book Antiqua" w:cs="Times New Roman"/>
          <w:shd w:val="clear" w:color="auto" w:fill="FFFFFF"/>
        </w:rPr>
        <w:t xml:space="preserve">upravuje podmienky </w:t>
      </w:r>
      <w:r w:rsidR="00243E85" w:rsidRPr="00677F48">
        <w:rPr>
          <w:rFonts w:ascii="Book Antiqua" w:hAnsi="Book Antiqua" w:cs="Times New Roman"/>
          <w:shd w:val="clear" w:color="auto" w:fill="FFFFFF"/>
        </w:rPr>
        <w:t>poskytovania jednorazového finančného odškodnenia osobám</w:t>
      </w:r>
      <w:r w:rsidR="00C005FF" w:rsidRPr="00677F48">
        <w:rPr>
          <w:rFonts w:ascii="Book Antiqua" w:hAnsi="Book Antiqua" w:cs="Times New Roman"/>
          <w:shd w:val="clear" w:color="auto" w:fill="FFFFFF"/>
        </w:rPr>
        <w:t>, ktorých základné ľudské práva boli porušené v dôsledku vykonanej</w:t>
      </w:r>
      <w:r w:rsidR="00243E85" w:rsidRPr="00677F48">
        <w:rPr>
          <w:rFonts w:ascii="Book Antiqua" w:hAnsi="Book Antiqua" w:cs="Times New Roman"/>
          <w:shd w:val="clear" w:color="auto" w:fill="FFFFFF"/>
        </w:rPr>
        <w:t xml:space="preserve"> </w:t>
      </w:r>
      <w:r w:rsidR="00C005FF" w:rsidRPr="00677F48">
        <w:rPr>
          <w:rFonts w:ascii="Book Antiqua" w:hAnsi="Book Antiqua" w:cs="Times New Roman"/>
          <w:shd w:val="clear" w:color="auto" w:fill="FFFFFF"/>
        </w:rPr>
        <w:t xml:space="preserve">sterilizácie </w:t>
      </w:r>
      <w:r w:rsidR="00903F26" w:rsidRPr="00677F48">
        <w:rPr>
          <w:rFonts w:ascii="Book Antiqua" w:hAnsi="Book Antiqua" w:cs="Times New Roman"/>
          <w:shd w:val="clear" w:color="auto" w:fill="FFFFFF"/>
        </w:rPr>
        <w:t>v </w:t>
      </w:r>
      <w:r w:rsidR="00243E85" w:rsidRPr="00677F48">
        <w:rPr>
          <w:rFonts w:ascii="Book Antiqua" w:hAnsi="Book Antiqua" w:cs="Times New Roman"/>
          <w:shd w:val="clear" w:color="auto" w:fill="FFFFFF"/>
        </w:rPr>
        <w:t xml:space="preserve">rozpore s právom (ďalej len </w:t>
      </w:r>
      <w:r w:rsidR="00307C16" w:rsidRPr="00677F48">
        <w:rPr>
          <w:rFonts w:ascii="Book Antiqua" w:hAnsi="Book Antiqua" w:cs="Times New Roman"/>
          <w:shd w:val="clear" w:color="auto" w:fill="FFFFFF"/>
        </w:rPr>
        <w:t>„</w:t>
      </w:r>
      <w:r w:rsidR="00243E85" w:rsidRPr="00677F48">
        <w:rPr>
          <w:rFonts w:ascii="Book Antiqua" w:hAnsi="Book Antiqua" w:cs="Times New Roman"/>
          <w:shd w:val="clear" w:color="auto" w:fill="FFFFFF"/>
        </w:rPr>
        <w:t>odškodnenie</w:t>
      </w:r>
      <w:r w:rsidR="00EC0AAA" w:rsidRPr="00677F48">
        <w:rPr>
          <w:rFonts w:ascii="Book Antiqua" w:hAnsi="Book Antiqua" w:cs="Times New Roman"/>
          <w:shd w:val="clear" w:color="auto" w:fill="FFFFFF"/>
        </w:rPr>
        <w:t>“</w:t>
      </w:r>
      <w:r w:rsidR="00243E85" w:rsidRPr="00677F48">
        <w:rPr>
          <w:rFonts w:ascii="Book Antiqua" w:hAnsi="Book Antiqua" w:cs="Times New Roman"/>
          <w:shd w:val="clear" w:color="auto" w:fill="FFFFFF"/>
        </w:rPr>
        <w:t>)</w:t>
      </w:r>
      <w:r w:rsidR="00C005FF" w:rsidRPr="00677F48">
        <w:rPr>
          <w:rFonts w:ascii="Book Antiqua" w:hAnsi="Book Antiqua" w:cs="Times New Roman"/>
          <w:shd w:val="clear" w:color="auto" w:fill="FFFFFF"/>
        </w:rPr>
        <w:t>.</w:t>
      </w:r>
    </w:p>
    <w:p w14:paraId="565E70CD" w14:textId="77777777" w:rsidR="0033543C" w:rsidRPr="009868CC" w:rsidRDefault="00243E85" w:rsidP="00677F48">
      <w:pPr>
        <w:spacing w:before="120" w:after="120" w:line="276" w:lineRule="auto"/>
        <w:jc w:val="center"/>
        <w:rPr>
          <w:rFonts w:ascii="Book Antiqua" w:hAnsi="Book Antiqua" w:cs="Times New Roman"/>
          <w:b/>
          <w:shd w:val="clear" w:color="auto" w:fill="FFFFFF"/>
        </w:rPr>
      </w:pPr>
      <w:r w:rsidRPr="009868CC">
        <w:rPr>
          <w:rFonts w:ascii="Book Antiqua" w:hAnsi="Book Antiqua" w:cs="Times New Roman"/>
          <w:b/>
          <w:shd w:val="clear" w:color="auto" w:fill="FFFFFF"/>
        </w:rPr>
        <w:t>§ 2</w:t>
      </w:r>
    </w:p>
    <w:p w14:paraId="001A5832" w14:textId="77777777" w:rsidR="00243E85" w:rsidRPr="009868CC" w:rsidRDefault="00243E85" w:rsidP="00677F48">
      <w:pPr>
        <w:spacing w:before="120" w:after="120" w:line="276" w:lineRule="auto"/>
        <w:jc w:val="center"/>
        <w:rPr>
          <w:rFonts w:ascii="Book Antiqua" w:hAnsi="Book Antiqua" w:cs="Times New Roman"/>
          <w:b/>
          <w:shd w:val="clear" w:color="auto" w:fill="FFFFFF"/>
        </w:rPr>
      </w:pPr>
      <w:r w:rsidRPr="009868CC">
        <w:rPr>
          <w:rFonts w:ascii="Book Antiqua" w:hAnsi="Book Antiqua" w:cs="Times New Roman"/>
          <w:b/>
          <w:shd w:val="clear" w:color="auto" w:fill="FFFFFF"/>
        </w:rPr>
        <w:t>Oprávnená osoba</w:t>
      </w:r>
    </w:p>
    <w:p w14:paraId="0DB622F9" w14:textId="77777777" w:rsidR="00243E85" w:rsidRPr="00677F48" w:rsidRDefault="00243E85" w:rsidP="00677F48">
      <w:pPr>
        <w:spacing w:before="120" w:after="120" w:line="276" w:lineRule="auto"/>
        <w:jc w:val="both"/>
        <w:rPr>
          <w:rFonts w:ascii="Book Antiqua" w:hAnsi="Book Antiqua" w:cs="Times New Roman"/>
          <w:shd w:val="clear" w:color="auto" w:fill="FFFFFF"/>
        </w:rPr>
      </w:pPr>
      <w:r w:rsidRPr="00677F48">
        <w:rPr>
          <w:rFonts w:ascii="Book Antiqua" w:hAnsi="Book Antiqua" w:cs="Times New Roman"/>
          <w:shd w:val="clear" w:color="auto" w:fill="FFFFFF"/>
        </w:rPr>
        <w:t>Oprávnenou osobou na účely tohto zákona je fyzická osoba, ktorá sa podrobila v období od 01.07.1966 do 31.12.2004 v zdravotníckom zariadení na území Slovenskej republiky sterilizácii v rozpore s právom.</w:t>
      </w:r>
    </w:p>
    <w:p w14:paraId="1F6875C4" w14:textId="77777777" w:rsidR="0033543C" w:rsidRPr="009868CC" w:rsidRDefault="00243E85" w:rsidP="00677F48">
      <w:pPr>
        <w:spacing w:before="120" w:after="120" w:line="276" w:lineRule="auto"/>
        <w:jc w:val="center"/>
        <w:rPr>
          <w:rFonts w:ascii="Book Antiqua" w:hAnsi="Book Antiqua" w:cs="Times New Roman"/>
          <w:b/>
          <w:shd w:val="clear" w:color="auto" w:fill="FFFFFF"/>
        </w:rPr>
      </w:pPr>
      <w:r w:rsidRPr="009868CC">
        <w:rPr>
          <w:rFonts w:ascii="Book Antiqua" w:hAnsi="Book Antiqua" w:cs="Times New Roman"/>
          <w:b/>
          <w:shd w:val="clear" w:color="auto" w:fill="FFFFFF"/>
        </w:rPr>
        <w:t>§ 3</w:t>
      </w:r>
    </w:p>
    <w:p w14:paraId="057A90BE" w14:textId="77777777" w:rsidR="00243E85" w:rsidRPr="009868CC" w:rsidRDefault="00243E85" w:rsidP="00677F48">
      <w:pPr>
        <w:spacing w:before="120" w:after="120" w:line="276" w:lineRule="auto"/>
        <w:jc w:val="center"/>
        <w:rPr>
          <w:rFonts w:ascii="Book Antiqua" w:hAnsi="Book Antiqua" w:cs="Times New Roman"/>
          <w:b/>
          <w:shd w:val="clear" w:color="auto" w:fill="FFFFFF"/>
        </w:rPr>
      </w:pPr>
      <w:r w:rsidRPr="009868CC">
        <w:rPr>
          <w:rFonts w:ascii="Book Antiqua" w:hAnsi="Book Antiqua" w:cs="Times New Roman"/>
          <w:b/>
          <w:shd w:val="clear" w:color="auto" w:fill="FFFFFF"/>
        </w:rPr>
        <w:t>Sterilizácia v rozpore s</w:t>
      </w:r>
      <w:r w:rsidR="00F63937" w:rsidRPr="009868CC">
        <w:rPr>
          <w:rFonts w:ascii="Book Antiqua" w:hAnsi="Book Antiqua" w:cs="Times New Roman"/>
          <w:b/>
          <w:shd w:val="clear" w:color="auto" w:fill="FFFFFF"/>
        </w:rPr>
        <w:t> </w:t>
      </w:r>
      <w:r w:rsidRPr="009868CC">
        <w:rPr>
          <w:rFonts w:ascii="Book Antiqua" w:hAnsi="Book Antiqua" w:cs="Times New Roman"/>
          <w:b/>
          <w:shd w:val="clear" w:color="auto" w:fill="FFFFFF"/>
        </w:rPr>
        <w:t>právom</w:t>
      </w:r>
    </w:p>
    <w:p w14:paraId="4A0F78FA" w14:textId="15DC11B3" w:rsidR="00243E85" w:rsidRPr="00677F48" w:rsidRDefault="003B043C" w:rsidP="00677F48">
      <w:pPr>
        <w:spacing w:before="120" w:after="120" w:line="276" w:lineRule="auto"/>
        <w:jc w:val="both"/>
        <w:rPr>
          <w:rFonts w:ascii="Book Antiqua" w:hAnsi="Book Antiqua" w:cs="Times New Roman"/>
          <w:b/>
          <w:shd w:val="clear" w:color="auto" w:fill="FFFFFF"/>
        </w:rPr>
      </w:pPr>
      <w:r w:rsidRPr="00677F48">
        <w:rPr>
          <w:rFonts w:ascii="Book Antiqua" w:hAnsi="Book Antiqua" w:cs="Times New Roman"/>
          <w:shd w:val="clear" w:color="auto" w:fill="FFFFFF"/>
        </w:rPr>
        <w:t xml:space="preserve">(1) </w:t>
      </w:r>
      <w:r w:rsidR="00243E85" w:rsidRPr="00677F48">
        <w:rPr>
          <w:rFonts w:ascii="Book Antiqua" w:hAnsi="Book Antiqua" w:cs="Times New Roman"/>
          <w:shd w:val="clear" w:color="auto" w:fill="FFFFFF"/>
        </w:rPr>
        <w:t>Sterilizáciou v rozpore s právom sa na účely tohto zákona rozumie zdravotný úkon zabraňujúci plodnosti</w:t>
      </w:r>
      <w:r w:rsidR="009868CC">
        <w:rPr>
          <w:rFonts w:ascii="Book Antiqua" w:hAnsi="Book Antiqua" w:cs="Times New Roman"/>
          <w:shd w:val="clear" w:color="auto" w:fill="FFFFFF"/>
        </w:rPr>
        <w:t>,</w:t>
      </w:r>
      <w:r w:rsidR="00243E85" w:rsidRPr="00677F48">
        <w:rPr>
          <w:rFonts w:ascii="Book Antiqua" w:hAnsi="Book Antiqua" w:cs="Times New Roman"/>
          <w:shd w:val="clear" w:color="auto" w:fill="FFFFFF"/>
        </w:rPr>
        <w:t>:</w:t>
      </w:r>
    </w:p>
    <w:p w14:paraId="4EA0F240" w14:textId="77777777" w:rsidR="00243E85" w:rsidRPr="00677F48" w:rsidRDefault="00243E85" w:rsidP="00677F48">
      <w:pPr>
        <w:pStyle w:val="Odsekzoznamu"/>
        <w:numPr>
          <w:ilvl w:val="0"/>
          <w:numId w:val="1"/>
        </w:numPr>
        <w:spacing w:before="120" w:after="120" w:line="276" w:lineRule="auto"/>
        <w:jc w:val="both"/>
        <w:rPr>
          <w:rFonts w:ascii="Book Antiqua" w:hAnsi="Book Antiqua" w:cs="Times New Roman"/>
          <w:shd w:val="clear" w:color="auto" w:fill="FFFFFF"/>
        </w:rPr>
      </w:pPr>
      <w:r w:rsidRPr="00677F48">
        <w:rPr>
          <w:rFonts w:ascii="Book Antiqua" w:hAnsi="Book Antiqua" w:cs="Times New Roman"/>
          <w:shd w:val="clear" w:color="auto" w:fill="FFFFFF"/>
        </w:rPr>
        <w:t>ku ktorého prevedeniu</w:t>
      </w:r>
      <w:r w:rsidR="00882E92" w:rsidRPr="00677F48">
        <w:rPr>
          <w:rFonts w:ascii="Book Antiqua" w:hAnsi="Book Antiqua" w:cs="Times New Roman"/>
          <w:shd w:val="clear" w:color="auto" w:fill="FFFFFF"/>
        </w:rPr>
        <w:t xml:space="preserve"> oprávnená</w:t>
      </w:r>
      <w:r w:rsidRPr="00677F48">
        <w:rPr>
          <w:rFonts w:ascii="Book Antiqua" w:hAnsi="Book Antiqua" w:cs="Times New Roman"/>
          <w:shd w:val="clear" w:color="auto" w:fill="FFFFFF"/>
        </w:rPr>
        <w:t xml:space="preserve"> osoba neudelila informovaný súhlas, </w:t>
      </w:r>
    </w:p>
    <w:p w14:paraId="0F7A5C84" w14:textId="77777777" w:rsidR="00243E85" w:rsidRPr="00677F48" w:rsidRDefault="00243E85" w:rsidP="00677F48">
      <w:pPr>
        <w:pStyle w:val="Odsekzoznamu"/>
        <w:numPr>
          <w:ilvl w:val="0"/>
          <w:numId w:val="1"/>
        </w:numPr>
        <w:spacing w:before="120" w:after="120" w:line="276" w:lineRule="auto"/>
        <w:jc w:val="both"/>
        <w:rPr>
          <w:rFonts w:ascii="Book Antiqua" w:hAnsi="Book Antiqua" w:cs="Times New Roman"/>
          <w:shd w:val="clear" w:color="auto" w:fill="FFFFFF"/>
        </w:rPr>
      </w:pPr>
      <w:r w:rsidRPr="00677F48">
        <w:rPr>
          <w:rFonts w:ascii="Book Antiqua" w:hAnsi="Book Antiqua" w:cs="Times New Roman"/>
          <w:shd w:val="clear" w:color="auto" w:fill="FFFFFF"/>
        </w:rPr>
        <w:lastRenderedPageBreak/>
        <w:t xml:space="preserve">ku ktorého prevedeniu </w:t>
      </w:r>
      <w:r w:rsidR="00882E92" w:rsidRPr="00677F48">
        <w:rPr>
          <w:rFonts w:ascii="Book Antiqua" w:hAnsi="Book Antiqua" w:cs="Times New Roman"/>
          <w:shd w:val="clear" w:color="auto" w:fill="FFFFFF"/>
        </w:rPr>
        <w:t xml:space="preserve">oprávnená </w:t>
      </w:r>
      <w:r w:rsidRPr="00677F48">
        <w:rPr>
          <w:rFonts w:ascii="Book Antiqua" w:hAnsi="Book Antiqua" w:cs="Times New Roman"/>
          <w:shd w:val="clear" w:color="auto" w:fill="FFFFFF"/>
        </w:rPr>
        <w:t>osoba udelila</w:t>
      </w:r>
      <w:r w:rsidR="00903F26" w:rsidRPr="00677F48">
        <w:rPr>
          <w:rFonts w:ascii="Book Antiqua" w:hAnsi="Book Antiqua" w:cs="Times New Roman"/>
          <w:shd w:val="clear" w:color="auto" w:fill="FFFFFF"/>
        </w:rPr>
        <w:t xml:space="preserve"> informovaný súhlas v rozpore s </w:t>
      </w:r>
      <w:r w:rsidRPr="00677F48">
        <w:rPr>
          <w:rFonts w:ascii="Book Antiqua" w:hAnsi="Book Antiqua" w:cs="Times New Roman"/>
          <w:shd w:val="clear" w:color="auto" w:fill="FFFFFF"/>
        </w:rPr>
        <w:t xml:space="preserve">právnymi predpismi upravujúcimi v rozhodnom období vykonanie sterilizácie, </w:t>
      </w:r>
      <w:r w:rsidR="00C005FF" w:rsidRPr="00677F48">
        <w:rPr>
          <w:rFonts w:ascii="Book Antiqua" w:hAnsi="Book Antiqua" w:cs="Times New Roman"/>
          <w:shd w:val="clear" w:color="auto" w:fill="FFFFFF"/>
        </w:rPr>
        <w:t xml:space="preserve">alebo </w:t>
      </w:r>
    </w:p>
    <w:p w14:paraId="643BF091" w14:textId="77777777" w:rsidR="00F63937" w:rsidRPr="00677F48" w:rsidRDefault="00243E85" w:rsidP="00677F48">
      <w:pPr>
        <w:pStyle w:val="Odsekzoznamu"/>
        <w:numPr>
          <w:ilvl w:val="0"/>
          <w:numId w:val="1"/>
        </w:numPr>
        <w:spacing w:before="120" w:after="120" w:line="276" w:lineRule="auto"/>
        <w:jc w:val="both"/>
        <w:rPr>
          <w:rFonts w:ascii="Book Antiqua" w:hAnsi="Book Antiqua" w:cs="Times New Roman"/>
          <w:shd w:val="clear" w:color="auto" w:fill="FFFFFF"/>
        </w:rPr>
      </w:pPr>
      <w:r w:rsidRPr="00677F48">
        <w:rPr>
          <w:rFonts w:ascii="Book Antiqua" w:hAnsi="Book Antiqua" w:cs="Times New Roman"/>
          <w:shd w:val="clear" w:color="auto" w:fill="FFFFFF"/>
        </w:rPr>
        <w:t xml:space="preserve">ku ktorého prevedeniu </w:t>
      </w:r>
      <w:r w:rsidR="00882E92" w:rsidRPr="00677F48">
        <w:rPr>
          <w:rFonts w:ascii="Book Antiqua" w:hAnsi="Book Antiqua" w:cs="Times New Roman"/>
          <w:shd w:val="clear" w:color="auto" w:fill="FFFFFF"/>
        </w:rPr>
        <w:t xml:space="preserve">oprávnená </w:t>
      </w:r>
      <w:r w:rsidRPr="00677F48">
        <w:rPr>
          <w:rFonts w:ascii="Book Antiqua" w:hAnsi="Book Antiqua" w:cs="Times New Roman"/>
          <w:shd w:val="clear" w:color="auto" w:fill="FFFFFF"/>
        </w:rPr>
        <w:t>osoba udelila informovaný súhlas za takých okolností, ktoré vylučujú alebo vážne narúšajú slobodu rozhodnutia alebo bezpochybného porozumenia následkov udelenia súhlasu.</w:t>
      </w:r>
    </w:p>
    <w:p w14:paraId="6A88E8DA" w14:textId="77777777" w:rsidR="000A07B2" w:rsidRPr="00677F48" w:rsidRDefault="000A07B2" w:rsidP="00677F48">
      <w:pPr>
        <w:pStyle w:val="Odsekzoznamu"/>
        <w:spacing w:before="120" w:after="120" w:line="276" w:lineRule="auto"/>
        <w:jc w:val="both"/>
        <w:rPr>
          <w:rFonts w:ascii="Book Antiqua" w:hAnsi="Book Antiqua" w:cs="Times New Roman"/>
          <w:shd w:val="clear" w:color="auto" w:fill="FFFFFF"/>
        </w:rPr>
      </w:pPr>
    </w:p>
    <w:p w14:paraId="2159EEE7" w14:textId="0989F1C5" w:rsidR="000276BD" w:rsidRPr="00677F48" w:rsidRDefault="003B043C" w:rsidP="00677F48">
      <w:pPr>
        <w:spacing w:before="120" w:after="120" w:line="276" w:lineRule="auto"/>
        <w:jc w:val="both"/>
        <w:rPr>
          <w:rFonts w:ascii="Book Antiqua" w:hAnsi="Book Antiqua" w:cs="Times New Roman"/>
          <w:shd w:val="clear" w:color="auto" w:fill="FFFFFF"/>
        </w:rPr>
      </w:pPr>
      <w:r w:rsidRPr="00677F48">
        <w:rPr>
          <w:rFonts w:ascii="Book Antiqua" w:hAnsi="Book Antiqua" w:cs="Times New Roman"/>
          <w:shd w:val="clear" w:color="auto" w:fill="FFFFFF"/>
        </w:rPr>
        <w:t>(2)</w:t>
      </w:r>
      <w:r w:rsidR="00903F26" w:rsidRPr="00677F48">
        <w:rPr>
          <w:rFonts w:ascii="Book Antiqua" w:hAnsi="Book Antiqua" w:cs="Times New Roman"/>
          <w:shd w:val="clear" w:color="auto" w:fill="FFFFFF"/>
        </w:rPr>
        <w:t xml:space="preserve"> </w:t>
      </w:r>
      <w:r w:rsidR="00486C27" w:rsidRPr="00677F48">
        <w:rPr>
          <w:rFonts w:ascii="Book Antiqua" w:hAnsi="Book Antiqua" w:cs="Times New Roman"/>
          <w:shd w:val="clear" w:color="auto" w:fill="FFFFFF"/>
        </w:rPr>
        <w:t>O</w:t>
      </w:r>
      <w:r w:rsidR="000276BD" w:rsidRPr="00677F48">
        <w:rPr>
          <w:rFonts w:ascii="Book Antiqua" w:hAnsi="Book Antiqua" w:cs="Times New Roman"/>
          <w:shd w:val="clear" w:color="auto" w:fill="FFFFFF"/>
        </w:rPr>
        <w:t>kolnosťami podľa ods</w:t>
      </w:r>
      <w:r w:rsidR="00897038" w:rsidRPr="00677F48">
        <w:rPr>
          <w:rFonts w:ascii="Book Antiqua" w:hAnsi="Book Antiqua" w:cs="Times New Roman"/>
          <w:shd w:val="clear" w:color="auto" w:fill="FFFFFF"/>
        </w:rPr>
        <w:t>eku</w:t>
      </w:r>
      <w:r w:rsidR="000276BD" w:rsidRPr="00677F48">
        <w:rPr>
          <w:rFonts w:ascii="Book Antiqua" w:hAnsi="Book Antiqua" w:cs="Times New Roman"/>
          <w:shd w:val="clear" w:color="auto" w:fill="FFFFFF"/>
        </w:rPr>
        <w:t xml:space="preserve"> 1 </w:t>
      </w:r>
      <w:r w:rsidR="00486C27" w:rsidRPr="00677F48">
        <w:rPr>
          <w:rFonts w:ascii="Book Antiqua" w:hAnsi="Book Antiqua" w:cs="Times New Roman"/>
          <w:shd w:val="clear" w:color="auto" w:fill="FFFFFF"/>
        </w:rPr>
        <w:t xml:space="preserve">písm. </w:t>
      </w:r>
      <w:r w:rsidR="00793160" w:rsidRPr="00677F48">
        <w:rPr>
          <w:rFonts w:ascii="Book Antiqua" w:hAnsi="Book Antiqua" w:cs="Times New Roman"/>
          <w:shd w:val="clear" w:color="auto" w:fill="FFFFFF"/>
        </w:rPr>
        <w:t>c</w:t>
      </w:r>
      <w:r w:rsidR="00486C27" w:rsidRPr="00677F48">
        <w:rPr>
          <w:rFonts w:ascii="Book Antiqua" w:hAnsi="Book Antiqua" w:cs="Times New Roman"/>
          <w:shd w:val="clear" w:color="auto" w:fill="FFFFFF"/>
        </w:rPr>
        <w:t xml:space="preserve">) </w:t>
      </w:r>
      <w:r w:rsidR="000276BD" w:rsidRPr="00677F48">
        <w:rPr>
          <w:rFonts w:ascii="Book Antiqua" w:hAnsi="Book Antiqua" w:cs="Times New Roman"/>
          <w:shd w:val="clear" w:color="auto" w:fill="FFFFFF"/>
        </w:rPr>
        <w:t>sa rozum</w:t>
      </w:r>
      <w:r w:rsidRPr="00677F48">
        <w:rPr>
          <w:rFonts w:ascii="Book Antiqua" w:hAnsi="Book Antiqua" w:cs="Times New Roman"/>
          <w:shd w:val="clear" w:color="auto" w:fill="FFFFFF"/>
        </w:rPr>
        <w:t>ejú</w:t>
      </w:r>
      <w:r w:rsidR="000276BD" w:rsidRPr="00677F48">
        <w:rPr>
          <w:rFonts w:ascii="Book Antiqua" w:hAnsi="Book Antiqua" w:cs="Times New Roman"/>
          <w:shd w:val="clear" w:color="auto" w:fill="FFFFFF"/>
        </w:rPr>
        <w:t xml:space="preserve"> najmä pôsobenie na oprávnenú osobu v podobe akéhokoľvek nátlaku, donútenia či presviedčania, aby sa zdravotnému úkonu zabraňujúcemu plodnos</w:t>
      </w:r>
      <w:r w:rsidR="00897038" w:rsidRPr="00677F48">
        <w:rPr>
          <w:rFonts w:ascii="Book Antiqua" w:hAnsi="Book Antiqua" w:cs="Times New Roman"/>
          <w:shd w:val="clear" w:color="auto" w:fill="FFFFFF"/>
        </w:rPr>
        <w:t>ti</w:t>
      </w:r>
      <w:r w:rsidR="000276BD" w:rsidRPr="00677F48">
        <w:rPr>
          <w:rFonts w:ascii="Book Antiqua" w:hAnsi="Book Antiqua" w:cs="Times New Roman"/>
          <w:shd w:val="clear" w:color="auto" w:fill="FFFFFF"/>
        </w:rPr>
        <w:t xml:space="preserve"> podrobila </w:t>
      </w:r>
      <w:r w:rsidR="00897038" w:rsidRPr="00677F48">
        <w:rPr>
          <w:rFonts w:ascii="Book Antiqua" w:hAnsi="Book Antiqua" w:cs="Times New Roman"/>
          <w:shd w:val="clear" w:color="auto" w:fill="FFFFFF"/>
        </w:rPr>
        <w:t xml:space="preserve">a </w:t>
      </w:r>
      <w:r w:rsidR="000276BD" w:rsidRPr="00677F48">
        <w:rPr>
          <w:rFonts w:ascii="Book Antiqua" w:hAnsi="Book Antiqua" w:cs="Times New Roman"/>
          <w:shd w:val="clear" w:color="auto" w:fill="FFFFFF"/>
        </w:rPr>
        <w:t xml:space="preserve">skutočnosť, že oprávnená osoba nebola zrozumiteľným spôsobom a v dostatočnom rozsahu informovaná o svojom zdravotnom stave a o účele, povahe, predpokladanom prínose, možných dôsledkoch a rizikách navrhovaného zdravotného </w:t>
      </w:r>
      <w:r w:rsidR="00897038" w:rsidRPr="00677F48">
        <w:rPr>
          <w:rFonts w:ascii="Book Antiqua" w:hAnsi="Book Antiqua" w:cs="Times New Roman"/>
          <w:shd w:val="clear" w:color="auto" w:fill="FFFFFF"/>
        </w:rPr>
        <w:t>ú</w:t>
      </w:r>
      <w:r w:rsidR="000276BD" w:rsidRPr="00677F48">
        <w:rPr>
          <w:rFonts w:ascii="Book Antiqua" w:hAnsi="Book Antiqua" w:cs="Times New Roman"/>
          <w:shd w:val="clear" w:color="auto" w:fill="FFFFFF"/>
        </w:rPr>
        <w:t xml:space="preserve">konu a o iných možných riešeniach zdravotného stavu, </w:t>
      </w:r>
      <w:r w:rsidR="00793160" w:rsidRPr="00677F48">
        <w:rPr>
          <w:rFonts w:ascii="Book Antiqua" w:hAnsi="Book Antiqua" w:cs="Times New Roman"/>
          <w:shd w:val="clear" w:color="auto" w:fill="FFFFFF"/>
        </w:rPr>
        <w:t xml:space="preserve">ich </w:t>
      </w:r>
      <w:r w:rsidR="000276BD" w:rsidRPr="00677F48">
        <w:rPr>
          <w:rFonts w:ascii="Book Antiqua" w:hAnsi="Book Antiqua" w:cs="Times New Roman"/>
          <w:shd w:val="clear" w:color="auto" w:fill="FFFFFF"/>
        </w:rPr>
        <w:t>vhodnosti, prínos</w:t>
      </w:r>
      <w:r w:rsidR="009D1800" w:rsidRPr="00677F48">
        <w:rPr>
          <w:rFonts w:ascii="Book Antiqua" w:hAnsi="Book Antiqua" w:cs="Times New Roman"/>
          <w:shd w:val="clear" w:color="auto" w:fill="FFFFFF"/>
        </w:rPr>
        <w:t>och</w:t>
      </w:r>
      <w:r w:rsidR="000276BD" w:rsidRPr="00677F48">
        <w:rPr>
          <w:rFonts w:ascii="Book Antiqua" w:hAnsi="Book Antiqua" w:cs="Times New Roman"/>
          <w:shd w:val="clear" w:color="auto" w:fill="FFFFFF"/>
        </w:rPr>
        <w:t xml:space="preserve"> a rizikách.</w:t>
      </w:r>
    </w:p>
    <w:p w14:paraId="122EE97D" w14:textId="77777777" w:rsidR="00243E85" w:rsidRPr="00677F48" w:rsidRDefault="000A07B2" w:rsidP="00677F48">
      <w:pPr>
        <w:spacing w:before="120" w:after="120" w:line="276" w:lineRule="auto"/>
        <w:jc w:val="both"/>
        <w:rPr>
          <w:rFonts w:ascii="Book Antiqua" w:hAnsi="Book Antiqua" w:cs="Times New Roman"/>
        </w:rPr>
      </w:pPr>
      <w:r w:rsidRPr="00677F48">
        <w:rPr>
          <w:rFonts w:ascii="Book Antiqua" w:hAnsi="Book Antiqua" w:cs="Times New Roman"/>
          <w:shd w:val="clear" w:color="auto" w:fill="FFFFFF"/>
        </w:rPr>
        <w:t xml:space="preserve">(3) </w:t>
      </w:r>
      <w:r w:rsidR="00243E85" w:rsidRPr="00677F48">
        <w:rPr>
          <w:rFonts w:ascii="Book Antiqua" w:hAnsi="Book Antiqua" w:cs="Times New Roman"/>
          <w:shd w:val="clear" w:color="auto" w:fill="FFFFFF"/>
        </w:rPr>
        <w:t xml:space="preserve">Sterilizáciou v rozpore s právom sa na účely tohto zákona rozumie </w:t>
      </w:r>
      <w:r w:rsidRPr="00677F48">
        <w:rPr>
          <w:rFonts w:ascii="Book Antiqua" w:hAnsi="Book Antiqua" w:cs="Times New Roman"/>
        </w:rPr>
        <w:t>aj</w:t>
      </w:r>
      <w:r w:rsidR="00243E85" w:rsidRPr="00677F48">
        <w:rPr>
          <w:rFonts w:ascii="Book Antiqua" w:hAnsi="Book Antiqua" w:cs="Times New Roman"/>
        </w:rPr>
        <w:t xml:space="preserve"> zdravotný úkon zabraňujúci plodnosti, v súvislosti s ktorým bola </w:t>
      </w:r>
      <w:r w:rsidRPr="00677F48">
        <w:rPr>
          <w:rFonts w:ascii="Book Antiqua" w:hAnsi="Book Antiqua" w:cs="Times New Roman"/>
        </w:rPr>
        <w:t xml:space="preserve">oprávnenej </w:t>
      </w:r>
      <w:r w:rsidR="00243E85" w:rsidRPr="00677F48">
        <w:rPr>
          <w:rFonts w:ascii="Book Antiqua" w:hAnsi="Book Antiqua" w:cs="Times New Roman"/>
        </w:rPr>
        <w:t xml:space="preserve">osobe </w:t>
      </w:r>
      <w:r w:rsidR="00BF72D8" w:rsidRPr="00677F48">
        <w:rPr>
          <w:rFonts w:ascii="Book Antiqua" w:hAnsi="Book Antiqua" w:cs="Times New Roman"/>
        </w:rPr>
        <w:t>podľa predpisov o</w:t>
      </w:r>
      <w:r w:rsidR="00903F26" w:rsidRPr="00677F48">
        <w:rPr>
          <w:rFonts w:ascii="Book Antiqua" w:hAnsi="Book Antiqua" w:cs="Times New Roman"/>
        </w:rPr>
        <w:t> </w:t>
      </w:r>
      <w:r w:rsidR="00BF72D8" w:rsidRPr="00677F48">
        <w:rPr>
          <w:rFonts w:ascii="Book Antiqua" w:hAnsi="Book Antiqua" w:cs="Times New Roman"/>
        </w:rPr>
        <w:t>sociálnom zabezpečení</w:t>
      </w:r>
      <w:r w:rsidR="000E5BD1" w:rsidRPr="00677F48">
        <w:rPr>
          <w:rStyle w:val="Odkaznapoznmkupodiarou"/>
          <w:rFonts w:ascii="Book Antiqua" w:hAnsi="Book Antiqua" w:cs="Times New Roman"/>
        </w:rPr>
        <w:footnoteReference w:id="1"/>
      </w:r>
      <w:r w:rsidR="00BF72D8" w:rsidRPr="00677F48">
        <w:rPr>
          <w:rFonts w:ascii="Book Antiqua" w:hAnsi="Book Antiqua" w:cs="Times New Roman"/>
        </w:rPr>
        <w:t xml:space="preserve">) </w:t>
      </w:r>
      <w:r w:rsidR="00243E85" w:rsidRPr="00677F48">
        <w:rPr>
          <w:rFonts w:ascii="Book Antiqua" w:hAnsi="Book Antiqua" w:cs="Times New Roman"/>
        </w:rPr>
        <w:t xml:space="preserve">vyplácaná sociálna dávka alebo bolo poskytnuté iné plnenie, </w:t>
      </w:r>
      <w:r w:rsidRPr="00677F48">
        <w:rPr>
          <w:rFonts w:ascii="Book Antiqua" w:hAnsi="Book Antiqua" w:cs="Times New Roman"/>
        </w:rPr>
        <w:t>ktor</w:t>
      </w:r>
      <w:r w:rsidR="000E5BD1" w:rsidRPr="00677F48">
        <w:rPr>
          <w:rFonts w:ascii="Book Antiqua" w:hAnsi="Book Antiqua" w:cs="Times New Roman"/>
        </w:rPr>
        <w:t>ého</w:t>
      </w:r>
      <w:r w:rsidRPr="00677F48">
        <w:rPr>
          <w:rFonts w:ascii="Book Antiqua" w:hAnsi="Book Antiqua" w:cs="Times New Roman"/>
        </w:rPr>
        <w:t xml:space="preserve"> </w:t>
      </w:r>
      <w:r w:rsidR="00243E85" w:rsidRPr="00677F48">
        <w:rPr>
          <w:rFonts w:ascii="Book Antiqua" w:hAnsi="Book Antiqua" w:cs="Times New Roman"/>
        </w:rPr>
        <w:t>poskytnutie bolo viazané na podstúpenie sterilizácie.</w:t>
      </w:r>
    </w:p>
    <w:p w14:paraId="2CC02485" w14:textId="77777777" w:rsidR="0033543C" w:rsidRPr="009868CC" w:rsidRDefault="00243E85" w:rsidP="00677F48">
      <w:pPr>
        <w:spacing w:before="120" w:after="120" w:line="276" w:lineRule="auto"/>
        <w:jc w:val="center"/>
        <w:rPr>
          <w:rFonts w:ascii="Book Antiqua" w:hAnsi="Book Antiqua" w:cs="Times New Roman"/>
          <w:b/>
        </w:rPr>
      </w:pPr>
      <w:r w:rsidRPr="009868CC">
        <w:rPr>
          <w:rFonts w:ascii="Book Antiqua" w:hAnsi="Book Antiqua" w:cs="Times New Roman"/>
          <w:b/>
        </w:rPr>
        <w:t xml:space="preserve">§ </w:t>
      </w:r>
      <w:r w:rsidR="00967435" w:rsidRPr="009868CC">
        <w:rPr>
          <w:rFonts w:ascii="Book Antiqua" w:hAnsi="Book Antiqua" w:cs="Times New Roman"/>
          <w:b/>
        </w:rPr>
        <w:t>4</w:t>
      </w:r>
    </w:p>
    <w:p w14:paraId="6245E06D" w14:textId="77777777" w:rsidR="00243E85" w:rsidRPr="009868CC" w:rsidRDefault="00243E85" w:rsidP="00677F48">
      <w:pPr>
        <w:spacing w:before="120" w:after="120" w:line="276" w:lineRule="auto"/>
        <w:jc w:val="center"/>
        <w:rPr>
          <w:rFonts w:ascii="Book Antiqua" w:hAnsi="Book Antiqua" w:cs="Times New Roman"/>
          <w:b/>
        </w:rPr>
      </w:pPr>
      <w:r w:rsidRPr="009868CC">
        <w:rPr>
          <w:rFonts w:ascii="Book Antiqua" w:hAnsi="Book Antiqua" w:cs="Times New Roman"/>
          <w:b/>
        </w:rPr>
        <w:t xml:space="preserve">Spôsob uplatnenia nároku na </w:t>
      </w:r>
      <w:r w:rsidR="00967435" w:rsidRPr="009868CC">
        <w:rPr>
          <w:rFonts w:ascii="Book Antiqua" w:hAnsi="Book Antiqua" w:cs="Times New Roman"/>
          <w:b/>
        </w:rPr>
        <w:t>odškodnenie</w:t>
      </w:r>
    </w:p>
    <w:p w14:paraId="2DBF94D5" w14:textId="77777777" w:rsidR="00243E85" w:rsidRPr="00677F48" w:rsidRDefault="000A07B2" w:rsidP="00677F48">
      <w:pPr>
        <w:spacing w:before="120" w:after="120" w:line="276" w:lineRule="auto"/>
        <w:jc w:val="both"/>
        <w:rPr>
          <w:rFonts w:ascii="Book Antiqua" w:hAnsi="Book Antiqua" w:cs="Times New Roman"/>
        </w:rPr>
      </w:pPr>
      <w:r w:rsidRPr="00677F48">
        <w:rPr>
          <w:rFonts w:ascii="Book Antiqua" w:hAnsi="Book Antiqua" w:cs="Times New Roman"/>
        </w:rPr>
        <w:t>(1)</w:t>
      </w:r>
      <w:r w:rsidR="00653B3A" w:rsidRPr="00677F48">
        <w:rPr>
          <w:rFonts w:ascii="Book Antiqua" w:hAnsi="Book Antiqua" w:cs="Times New Roman"/>
        </w:rPr>
        <w:t xml:space="preserve"> </w:t>
      </w:r>
      <w:r w:rsidR="00243E85" w:rsidRPr="00677F48">
        <w:rPr>
          <w:rFonts w:ascii="Book Antiqua" w:hAnsi="Book Antiqua" w:cs="Times New Roman"/>
        </w:rPr>
        <w:t>Oprávnené osoby majú nárok na poskytnutie</w:t>
      </w:r>
      <w:r w:rsidR="000E5BD1" w:rsidRPr="00677F48">
        <w:rPr>
          <w:rFonts w:ascii="Book Antiqua" w:hAnsi="Book Antiqua" w:cs="Times New Roman"/>
        </w:rPr>
        <w:t xml:space="preserve"> jednorazového finančného</w:t>
      </w:r>
      <w:r w:rsidR="00243E85" w:rsidRPr="00677F48">
        <w:rPr>
          <w:rFonts w:ascii="Book Antiqua" w:hAnsi="Book Antiqua" w:cs="Times New Roman"/>
        </w:rPr>
        <w:t xml:space="preserve"> odškodnenia.</w:t>
      </w:r>
    </w:p>
    <w:p w14:paraId="29BD840D" w14:textId="028F0652" w:rsidR="0077318B" w:rsidRPr="00677F48" w:rsidRDefault="000A07B2" w:rsidP="00677F48">
      <w:pPr>
        <w:spacing w:before="120" w:after="120" w:line="276" w:lineRule="auto"/>
        <w:jc w:val="both"/>
        <w:rPr>
          <w:rFonts w:ascii="Book Antiqua" w:hAnsi="Book Antiqua" w:cs="Times New Roman"/>
        </w:rPr>
      </w:pPr>
      <w:r w:rsidRPr="00677F48">
        <w:rPr>
          <w:rFonts w:ascii="Book Antiqua" w:hAnsi="Book Antiqua" w:cs="Times New Roman"/>
        </w:rPr>
        <w:t>(2)</w:t>
      </w:r>
      <w:r w:rsidR="00653B3A" w:rsidRPr="00677F48">
        <w:rPr>
          <w:rFonts w:ascii="Book Antiqua" w:hAnsi="Book Antiqua" w:cs="Times New Roman"/>
        </w:rPr>
        <w:t xml:space="preserve"> </w:t>
      </w:r>
      <w:r w:rsidR="00243E85" w:rsidRPr="00677F48">
        <w:rPr>
          <w:rFonts w:ascii="Book Antiqua" w:hAnsi="Book Antiqua" w:cs="Times New Roman"/>
        </w:rPr>
        <w:t xml:space="preserve">Nárok </w:t>
      </w:r>
      <w:r w:rsidR="00C77553" w:rsidRPr="00677F48">
        <w:rPr>
          <w:rFonts w:ascii="Book Antiqua" w:hAnsi="Book Antiqua" w:cs="Times New Roman"/>
        </w:rPr>
        <w:t xml:space="preserve">podľa odseku 1 </w:t>
      </w:r>
      <w:r w:rsidR="000E5BD1" w:rsidRPr="00677F48">
        <w:rPr>
          <w:rFonts w:ascii="Book Antiqua" w:hAnsi="Book Antiqua" w:cs="Times New Roman"/>
        </w:rPr>
        <w:t xml:space="preserve">je potrebné uplatniť vo forme </w:t>
      </w:r>
      <w:r w:rsidR="00243E85" w:rsidRPr="00677F48">
        <w:rPr>
          <w:rFonts w:ascii="Book Antiqua" w:hAnsi="Book Antiqua" w:cs="Times New Roman"/>
        </w:rPr>
        <w:t xml:space="preserve">písomnej žiadosti </w:t>
      </w:r>
      <w:r w:rsidR="00C77553" w:rsidRPr="00677F48">
        <w:rPr>
          <w:rFonts w:ascii="Book Antiqua" w:hAnsi="Book Antiqua" w:cs="Times New Roman"/>
        </w:rPr>
        <w:t xml:space="preserve">o odškodnenie (ďalej len „žiadosť“) </w:t>
      </w:r>
      <w:r w:rsidR="00243E85" w:rsidRPr="00677F48">
        <w:rPr>
          <w:rFonts w:ascii="Book Antiqua" w:hAnsi="Book Antiqua" w:cs="Times New Roman"/>
        </w:rPr>
        <w:t xml:space="preserve">na Ministerstve zdravotníctva Slovenskej republiky (ďalej len "ministerstvo") </w:t>
      </w:r>
      <w:r w:rsidRPr="00677F48">
        <w:rPr>
          <w:rFonts w:ascii="Book Antiqua" w:hAnsi="Book Antiqua" w:cs="Times New Roman"/>
        </w:rPr>
        <w:t xml:space="preserve">najneskôr </w:t>
      </w:r>
      <w:r w:rsidR="00243E85" w:rsidRPr="00677F48">
        <w:rPr>
          <w:rFonts w:ascii="Book Antiqua" w:hAnsi="Book Antiqua" w:cs="Times New Roman"/>
        </w:rPr>
        <w:t xml:space="preserve">do </w:t>
      </w:r>
      <w:r w:rsidR="00C15854" w:rsidRPr="00677F48">
        <w:rPr>
          <w:rFonts w:ascii="Book Antiqua" w:hAnsi="Book Antiqua" w:cs="Times New Roman"/>
        </w:rPr>
        <w:t>3</w:t>
      </w:r>
      <w:r w:rsidR="00737F46" w:rsidRPr="00677F48">
        <w:rPr>
          <w:rFonts w:ascii="Book Antiqua" w:hAnsi="Book Antiqua" w:cs="Times New Roman"/>
        </w:rPr>
        <w:t>1.</w:t>
      </w:r>
      <w:r w:rsidR="000E5BD1" w:rsidRPr="00677F48">
        <w:rPr>
          <w:rFonts w:ascii="Book Antiqua" w:hAnsi="Book Antiqua" w:cs="Times New Roman"/>
        </w:rPr>
        <w:t xml:space="preserve"> decembra</w:t>
      </w:r>
      <w:r w:rsidR="00D74078" w:rsidRPr="00677F48">
        <w:rPr>
          <w:rFonts w:ascii="Book Antiqua" w:hAnsi="Book Antiqua" w:cs="Times New Roman"/>
        </w:rPr>
        <w:t xml:space="preserve"> </w:t>
      </w:r>
      <w:r w:rsidR="00737F46" w:rsidRPr="00677F48">
        <w:rPr>
          <w:rFonts w:ascii="Book Antiqua" w:hAnsi="Book Antiqua" w:cs="Times New Roman"/>
        </w:rPr>
        <w:t>202</w:t>
      </w:r>
      <w:r w:rsidR="00DD531B" w:rsidRPr="00677F48">
        <w:rPr>
          <w:rFonts w:ascii="Book Antiqua" w:hAnsi="Book Antiqua" w:cs="Times New Roman"/>
        </w:rPr>
        <w:t>6</w:t>
      </w:r>
      <w:r w:rsidR="00243E85" w:rsidRPr="00677F48">
        <w:rPr>
          <w:rFonts w:ascii="Book Antiqua" w:hAnsi="Book Antiqua" w:cs="Times New Roman"/>
        </w:rPr>
        <w:t>, inak nárok zaniká.</w:t>
      </w:r>
    </w:p>
    <w:p w14:paraId="667FA3F0" w14:textId="77777777" w:rsidR="00653B3A" w:rsidRPr="00677F48" w:rsidRDefault="00653B3A"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(3) </w:t>
      </w:r>
      <w:r w:rsidR="00243E85" w:rsidRPr="00677F48">
        <w:rPr>
          <w:rFonts w:ascii="Book Antiqua" w:hAnsi="Book Antiqua" w:cs="Times New Roman"/>
        </w:rPr>
        <w:t xml:space="preserve">Žiadosť </w:t>
      </w:r>
      <w:r w:rsidR="00BF72D8" w:rsidRPr="00677F48">
        <w:rPr>
          <w:rFonts w:ascii="Book Antiqua" w:hAnsi="Book Antiqua" w:cs="Times New Roman"/>
        </w:rPr>
        <w:t xml:space="preserve">podľa odseku 2 </w:t>
      </w:r>
      <w:r w:rsidR="00243E85" w:rsidRPr="00677F48">
        <w:rPr>
          <w:rFonts w:ascii="Book Antiqua" w:hAnsi="Book Antiqua" w:cs="Times New Roman"/>
        </w:rPr>
        <w:t xml:space="preserve">musí okrem všeobecných náležitostí </w:t>
      </w:r>
      <w:r w:rsidR="00BF72D8" w:rsidRPr="00677F48">
        <w:rPr>
          <w:rFonts w:ascii="Book Antiqua" w:hAnsi="Book Antiqua" w:cs="Times New Roman"/>
        </w:rPr>
        <w:t>podania podľa všeobecného predpisu o správnom konaní</w:t>
      </w:r>
      <w:r w:rsidR="000E5BD1" w:rsidRPr="00677F48">
        <w:rPr>
          <w:rStyle w:val="Odkaznapoznmkupodiarou"/>
          <w:rFonts w:ascii="Book Antiqua" w:hAnsi="Book Antiqua" w:cs="Times New Roman"/>
        </w:rPr>
        <w:footnoteReference w:id="2"/>
      </w:r>
      <w:r w:rsidR="00BF72D8" w:rsidRPr="00677F48">
        <w:rPr>
          <w:rFonts w:ascii="Book Antiqua" w:hAnsi="Book Antiqua" w:cs="Times New Roman"/>
        </w:rPr>
        <w:t xml:space="preserve">) </w:t>
      </w:r>
      <w:r w:rsidR="008265C4" w:rsidRPr="00677F48">
        <w:rPr>
          <w:rFonts w:ascii="Book Antiqua" w:hAnsi="Book Antiqua" w:cs="Times New Roman"/>
        </w:rPr>
        <w:t xml:space="preserve">obsahovať </w:t>
      </w:r>
      <w:r w:rsidRPr="00677F48">
        <w:rPr>
          <w:rFonts w:ascii="Book Antiqua" w:hAnsi="Book Antiqua" w:cs="Times New Roman"/>
        </w:rPr>
        <w:t xml:space="preserve">aj </w:t>
      </w:r>
      <w:r w:rsidR="008265C4" w:rsidRPr="00677F48">
        <w:rPr>
          <w:rFonts w:ascii="Book Antiqua" w:hAnsi="Book Antiqua" w:cs="Times New Roman"/>
        </w:rPr>
        <w:t>popis rozhodujúcich skutočností prípadu a okolností, za ktorých došlo k sterilizácii v rozpore s právom, vrátane označenia zdravotníckeho zariadenia a údajov o tom, kedy došlo k sterilizácii v rozpore s právom. K žiadosti sa pripojí zdravotná dokumentácia alebo iné doklady</w:t>
      </w:r>
      <w:r w:rsidR="00243E85" w:rsidRPr="00677F48">
        <w:rPr>
          <w:rFonts w:ascii="Book Antiqua" w:hAnsi="Book Antiqua" w:cs="Times New Roman"/>
        </w:rPr>
        <w:t xml:space="preserve"> preukazujúce rozhodujúce skutočnosti pre záver, že ide o oprávnenú osobu</w:t>
      </w:r>
      <w:r w:rsidR="008265C4" w:rsidRPr="00677F48">
        <w:rPr>
          <w:rFonts w:ascii="Book Antiqua" w:hAnsi="Book Antiqua" w:cs="Times New Roman"/>
        </w:rPr>
        <w:t xml:space="preserve">, alebo vyhlásenie, že takýmito dokladmi </w:t>
      </w:r>
      <w:r w:rsidR="00322E42" w:rsidRPr="00677F48">
        <w:rPr>
          <w:rFonts w:ascii="Book Antiqua" w:hAnsi="Book Antiqua" w:cs="Times New Roman"/>
        </w:rPr>
        <w:t xml:space="preserve">oprávnená </w:t>
      </w:r>
      <w:r w:rsidR="008265C4" w:rsidRPr="00677F48">
        <w:rPr>
          <w:rFonts w:ascii="Book Antiqua" w:hAnsi="Book Antiqua" w:cs="Times New Roman"/>
        </w:rPr>
        <w:t xml:space="preserve">osoba nedisponuje. </w:t>
      </w:r>
    </w:p>
    <w:p w14:paraId="49C11763" w14:textId="77777777" w:rsidR="00243E85" w:rsidRPr="00677F48" w:rsidRDefault="00653B3A"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(4) </w:t>
      </w:r>
      <w:r w:rsidR="00243E85" w:rsidRPr="00677F48">
        <w:rPr>
          <w:rFonts w:ascii="Book Antiqua" w:hAnsi="Book Antiqua" w:cs="Times New Roman"/>
        </w:rPr>
        <w:t xml:space="preserve">Ak </w:t>
      </w:r>
      <w:r w:rsidR="008265C4" w:rsidRPr="00677F48">
        <w:rPr>
          <w:rFonts w:ascii="Book Antiqua" w:hAnsi="Book Antiqua" w:cs="Times New Roman"/>
        </w:rPr>
        <w:t>žiadosť nemá náležitosti podľa odseku 3</w:t>
      </w:r>
      <w:r w:rsidR="00243E85" w:rsidRPr="00677F48">
        <w:rPr>
          <w:rFonts w:ascii="Book Antiqua" w:hAnsi="Book Antiqua" w:cs="Times New Roman"/>
        </w:rPr>
        <w:t>, ministerstvo</w:t>
      </w:r>
      <w:r w:rsidR="00322E42" w:rsidRPr="00677F48">
        <w:rPr>
          <w:rFonts w:ascii="Book Antiqua" w:hAnsi="Book Antiqua" w:cs="Times New Roman"/>
        </w:rPr>
        <w:t xml:space="preserve"> vyzve</w:t>
      </w:r>
      <w:r w:rsidR="00243E85" w:rsidRPr="00677F48">
        <w:rPr>
          <w:rFonts w:ascii="Book Antiqua" w:hAnsi="Book Antiqua" w:cs="Times New Roman"/>
        </w:rPr>
        <w:t xml:space="preserve"> </w:t>
      </w:r>
      <w:r w:rsidR="00967435" w:rsidRPr="00677F48">
        <w:rPr>
          <w:rFonts w:ascii="Book Antiqua" w:hAnsi="Book Antiqua" w:cs="Times New Roman"/>
        </w:rPr>
        <w:t>žiadateľa</w:t>
      </w:r>
      <w:r w:rsidR="00243E85" w:rsidRPr="00677F48">
        <w:rPr>
          <w:rFonts w:ascii="Book Antiqua" w:hAnsi="Book Antiqua" w:cs="Times New Roman"/>
        </w:rPr>
        <w:t xml:space="preserve"> na </w:t>
      </w:r>
      <w:r w:rsidR="008265C4" w:rsidRPr="00677F48">
        <w:rPr>
          <w:rFonts w:ascii="Book Antiqua" w:hAnsi="Book Antiqua" w:cs="Times New Roman"/>
        </w:rPr>
        <w:t xml:space="preserve">doplnenie žiadosti v lehote, ktorá </w:t>
      </w:r>
      <w:r w:rsidR="00EF4EF3" w:rsidRPr="00677F48">
        <w:rPr>
          <w:rFonts w:ascii="Book Antiqua" w:hAnsi="Book Antiqua" w:cs="Times New Roman"/>
        </w:rPr>
        <w:t xml:space="preserve">nesmie </w:t>
      </w:r>
      <w:r w:rsidR="00C77553" w:rsidRPr="00677F48">
        <w:rPr>
          <w:rFonts w:ascii="Book Antiqua" w:hAnsi="Book Antiqua" w:cs="Times New Roman"/>
        </w:rPr>
        <w:t>byť kratšia</w:t>
      </w:r>
      <w:r w:rsidR="008265C4" w:rsidRPr="00677F48">
        <w:rPr>
          <w:rFonts w:ascii="Book Antiqua" w:hAnsi="Book Antiqua" w:cs="Times New Roman"/>
        </w:rPr>
        <w:t xml:space="preserve"> </w:t>
      </w:r>
      <w:r w:rsidR="00C77553" w:rsidRPr="00677F48">
        <w:rPr>
          <w:rFonts w:ascii="Book Antiqua" w:hAnsi="Book Antiqua" w:cs="Times New Roman"/>
        </w:rPr>
        <w:t xml:space="preserve">ako </w:t>
      </w:r>
      <w:r w:rsidR="008265C4" w:rsidRPr="00677F48">
        <w:rPr>
          <w:rFonts w:ascii="Book Antiqua" w:hAnsi="Book Antiqua" w:cs="Times New Roman"/>
        </w:rPr>
        <w:t xml:space="preserve">30 dní. </w:t>
      </w:r>
      <w:r w:rsidR="00967435" w:rsidRPr="00677F48">
        <w:rPr>
          <w:rFonts w:ascii="Book Antiqua" w:hAnsi="Book Antiqua" w:cs="Times New Roman"/>
        </w:rPr>
        <w:t>Ak</w:t>
      </w:r>
      <w:r w:rsidR="00243E85" w:rsidRPr="00677F48">
        <w:rPr>
          <w:rFonts w:ascii="Book Antiqua" w:hAnsi="Book Antiqua" w:cs="Times New Roman"/>
        </w:rPr>
        <w:t xml:space="preserve"> žiadateľ v</w:t>
      </w:r>
      <w:r w:rsidR="008265C4" w:rsidRPr="00677F48">
        <w:rPr>
          <w:rFonts w:ascii="Book Antiqua" w:hAnsi="Book Antiqua" w:cs="Times New Roman"/>
        </w:rPr>
        <w:t xml:space="preserve"> stanovenej lehote žiadosť nedoplní, ministerstvo odškodnenie neprizná. </w:t>
      </w:r>
    </w:p>
    <w:p w14:paraId="0FAB0BB5" w14:textId="2FBF04DA" w:rsidR="00EF4EF3" w:rsidRPr="00677F48" w:rsidRDefault="00653B3A"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(5) </w:t>
      </w:r>
      <w:r w:rsidR="00DE3CA9" w:rsidRPr="00677F48">
        <w:rPr>
          <w:rFonts w:ascii="Book Antiqua" w:hAnsi="Book Antiqua" w:cs="Times New Roman"/>
        </w:rPr>
        <w:t xml:space="preserve">Ministerstvo </w:t>
      </w:r>
      <w:r w:rsidR="00EF4EF3" w:rsidRPr="00677F48">
        <w:rPr>
          <w:rFonts w:ascii="Book Antiqua" w:hAnsi="Book Antiqua" w:cs="Times New Roman"/>
        </w:rPr>
        <w:t xml:space="preserve">priamo </w:t>
      </w:r>
      <w:r w:rsidR="00DE3CA9" w:rsidRPr="00677F48">
        <w:rPr>
          <w:rFonts w:ascii="Book Antiqua" w:hAnsi="Book Antiqua" w:cs="Times New Roman"/>
        </w:rPr>
        <w:t xml:space="preserve">alebo prostredníctvom vlastnej príspevkovej organizácie, </w:t>
      </w:r>
      <w:r w:rsidR="00967435" w:rsidRPr="00677F48">
        <w:rPr>
          <w:rFonts w:ascii="Book Antiqua" w:hAnsi="Book Antiqua" w:cs="Times New Roman"/>
        </w:rPr>
        <w:t xml:space="preserve">Úrad splnomocnenca vlády Slovenskej republiky pre rómske komunity, úrady práce, sociálnych </w:t>
      </w:r>
      <w:r w:rsidR="00967435" w:rsidRPr="00677F48">
        <w:rPr>
          <w:rFonts w:ascii="Book Antiqua" w:hAnsi="Book Antiqua" w:cs="Times New Roman"/>
        </w:rPr>
        <w:lastRenderedPageBreak/>
        <w:t>vecí a</w:t>
      </w:r>
      <w:r w:rsidR="005E1C8B" w:rsidRPr="00677F48">
        <w:rPr>
          <w:rFonts w:ascii="Book Antiqua" w:hAnsi="Book Antiqua" w:cs="Times New Roman"/>
        </w:rPr>
        <w:t> </w:t>
      </w:r>
      <w:r w:rsidR="00967435" w:rsidRPr="00677F48">
        <w:rPr>
          <w:rFonts w:ascii="Book Antiqua" w:hAnsi="Book Antiqua" w:cs="Times New Roman"/>
        </w:rPr>
        <w:t>rodiny a Centru</w:t>
      </w:r>
      <w:r w:rsidRPr="00677F48">
        <w:rPr>
          <w:rFonts w:ascii="Book Antiqua" w:hAnsi="Book Antiqua" w:cs="Times New Roman"/>
        </w:rPr>
        <w:t>m</w:t>
      </w:r>
      <w:r w:rsidR="00967435" w:rsidRPr="00677F48">
        <w:rPr>
          <w:rFonts w:ascii="Book Antiqua" w:hAnsi="Book Antiqua" w:cs="Times New Roman"/>
        </w:rPr>
        <w:t xml:space="preserve"> právnej pomoci sú povinné poskytnúť </w:t>
      </w:r>
      <w:r w:rsidR="00C77553" w:rsidRPr="00677F48">
        <w:rPr>
          <w:rFonts w:ascii="Book Antiqua" w:hAnsi="Book Antiqua" w:cs="Times New Roman"/>
        </w:rPr>
        <w:t>asistenciu</w:t>
      </w:r>
      <w:r w:rsidR="00967435" w:rsidRPr="00677F48">
        <w:rPr>
          <w:rFonts w:ascii="Book Antiqua" w:hAnsi="Book Antiqua" w:cs="Times New Roman"/>
        </w:rPr>
        <w:t xml:space="preserve"> žiadateľom pri podaní žiadosti</w:t>
      </w:r>
      <w:r w:rsidR="008265C4" w:rsidRPr="00677F48">
        <w:rPr>
          <w:rFonts w:ascii="Book Antiqua" w:hAnsi="Book Antiqua" w:cs="Times New Roman"/>
        </w:rPr>
        <w:t xml:space="preserve"> a</w:t>
      </w:r>
      <w:r w:rsidR="00307C16" w:rsidRPr="00677F48">
        <w:rPr>
          <w:rFonts w:ascii="Book Antiqua" w:hAnsi="Book Antiqua" w:cs="Times New Roman"/>
        </w:rPr>
        <w:t> </w:t>
      </w:r>
      <w:r w:rsidR="00967435" w:rsidRPr="00677F48">
        <w:rPr>
          <w:rFonts w:ascii="Book Antiqua" w:hAnsi="Book Antiqua" w:cs="Times New Roman"/>
        </w:rPr>
        <w:t>pri</w:t>
      </w:r>
      <w:r w:rsidR="00307C16" w:rsidRPr="00677F48">
        <w:rPr>
          <w:rFonts w:ascii="Book Antiqua" w:hAnsi="Book Antiqua" w:cs="Times New Roman"/>
        </w:rPr>
        <w:t xml:space="preserve"> jej</w:t>
      </w:r>
      <w:r w:rsidR="00967435" w:rsidRPr="00677F48">
        <w:rPr>
          <w:rFonts w:ascii="Book Antiqua" w:hAnsi="Book Antiqua" w:cs="Times New Roman"/>
        </w:rPr>
        <w:t xml:space="preserve"> doplnení</w:t>
      </w:r>
      <w:r w:rsidR="008265C4" w:rsidRPr="00677F48">
        <w:rPr>
          <w:rFonts w:ascii="Book Antiqua" w:hAnsi="Book Antiqua" w:cs="Times New Roman"/>
        </w:rPr>
        <w:t xml:space="preserve"> podľa odseku 4</w:t>
      </w:r>
      <w:r w:rsidR="00967435" w:rsidRPr="00677F48">
        <w:rPr>
          <w:rFonts w:ascii="Book Antiqua" w:hAnsi="Book Antiqua" w:cs="Times New Roman"/>
        </w:rPr>
        <w:t xml:space="preserve">. </w:t>
      </w:r>
    </w:p>
    <w:p w14:paraId="2FECD0F5" w14:textId="77777777" w:rsidR="000276BD" w:rsidRPr="00677F48" w:rsidRDefault="00B65644"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(6) </w:t>
      </w:r>
      <w:r w:rsidR="000276BD" w:rsidRPr="00677F48">
        <w:rPr>
          <w:rFonts w:ascii="Book Antiqua" w:hAnsi="Book Antiqua" w:cs="Times New Roman"/>
        </w:rPr>
        <w:t>Žiadosť sa podáva na tlačive, ktorého vzor určí ministerstvo; tlačivá žiadosti sú k dispozícii na ministerstve, ktoré ich zverejní na svojom webovom sídle.</w:t>
      </w:r>
    </w:p>
    <w:p w14:paraId="2B19154E" w14:textId="77777777" w:rsidR="00903F26" w:rsidRPr="00677F48" w:rsidRDefault="00B65644"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(7) </w:t>
      </w:r>
      <w:r w:rsidR="00DE3CA9" w:rsidRPr="00677F48">
        <w:rPr>
          <w:rFonts w:ascii="Book Antiqua" w:hAnsi="Book Antiqua" w:cs="Times New Roman"/>
        </w:rPr>
        <w:t>Subjekty podľa odseku 5</w:t>
      </w:r>
      <w:r w:rsidR="00C15854" w:rsidRPr="00677F48">
        <w:rPr>
          <w:rFonts w:ascii="Book Antiqua" w:hAnsi="Book Antiqua" w:cs="Times New Roman"/>
        </w:rPr>
        <w:t xml:space="preserve"> sú oprávnené spracovávať osobné údaje</w:t>
      </w:r>
      <w:r w:rsidR="00DE3CA9" w:rsidRPr="00677F48">
        <w:rPr>
          <w:rFonts w:ascii="Book Antiqua" w:hAnsi="Book Antiqua" w:cs="Times New Roman"/>
        </w:rPr>
        <w:t xml:space="preserve"> v rozsahu potrebnom </w:t>
      </w:r>
      <w:r w:rsidRPr="00677F48">
        <w:rPr>
          <w:rFonts w:ascii="Book Antiqua" w:hAnsi="Book Antiqua" w:cs="Times New Roman"/>
        </w:rPr>
        <w:t xml:space="preserve">na riadne </w:t>
      </w:r>
      <w:r w:rsidR="00C15854" w:rsidRPr="00677F48">
        <w:rPr>
          <w:rFonts w:ascii="Book Antiqua" w:hAnsi="Book Antiqua" w:cs="Times New Roman"/>
        </w:rPr>
        <w:t>plnenie ich úloh podľa tohto zákona.</w:t>
      </w:r>
    </w:p>
    <w:p w14:paraId="7C53240E" w14:textId="77777777" w:rsidR="0033543C" w:rsidRPr="009868CC" w:rsidRDefault="00967435" w:rsidP="00677F48">
      <w:pPr>
        <w:spacing w:before="120" w:after="120" w:line="276" w:lineRule="auto"/>
        <w:jc w:val="center"/>
        <w:rPr>
          <w:rFonts w:ascii="Book Antiqua" w:hAnsi="Book Antiqua" w:cs="Times New Roman"/>
          <w:b/>
        </w:rPr>
      </w:pPr>
      <w:r w:rsidRPr="009868CC">
        <w:rPr>
          <w:rFonts w:ascii="Book Antiqua" w:hAnsi="Book Antiqua" w:cs="Times New Roman"/>
          <w:b/>
        </w:rPr>
        <w:t>§ 5</w:t>
      </w:r>
    </w:p>
    <w:p w14:paraId="1C9B1B4F" w14:textId="77777777" w:rsidR="00B65644" w:rsidRPr="009868CC" w:rsidRDefault="00967435" w:rsidP="00677F48">
      <w:pPr>
        <w:spacing w:before="120" w:after="120" w:line="276" w:lineRule="auto"/>
        <w:jc w:val="center"/>
        <w:rPr>
          <w:rFonts w:ascii="Book Antiqua" w:hAnsi="Book Antiqua" w:cs="Times New Roman"/>
          <w:b/>
        </w:rPr>
      </w:pPr>
      <w:r w:rsidRPr="009868CC">
        <w:rPr>
          <w:rFonts w:ascii="Book Antiqua" w:hAnsi="Book Antiqua" w:cs="Times New Roman"/>
          <w:b/>
        </w:rPr>
        <w:t>Výška odškodnenia</w:t>
      </w:r>
    </w:p>
    <w:p w14:paraId="057360AC" w14:textId="46D6D3DF" w:rsidR="00967435" w:rsidRPr="00677F48" w:rsidRDefault="00962F0A"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Výška odškodnenia je </w:t>
      </w:r>
      <w:r w:rsidR="005736CE" w:rsidRPr="00677F48">
        <w:rPr>
          <w:rFonts w:ascii="Book Antiqua" w:hAnsi="Book Antiqua" w:cs="Times New Roman"/>
        </w:rPr>
        <w:t>10</w:t>
      </w:r>
      <w:r w:rsidR="00D74078" w:rsidRPr="00677F48">
        <w:rPr>
          <w:rFonts w:ascii="Book Antiqua" w:hAnsi="Book Antiqua" w:cs="Times New Roman"/>
        </w:rPr>
        <w:t xml:space="preserve"> </w:t>
      </w:r>
      <w:r w:rsidR="00967435" w:rsidRPr="00677F48">
        <w:rPr>
          <w:rFonts w:ascii="Book Antiqua" w:hAnsi="Book Antiqua" w:cs="Times New Roman"/>
        </w:rPr>
        <w:t>000 eur.</w:t>
      </w:r>
    </w:p>
    <w:p w14:paraId="36505816" w14:textId="77777777" w:rsidR="0033543C" w:rsidRPr="009868CC" w:rsidRDefault="00967435" w:rsidP="00677F48">
      <w:pPr>
        <w:spacing w:before="120" w:after="120" w:line="276" w:lineRule="auto"/>
        <w:jc w:val="center"/>
        <w:rPr>
          <w:rFonts w:ascii="Book Antiqua" w:hAnsi="Book Antiqua" w:cs="Times New Roman"/>
          <w:b/>
        </w:rPr>
      </w:pPr>
      <w:r w:rsidRPr="009868CC">
        <w:rPr>
          <w:rFonts w:ascii="Book Antiqua" w:hAnsi="Book Antiqua" w:cs="Times New Roman"/>
          <w:b/>
        </w:rPr>
        <w:t>§ 6</w:t>
      </w:r>
    </w:p>
    <w:p w14:paraId="43502746" w14:textId="77777777" w:rsidR="00903F26" w:rsidRPr="009868CC" w:rsidRDefault="00967435" w:rsidP="00677F48">
      <w:pPr>
        <w:tabs>
          <w:tab w:val="left" w:pos="709"/>
        </w:tabs>
        <w:spacing w:before="120" w:after="120" w:line="276" w:lineRule="auto"/>
        <w:jc w:val="center"/>
        <w:rPr>
          <w:rFonts w:ascii="Book Antiqua" w:hAnsi="Book Antiqua" w:cs="Times New Roman"/>
          <w:b/>
        </w:rPr>
      </w:pPr>
      <w:r w:rsidRPr="009868CC">
        <w:rPr>
          <w:rFonts w:ascii="Book Antiqua" w:hAnsi="Book Antiqua" w:cs="Times New Roman"/>
          <w:b/>
        </w:rPr>
        <w:t>Konanie o priznaní odškodnenia</w:t>
      </w:r>
    </w:p>
    <w:p w14:paraId="74FF75C1" w14:textId="77777777" w:rsidR="00852287" w:rsidRPr="00677F48" w:rsidRDefault="00B65644" w:rsidP="00677F48">
      <w:pPr>
        <w:tabs>
          <w:tab w:val="left" w:pos="709"/>
        </w:tabs>
        <w:spacing w:before="120" w:after="120" w:line="276" w:lineRule="auto"/>
        <w:rPr>
          <w:rFonts w:ascii="Book Antiqua" w:hAnsi="Book Antiqua" w:cs="Times New Roman"/>
        </w:rPr>
      </w:pPr>
      <w:r w:rsidRPr="00677F48">
        <w:rPr>
          <w:rFonts w:ascii="Book Antiqua" w:hAnsi="Book Antiqua" w:cs="Times New Roman"/>
        </w:rPr>
        <w:t xml:space="preserve">(1) </w:t>
      </w:r>
      <w:r w:rsidR="00F63937" w:rsidRPr="00677F48">
        <w:rPr>
          <w:rFonts w:ascii="Book Antiqua" w:hAnsi="Book Antiqua" w:cs="Times New Roman"/>
        </w:rPr>
        <w:t xml:space="preserve">O </w:t>
      </w:r>
      <w:r w:rsidR="00852287" w:rsidRPr="00677F48">
        <w:rPr>
          <w:rFonts w:ascii="Book Antiqua" w:hAnsi="Book Antiqua" w:cs="Times New Roman"/>
        </w:rPr>
        <w:t>poskytnutí odškodnenia rozhoduje a odškodnenie vypláca ministerstvo.</w:t>
      </w:r>
    </w:p>
    <w:p w14:paraId="07555857" w14:textId="77777777" w:rsidR="00852287" w:rsidRPr="00677F48" w:rsidRDefault="00B65644"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(2) </w:t>
      </w:r>
      <w:r w:rsidR="00852287" w:rsidRPr="00677F48">
        <w:rPr>
          <w:rFonts w:ascii="Book Antiqua" w:hAnsi="Book Antiqua" w:cs="Times New Roman"/>
        </w:rPr>
        <w:t>Konanie podľa tohto zákona sa začína podaním žiadosti.</w:t>
      </w:r>
    </w:p>
    <w:p w14:paraId="702AB262" w14:textId="77777777" w:rsidR="005E1C8B" w:rsidRPr="00677F48" w:rsidRDefault="00B65644"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(3) </w:t>
      </w:r>
      <w:r w:rsidR="005E1C8B" w:rsidRPr="00677F48">
        <w:rPr>
          <w:rFonts w:ascii="Book Antiqua" w:hAnsi="Book Antiqua" w:cs="Times New Roman"/>
        </w:rPr>
        <w:t xml:space="preserve">Včas uplatnený nárok, </w:t>
      </w:r>
      <w:r w:rsidR="00D5543D" w:rsidRPr="00677F48">
        <w:rPr>
          <w:rFonts w:ascii="Book Antiqua" w:hAnsi="Book Antiqua" w:cs="Times New Roman"/>
        </w:rPr>
        <w:t>pokiaľ</w:t>
      </w:r>
      <w:r w:rsidR="005E1C8B" w:rsidRPr="00677F48">
        <w:rPr>
          <w:rFonts w:ascii="Book Antiqua" w:hAnsi="Book Antiqua" w:cs="Times New Roman"/>
        </w:rPr>
        <w:t xml:space="preserve"> o ňom nebolo rozhodnuté alebo </w:t>
      </w:r>
      <w:r w:rsidR="00D5543D" w:rsidRPr="00677F48">
        <w:rPr>
          <w:rFonts w:ascii="Book Antiqua" w:hAnsi="Book Antiqua" w:cs="Times New Roman"/>
        </w:rPr>
        <w:t>pokiaľ</w:t>
      </w:r>
      <w:r w:rsidR="00D74078" w:rsidRPr="00677F48">
        <w:rPr>
          <w:rFonts w:ascii="Book Antiqua" w:hAnsi="Book Antiqua" w:cs="Times New Roman"/>
        </w:rPr>
        <w:t xml:space="preserve"> </w:t>
      </w:r>
      <w:r w:rsidR="005E1C8B" w:rsidRPr="00677F48">
        <w:rPr>
          <w:rFonts w:ascii="Book Antiqua" w:hAnsi="Book Antiqua" w:cs="Times New Roman"/>
        </w:rPr>
        <w:t xml:space="preserve"> </w:t>
      </w:r>
      <w:r w:rsidR="00D5543D" w:rsidRPr="00677F48">
        <w:rPr>
          <w:rFonts w:ascii="Book Antiqua" w:hAnsi="Book Antiqua" w:cs="Times New Roman"/>
        </w:rPr>
        <w:t>odškodnenie</w:t>
      </w:r>
      <w:r w:rsidR="00D74078" w:rsidRPr="00677F48">
        <w:rPr>
          <w:rFonts w:ascii="Book Antiqua" w:hAnsi="Book Antiqua" w:cs="Times New Roman"/>
        </w:rPr>
        <w:t xml:space="preserve"> </w:t>
      </w:r>
      <w:r w:rsidR="005E1C8B" w:rsidRPr="00677F48">
        <w:rPr>
          <w:rFonts w:ascii="Book Antiqua" w:hAnsi="Book Antiqua" w:cs="Times New Roman"/>
        </w:rPr>
        <w:t>nebol</w:t>
      </w:r>
      <w:r w:rsidR="00D5543D" w:rsidRPr="00677F48">
        <w:rPr>
          <w:rFonts w:ascii="Book Antiqua" w:hAnsi="Book Antiqua" w:cs="Times New Roman"/>
        </w:rPr>
        <w:t>o</w:t>
      </w:r>
      <w:r w:rsidR="00D74078" w:rsidRPr="00677F48">
        <w:rPr>
          <w:rFonts w:ascii="Book Antiqua" w:hAnsi="Book Antiqua" w:cs="Times New Roman"/>
        </w:rPr>
        <w:t xml:space="preserve"> </w:t>
      </w:r>
      <w:r w:rsidR="005E1C8B" w:rsidRPr="00677F48">
        <w:rPr>
          <w:rFonts w:ascii="Book Antiqua" w:hAnsi="Book Antiqua" w:cs="Times New Roman"/>
        </w:rPr>
        <w:t>vyplaten</w:t>
      </w:r>
      <w:r w:rsidR="00D5543D" w:rsidRPr="00677F48">
        <w:rPr>
          <w:rFonts w:ascii="Book Antiqua" w:hAnsi="Book Antiqua" w:cs="Times New Roman"/>
        </w:rPr>
        <w:t>é</w:t>
      </w:r>
      <w:r w:rsidR="005E1C8B" w:rsidRPr="00677F48">
        <w:rPr>
          <w:rFonts w:ascii="Book Antiqua" w:hAnsi="Book Antiqua" w:cs="Times New Roman"/>
        </w:rPr>
        <w:t xml:space="preserve">, prechádza v prípade </w:t>
      </w:r>
      <w:r w:rsidR="00D5543D" w:rsidRPr="00677F48">
        <w:rPr>
          <w:rFonts w:ascii="Book Antiqua" w:hAnsi="Book Antiqua" w:cs="Times New Roman"/>
        </w:rPr>
        <w:t xml:space="preserve">smrti </w:t>
      </w:r>
      <w:r w:rsidR="005E1C8B" w:rsidRPr="00677F48">
        <w:rPr>
          <w:rFonts w:ascii="Book Antiqua" w:hAnsi="Book Antiqua" w:cs="Times New Roman"/>
        </w:rPr>
        <w:t>oprávnenej osoby na jej dedičov.</w:t>
      </w:r>
    </w:p>
    <w:p w14:paraId="65216B8D" w14:textId="05B7F265" w:rsidR="00D20B51" w:rsidRPr="00677F48" w:rsidRDefault="00013B65" w:rsidP="00677F48">
      <w:pPr>
        <w:spacing w:before="120" w:after="120" w:line="276" w:lineRule="auto"/>
        <w:jc w:val="both"/>
        <w:rPr>
          <w:rFonts w:ascii="Book Antiqua" w:hAnsi="Book Antiqua" w:cs="Times New Roman"/>
        </w:rPr>
      </w:pPr>
      <w:r w:rsidRPr="00677F48">
        <w:rPr>
          <w:rFonts w:ascii="Book Antiqua" w:hAnsi="Book Antiqua" w:cs="Times New Roman"/>
        </w:rPr>
        <w:t>(4) Nárok na priznanie odškodnenia sa preukazuje najmä výpisom zo zdravotnej dokumentácie, listinami a dokladmi, alebo aj dôveryhodným svedectvom žiadateľky.</w:t>
      </w:r>
    </w:p>
    <w:p w14:paraId="310A3CF5" w14:textId="4E29F669" w:rsidR="00F63937" w:rsidRPr="00677F48" w:rsidRDefault="00B65644" w:rsidP="00677F48">
      <w:pPr>
        <w:spacing w:before="120" w:after="120" w:line="276" w:lineRule="auto"/>
        <w:jc w:val="both"/>
        <w:rPr>
          <w:rFonts w:ascii="Book Antiqua" w:hAnsi="Book Antiqua" w:cs="Times New Roman"/>
        </w:rPr>
      </w:pPr>
      <w:r w:rsidRPr="00677F48">
        <w:rPr>
          <w:rFonts w:ascii="Book Antiqua" w:hAnsi="Book Antiqua" w:cs="Times New Roman"/>
        </w:rPr>
        <w:t>(</w:t>
      </w:r>
      <w:r w:rsidR="00D20B51" w:rsidRPr="00677F48">
        <w:rPr>
          <w:rFonts w:ascii="Book Antiqua" w:hAnsi="Book Antiqua" w:cs="Times New Roman"/>
        </w:rPr>
        <w:t>5</w:t>
      </w:r>
      <w:r w:rsidRPr="00677F48">
        <w:rPr>
          <w:rFonts w:ascii="Book Antiqua" w:hAnsi="Book Antiqua" w:cs="Times New Roman"/>
        </w:rPr>
        <w:t xml:space="preserve">) </w:t>
      </w:r>
      <w:r w:rsidR="00852287" w:rsidRPr="00677F48">
        <w:rPr>
          <w:rFonts w:ascii="Book Antiqua" w:hAnsi="Book Antiqua" w:cs="Times New Roman"/>
        </w:rPr>
        <w:t>Zamestnanci ministerstva sú pri preverovaní skutočnos</w:t>
      </w:r>
      <w:r w:rsidR="00903F26" w:rsidRPr="00677F48">
        <w:rPr>
          <w:rFonts w:ascii="Book Antiqua" w:hAnsi="Book Antiqua" w:cs="Times New Roman"/>
        </w:rPr>
        <w:t>tí dôležitých pre rozhodnutie o </w:t>
      </w:r>
      <w:r w:rsidR="00852287" w:rsidRPr="00677F48">
        <w:rPr>
          <w:rFonts w:ascii="Book Antiqua" w:hAnsi="Book Antiqua" w:cs="Times New Roman"/>
        </w:rPr>
        <w:t>podanej žiadosti oprávnení nahliadať do príslušnej zdravotnej dokumentácie</w:t>
      </w:r>
      <w:r w:rsidR="00267D2E" w:rsidRPr="00677F48">
        <w:rPr>
          <w:rFonts w:ascii="Book Antiqua" w:hAnsi="Book Antiqua" w:cs="Times New Roman"/>
        </w:rPr>
        <w:t xml:space="preserve"> a do príslušných evidencií a registrov</w:t>
      </w:r>
      <w:r w:rsidR="00852287" w:rsidRPr="00677F48">
        <w:rPr>
          <w:rFonts w:ascii="Book Antiqua" w:hAnsi="Book Antiqua" w:cs="Times New Roman"/>
        </w:rPr>
        <w:t xml:space="preserve"> alebo požadovať od zdravotníckych zariadení</w:t>
      </w:r>
      <w:r w:rsidR="00267D2E" w:rsidRPr="00677F48">
        <w:rPr>
          <w:rFonts w:ascii="Book Antiqua" w:hAnsi="Book Antiqua" w:cs="Times New Roman"/>
        </w:rPr>
        <w:t>, poskytovateľov zdravotnej starostlivosti</w:t>
      </w:r>
      <w:r w:rsidR="00852287" w:rsidRPr="00677F48">
        <w:rPr>
          <w:rFonts w:ascii="Book Antiqua" w:hAnsi="Book Antiqua" w:cs="Times New Roman"/>
        </w:rPr>
        <w:t>, štátnych orgánov, vyšších územných celkov, obcí a iných osôb súčinnosť pri získavaní informácií, ktoré sú nevyhnutné na rozhodnutie o žiadosti.</w:t>
      </w:r>
      <w:r w:rsidR="00267D2E" w:rsidRPr="00677F48">
        <w:rPr>
          <w:rFonts w:ascii="Book Antiqua" w:hAnsi="Book Antiqua" w:cs="Times New Roman"/>
        </w:rPr>
        <w:t xml:space="preserve"> </w:t>
      </w:r>
    </w:p>
    <w:p w14:paraId="70D15772" w14:textId="628A29AD" w:rsidR="00852287" w:rsidRPr="00677F48" w:rsidRDefault="00B65644" w:rsidP="00677F48">
      <w:pPr>
        <w:spacing w:before="120" w:after="120" w:line="276" w:lineRule="auto"/>
        <w:jc w:val="both"/>
        <w:rPr>
          <w:rFonts w:ascii="Book Antiqua" w:hAnsi="Book Antiqua" w:cs="Times New Roman"/>
        </w:rPr>
      </w:pPr>
      <w:r w:rsidRPr="00677F48">
        <w:rPr>
          <w:rFonts w:ascii="Book Antiqua" w:hAnsi="Book Antiqua" w:cs="Times New Roman"/>
        </w:rPr>
        <w:t>(</w:t>
      </w:r>
      <w:r w:rsidR="00D20B51" w:rsidRPr="00677F48">
        <w:rPr>
          <w:rFonts w:ascii="Book Antiqua" w:hAnsi="Book Antiqua" w:cs="Times New Roman"/>
        </w:rPr>
        <w:t>6</w:t>
      </w:r>
      <w:r w:rsidRPr="00677F48">
        <w:rPr>
          <w:rFonts w:ascii="Book Antiqua" w:hAnsi="Book Antiqua" w:cs="Times New Roman"/>
        </w:rPr>
        <w:t xml:space="preserve">) </w:t>
      </w:r>
      <w:r w:rsidR="00F63937" w:rsidRPr="00677F48">
        <w:rPr>
          <w:rFonts w:ascii="Book Antiqua" w:hAnsi="Book Antiqua" w:cs="Times New Roman"/>
        </w:rPr>
        <w:t xml:space="preserve">Orgány a osoby podľa odseku </w:t>
      </w:r>
      <w:r w:rsidR="00013B65" w:rsidRPr="00677F48">
        <w:rPr>
          <w:rFonts w:ascii="Book Antiqua" w:hAnsi="Book Antiqua" w:cs="Times New Roman"/>
        </w:rPr>
        <w:t>5</w:t>
      </w:r>
      <w:r w:rsidR="00852287" w:rsidRPr="00677F48">
        <w:rPr>
          <w:rFonts w:ascii="Book Antiqua" w:hAnsi="Book Antiqua" w:cs="Times New Roman"/>
        </w:rPr>
        <w:t xml:space="preserve"> sú povinné poskytnúť ministerstvu súčinnosť v</w:t>
      </w:r>
      <w:r w:rsidR="00903F26" w:rsidRPr="00677F48">
        <w:rPr>
          <w:rFonts w:ascii="Book Antiqua" w:hAnsi="Book Antiqua" w:cs="Times New Roman"/>
        </w:rPr>
        <w:t xml:space="preserve"> </w:t>
      </w:r>
      <w:r w:rsidR="00852287" w:rsidRPr="00677F48">
        <w:rPr>
          <w:rFonts w:ascii="Book Antiqua" w:hAnsi="Book Antiqua" w:cs="Times New Roman"/>
        </w:rPr>
        <w:t xml:space="preserve">rozsahu podľa odseku </w:t>
      </w:r>
      <w:r w:rsidR="00013B65" w:rsidRPr="00677F48">
        <w:rPr>
          <w:rFonts w:ascii="Book Antiqua" w:hAnsi="Book Antiqua" w:cs="Times New Roman"/>
        </w:rPr>
        <w:t>5</w:t>
      </w:r>
      <w:r w:rsidR="00852287" w:rsidRPr="00677F48">
        <w:rPr>
          <w:rFonts w:ascii="Book Antiqua" w:hAnsi="Book Antiqua" w:cs="Times New Roman"/>
        </w:rPr>
        <w:t>.</w:t>
      </w:r>
    </w:p>
    <w:p w14:paraId="033A2A92" w14:textId="696DCC21" w:rsidR="00C00912" w:rsidRPr="00677F48" w:rsidRDefault="005622E1" w:rsidP="00677F48">
      <w:pPr>
        <w:pStyle w:val="Odsekzoznamu"/>
        <w:spacing w:before="120" w:after="120" w:line="276" w:lineRule="auto"/>
        <w:ind w:left="0"/>
        <w:jc w:val="both"/>
        <w:rPr>
          <w:rFonts w:ascii="Book Antiqua" w:hAnsi="Book Antiqua" w:cs="Times New Roman"/>
        </w:rPr>
      </w:pPr>
      <w:r w:rsidRPr="00677F48">
        <w:rPr>
          <w:rFonts w:ascii="Book Antiqua" w:hAnsi="Book Antiqua" w:cs="Times New Roman"/>
        </w:rPr>
        <w:t>(</w:t>
      </w:r>
      <w:r w:rsidR="00D20B51" w:rsidRPr="00677F48">
        <w:rPr>
          <w:rFonts w:ascii="Book Antiqua" w:hAnsi="Book Antiqua" w:cs="Times New Roman"/>
        </w:rPr>
        <w:t>7</w:t>
      </w:r>
      <w:r w:rsidRPr="00677F48">
        <w:rPr>
          <w:rFonts w:ascii="Book Antiqua" w:hAnsi="Book Antiqua" w:cs="Times New Roman"/>
        </w:rPr>
        <w:t xml:space="preserve">) </w:t>
      </w:r>
      <w:r w:rsidR="00852287" w:rsidRPr="00677F48">
        <w:rPr>
          <w:rFonts w:ascii="Book Antiqua" w:hAnsi="Book Antiqua" w:cs="Times New Roman"/>
        </w:rPr>
        <w:t>Ministerstvo posúdi predloženú žiadosť a rozhodne o</w:t>
      </w:r>
      <w:r w:rsidR="0077318B" w:rsidRPr="00677F48">
        <w:rPr>
          <w:rFonts w:ascii="Book Antiqua" w:hAnsi="Book Antiqua" w:cs="Times New Roman"/>
        </w:rPr>
        <w:t> </w:t>
      </w:r>
      <w:r w:rsidR="00C15854" w:rsidRPr="00677F48">
        <w:rPr>
          <w:rFonts w:ascii="Book Antiqua" w:hAnsi="Book Antiqua" w:cs="Times New Roman"/>
        </w:rPr>
        <w:t xml:space="preserve">nej </w:t>
      </w:r>
      <w:r w:rsidR="00852287" w:rsidRPr="00677F48">
        <w:rPr>
          <w:rFonts w:ascii="Book Antiqua" w:hAnsi="Book Antiqua" w:cs="Times New Roman"/>
        </w:rPr>
        <w:t>do šiestich mesiacov od</w:t>
      </w:r>
      <w:r w:rsidR="00D5543D" w:rsidRPr="00677F48">
        <w:rPr>
          <w:rFonts w:ascii="Book Antiqua" w:hAnsi="Book Antiqua" w:cs="Times New Roman"/>
        </w:rPr>
        <w:t>o dňa doručenia úplnej žiadosti.</w:t>
      </w:r>
      <w:r w:rsidR="00852287" w:rsidRPr="00677F48">
        <w:rPr>
          <w:rFonts w:ascii="Book Antiqua" w:hAnsi="Book Antiqua" w:cs="Times New Roman"/>
        </w:rPr>
        <w:t xml:space="preserve"> </w:t>
      </w:r>
    </w:p>
    <w:p w14:paraId="751C227D" w14:textId="77F1FEF4" w:rsidR="00852287" w:rsidRPr="00677F48" w:rsidRDefault="00013B65" w:rsidP="00677F48">
      <w:pPr>
        <w:pStyle w:val="Odsekzoznamu"/>
        <w:spacing w:before="120" w:after="120" w:line="276" w:lineRule="auto"/>
        <w:ind w:left="0"/>
        <w:jc w:val="both"/>
        <w:rPr>
          <w:rFonts w:ascii="Book Antiqua" w:hAnsi="Book Antiqua"/>
        </w:rPr>
      </w:pPr>
      <w:r w:rsidRPr="00677F48">
        <w:rPr>
          <w:rFonts w:ascii="Book Antiqua" w:hAnsi="Book Antiqua" w:cs="Times New Roman"/>
        </w:rPr>
        <w:t xml:space="preserve">(8) </w:t>
      </w:r>
      <w:r w:rsidRPr="00677F48">
        <w:rPr>
          <w:rFonts w:ascii="Book Antiqua" w:hAnsi="Book Antiqua"/>
        </w:rPr>
        <w:t>V prípade rozhodnutia o žiadosti, ktorým odškodnenie nebolo priznané a ktoré bolo doručené žiadateľovi, môže rozhodnutie z vlastného podnetu alebo na základe žiadosti žiadateľa preskúmať minister zdravotníctva Slovenskej republiky. Ak bolo rozhodnutie o žiadosti vydané v rozpore s týmto zákonom, minister zdravotníctva Slovenskej republiky vydá nové rozhodnutie. Tým nie je dotknuté právo žiadateľa domáhať sa ochrany svojich subjektívnych práv proti rozhodnutiu, ktorým odškodnenie nebolo priznané správnou žalobou podľa Správneho súdneho poriadku.</w:t>
      </w:r>
    </w:p>
    <w:p w14:paraId="0560879C" w14:textId="217A2515" w:rsidR="00C00912" w:rsidRPr="00677F48" w:rsidRDefault="00C00912" w:rsidP="00677F48">
      <w:pPr>
        <w:pStyle w:val="Odsekzoznamu"/>
        <w:spacing w:before="120" w:after="120" w:line="276" w:lineRule="auto"/>
        <w:ind w:left="0"/>
        <w:jc w:val="both"/>
        <w:rPr>
          <w:rFonts w:ascii="Book Antiqua" w:hAnsi="Book Antiqua" w:cs="Times New Roman"/>
        </w:rPr>
      </w:pPr>
      <w:r w:rsidRPr="00677F48">
        <w:rPr>
          <w:rFonts w:ascii="Book Antiqua" w:hAnsi="Book Antiqua"/>
        </w:rPr>
        <w:t xml:space="preserve">(9) </w:t>
      </w:r>
      <w:r w:rsidRPr="00677F48">
        <w:rPr>
          <w:rFonts w:ascii="Book Antiqua" w:hAnsi="Book Antiqua" w:cs="Times New Roman"/>
        </w:rPr>
        <w:t xml:space="preserve">Minister zdravotníctva Slovenskej republiky rozhoduje podľa odseku 8 na základe návrhu ním ustanovenej multidisciplinárnej komisie ako jeho poradného orgánu (ďalej len „komisia“), zloženej zo zástupcov Ministerstva zdravotníctva Slovenskej republiky, Ministerstva spravodlivosti Slovenskej republiky, Ministerstva práce, sociálnych vecí a rodiny Slovenskej republiky, Kancelárie verejného ochrancu práv, Úradu splnomocnenca vlády Slovenskej republiky pre rómske komunity, Slovenského národného strediska pre ľudské </w:t>
      </w:r>
      <w:r w:rsidRPr="00677F48">
        <w:rPr>
          <w:rFonts w:ascii="Book Antiqua" w:hAnsi="Book Antiqua" w:cs="Times New Roman"/>
        </w:rPr>
        <w:lastRenderedPageBreak/>
        <w:t>práva a mimovládnych organizácii venujúcich sa reprodukčným právam žien. Podrobnosti o postupe práce komisie a jej zložení upraví ministerstvo štatútom, ktorý schvaľuje minister zdravotníctva Slovenskej republiky, pričom komisia musí mať nepárny počet členov a nadpolovičnú väčšinu nesmú tvoriť zástupcovia ministerstva. Členovia komisie sú oprávnení oboznamovať sa s osobnými údajmi v rozsahu potrebnom na plnenie ich úloh podľa tohto zákona.</w:t>
      </w:r>
    </w:p>
    <w:p w14:paraId="5363FCF6" w14:textId="19CED127" w:rsidR="005E1C8B" w:rsidRPr="00677F48" w:rsidRDefault="005622E1" w:rsidP="00677F48">
      <w:pPr>
        <w:tabs>
          <w:tab w:val="left" w:pos="567"/>
          <w:tab w:val="left" w:pos="709"/>
        </w:tabs>
        <w:spacing w:before="120" w:after="120" w:line="276" w:lineRule="auto"/>
        <w:jc w:val="both"/>
        <w:rPr>
          <w:rFonts w:ascii="Book Antiqua" w:hAnsi="Book Antiqua" w:cs="Times New Roman"/>
        </w:rPr>
      </w:pPr>
      <w:r w:rsidRPr="00677F48">
        <w:rPr>
          <w:rFonts w:ascii="Book Antiqua" w:hAnsi="Book Antiqua" w:cs="Times New Roman"/>
        </w:rPr>
        <w:t>(</w:t>
      </w:r>
      <w:r w:rsidR="00013B65" w:rsidRPr="00677F48">
        <w:rPr>
          <w:rFonts w:ascii="Book Antiqua" w:hAnsi="Book Antiqua" w:cs="Times New Roman"/>
        </w:rPr>
        <w:t>10</w:t>
      </w:r>
      <w:r w:rsidRPr="00677F48">
        <w:rPr>
          <w:rFonts w:ascii="Book Antiqua" w:hAnsi="Book Antiqua" w:cs="Times New Roman"/>
        </w:rPr>
        <w:t xml:space="preserve">) </w:t>
      </w:r>
      <w:r w:rsidR="00852287" w:rsidRPr="00677F48">
        <w:rPr>
          <w:rFonts w:ascii="Book Antiqua" w:hAnsi="Book Antiqua" w:cs="Times New Roman"/>
        </w:rPr>
        <w:t>Ministerstvo vyplatí odškodnenie oprávnenej osobe do 90 dní od doručenia rozhodnutia, ktorým priznalo odškodnenie.</w:t>
      </w:r>
    </w:p>
    <w:p w14:paraId="3DEC4468" w14:textId="77777777" w:rsidR="0033543C" w:rsidRPr="009868CC" w:rsidRDefault="00852287" w:rsidP="00677F48">
      <w:pPr>
        <w:spacing w:before="120" w:after="120" w:line="276" w:lineRule="auto"/>
        <w:jc w:val="center"/>
        <w:rPr>
          <w:rFonts w:ascii="Book Antiqua" w:hAnsi="Book Antiqua" w:cs="Times New Roman"/>
          <w:b/>
        </w:rPr>
      </w:pPr>
      <w:r w:rsidRPr="009868CC">
        <w:rPr>
          <w:rFonts w:ascii="Book Antiqua" w:hAnsi="Book Antiqua" w:cs="Times New Roman"/>
          <w:b/>
        </w:rPr>
        <w:t>§ 7</w:t>
      </w:r>
    </w:p>
    <w:p w14:paraId="2C0917DC" w14:textId="77777777" w:rsidR="00852287" w:rsidRPr="009868CC" w:rsidRDefault="00852287" w:rsidP="00677F48">
      <w:pPr>
        <w:spacing w:before="120" w:after="120" w:line="276" w:lineRule="auto"/>
        <w:jc w:val="center"/>
        <w:rPr>
          <w:rFonts w:ascii="Book Antiqua" w:hAnsi="Book Antiqua" w:cs="Times New Roman"/>
          <w:b/>
        </w:rPr>
      </w:pPr>
      <w:r w:rsidRPr="009868CC">
        <w:rPr>
          <w:rFonts w:ascii="Book Antiqua" w:hAnsi="Book Antiqua" w:cs="Times New Roman"/>
          <w:b/>
        </w:rPr>
        <w:t>Spoločné ustanovenia</w:t>
      </w:r>
    </w:p>
    <w:p w14:paraId="73E510BC" w14:textId="16B6C84D" w:rsidR="00852287" w:rsidRPr="00677F48" w:rsidRDefault="005622E1" w:rsidP="00677F48">
      <w:pPr>
        <w:spacing w:before="120" w:after="120" w:line="276" w:lineRule="auto"/>
        <w:jc w:val="both"/>
        <w:rPr>
          <w:rFonts w:ascii="Book Antiqua" w:hAnsi="Book Antiqua" w:cs="Times New Roman"/>
          <w:b/>
        </w:rPr>
      </w:pPr>
      <w:r w:rsidRPr="00677F48">
        <w:rPr>
          <w:rFonts w:ascii="Book Antiqua" w:hAnsi="Book Antiqua" w:cs="Times New Roman"/>
        </w:rPr>
        <w:t xml:space="preserve">(1) </w:t>
      </w:r>
      <w:r w:rsidR="00665654" w:rsidRPr="00677F48">
        <w:rPr>
          <w:rFonts w:ascii="Book Antiqua" w:hAnsi="Book Antiqua" w:cs="Times New Roman"/>
        </w:rPr>
        <w:t>Ak tento zákon neustanovuje inak, n</w:t>
      </w:r>
      <w:r w:rsidR="00852287" w:rsidRPr="00677F48">
        <w:rPr>
          <w:rFonts w:ascii="Book Antiqua" w:hAnsi="Book Antiqua" w:cs="Times New Roman"/>
        </w:rPr>
        <w:t>a konanie podľa tohto zákona sa nevzťahuje všeobecný predpis o správnom konaní</w:t>
      </w:r>
      <w:r w:rsidR="00665654" w:rsidRPr="00677F48">
        <w:rPr>
          <w:rFonts w:ascii="Book Antiqua" w:hAnsi="Book Antiqua" w:cs="Times New Roman"/>
        </w:rPr>
        <w:t>.</w:t>
      </w:r>
      <w:r w:rsidR="0077318B" w:rsidRPr="00677F48">
        <w:rPr>
          <w:rFonts w:ascii="Book Antiqua" w:hAnsi="Book Antiqua" w:cs="Times New Roman"/>
          <w:vertAlign w:val="superscript"/>
        </w:rPr>
        <w:t>2</w:t>
      </w:r>
      <w:r w:rsidR="0077318B" w:rsidRPr="00677F48">
        <w:rPr>
          <w:rFonts w:ascii="Book Antiqua" w:hAnsi="Book Antiqua" w:cs="Times New Roman"/>
        </w:rPr>
        <w:t>)</w:t>
      </w:r>
      <w:r w:rsidR="00852287" w:rsidRPr="00677F48">
        <w:rPr>
          <w:rFonts w:ascii="Book Antiqua" w:hAnsi="Book Antiqua" w:cs="Times New Roman"/>
        </w:rPr>
        <w:t xml:space="preserve"> </w:t>
      </w:r>
      <w:r w:rsidR="00665654" w:rsidRPr="00677F48">
        <w:rPr>
          <w:rFonts w:ascii="Book Antiqua" w:hAnsi="Book Antiqua" w:cs="Times New Roman"/>
        </w:rPr>
        <w:t>K</w:t>
      </w:r>
      <w:r w:rsidR="00852287" w:rsidRPr="00677F48">
        <w:rPr>
          <w:rFonts w:ascii="Book Antiqua" w:hAnsi="Book Antiqua" w:cs="Times New Roman"/>
        </w:rPr>
        <w:t>onanie podľa tohto zákona je oslobodené od</w:t>
      </w:r>
      <w:r w:rsidR="00665654" w:rsidRPr="00677F48">
        <w:rPr>
          <w:rFonts w:ascii="Book Antiqua" w:hAnsi="Book Antiqua" w:cs="Times New Roman"/>
        </w:rPr>
        <w:t xml:space="preserve"> správnych</w:t>
      </w:r>
      <w:r w:rsidR="00852287" w:rsidRPr="00677F48">
        <w:rPr>
          <w:rFonts w:ascii="Book Antiqua" w:hAnsi="Book Antiqua" w:cs="Times New Roman"/>
        </w:rPr>
        <w:t xml:space="preserve"> poplatkov.</w:t>
      </w:r>
    </w:p>
    <w:p w14:paraId="35BFF6E1" w14:textId="77777777" w:rsidR="00A6680D" w:rsidRPr="00677F48" w:rsidRDefault="005622E1" w:rsidP="00677F48">
      <w:pPr>
        <w:spacing w:before="120" w:after="120" w:line="276" w:lineRule="auto"/>
        <w:jc w:val="both"/>
        <w:rPr>
          <w:rFonts w:ascii="Book Antiqua" w:hAnsi="Book Antiqua" w:cs="Times New Roman"/>
          <w:b/>
        </w:rPr>
      </w:pPr>
      <w:r w:rsidRPr="00677F48">
        <w:rPr>
          <w:rFonts w:ascii="Book Antiqua" w:hAnsi="Book Antiqua" w:cs="Times New Roman"/>
        </w:rPr>
        <w:t xml:space="preserve">(2) </w:t>
      </w:r>
      <w:r w:rsidR="00A6680D" w:rsidRPr="00677F48">
        <w:rPr>
          <w:rFonts w:ascii="Book Antiqua" w:hAnsi="Book Antiqua" w:cs="Times New Roman"/>
        </w:rPr>
        <w:t xml:space="preserve">Podanie žiadosti, jej vybavenie a rozhodnutie </w:t>
      </w:r>
      <w:r w:rsidR="005B54B5" w:rsidRPr="00677F48">
        <w:rPr>
          <w:rFonts w:ascii="Book Antiqua" w:hAnsi="Book Antiqua" w:cs="Times New Roman"/>
        </w:rPr>
        <w:t>o poskytnutí odškodnenia nemá vplyv na rozhodovanie pri poskytovaní zdravotnej starostlivosti a služieb súvisiacich s poskytovaním zdravotnej starostlivosti podľa osobitných predpisov</w:t>
      </w:r>
      <w:r w:rsidR="00691019" w:rsidRPr="00677F48">
        <w:rPr>
          <w:rStyle w:val="Odkaznapoznmkupodiarou"/>
          <w:rFonts w:ascii="Book Antiqua" w:hAnsi="Book Antiqua" w:cs="Times New Roman"/>
        </w:rPr>
        <w:footnoteReference w:id="3"/>
      </w:r>
      <w:r w:rsidR="005B54B5" w:rsidRPr="00677F48">
        <w:rPr>
          <w:rFonts w:ascii="Book Antiqua" w:hAnsi="Book Antiqua" w:cs="Times New Roman"/>
        </w:rPr>
        <w:t xml:space="preserve">). </w:t>
      </w:r>
    </w:p>
    <w:p w14:paraId="206EF5E0" w14:textId="77777777" w:rsidR="00852287" w:rsidRPr="00677F48" w:rsidRDefault="005622E1" w:rsidP="00677F48">
      <w:pPr>
        <w:spacing w:before="120" w:after="120" w:line="276" w:lineRule="auto"/>
        <w:jc w:val="both"/>
        <w:rPr>
          <w:rFonts w:ascii="Book Antiqua" w:hAnsi="Book Antiqua" w:cs="Times New Roman"/>
        </w:rPr>
      </w:pPr>
      <w:r w:rsidRPr="00677F48">
        <w:rPr>
          <w:rFonts w:ascii="Book Antiqua" w:hAnsi="Book Antiqua" w:cs="Times New Roman"/>
        </w:rPr>
        <w:t xml:space="preserve">(3) </w:t>
      </w:r>
      <w:r w:rsidR="00852287" w:rsidRPr="00677F48">
        <w:rPr>
          <w:rFonts w:ascii="Book Antiqua" w:hAnsi="Book Antiqua" w:cs="Times New Roman"/>
        </w:rPr>
        <w:t>Odškodnenie poskytnuté oprávneným osobám nepodlieha dani z príjmov fyzických osôb, nezahŕňa sa do vymeriavacieho základu na výpočet zdravotného poistenia ani do príjmu rozhodujúceho na účely poskytovania sociálnych dávok.</w:t>
      </w:r>
    </w:p>
    <w:p w14:paraId="5BDB4793" w14:textId="77777777" w:rsidR="005622E1" w:rsidRPr="00677F48" w:rsidRDefault="005622E1" w:rsidP="00677F48">
      <w:pPr>
        <w:spacing w:before="120" w:after="120" w:line="276" w:lineRule="auto"/>
        <w:jc w:val="both"/>
        <w:rPr>
          <w:rFonts w:ascii="Book Antiqua" w:hAnsi="Book Antiqua" w:cs="Times New Roman"/>
          <w:b/>
        </w:rPr>
      </w:pPr>
    </w:p>
    <w:p w14:paraId="1F89DA87" w14:textId="77777777" w:rsidR="008111E5" w:rsidRPr="00677F48" w:rsidRDefault="008111E5" w:rsidP="00677F48">
      <w:pPr>
        <w:spacing w:before="120" w:after="120" w:line="276" w:lineRule="auto"/>
        <w:jc w:val="center"/>
        <w:rPr>
          <w:rFonts w:ascii="Book Antiqua" w:hAnsi="Book Antiqua" w:cs="Times New Roman"/>
          <w:b/>
        </w:rPr>
      </w:pPr>
      <w:r w:rsidRPr="00677F48">
        <w:rPr>
          <w:rFonts w:ascii="Book Antiqua" w:hAnsi="Book Antiqua" w:cs="Times New Roman"/>
          <w:b/>
        </w:rPr>
        <w:t>Čl. II</w:t>
      </w:r>
    </w:p>
    <w:p w14:paraId="06911D87" w14:textId="1AA88953" w:rsidR="00C83CB9" w:rsidRPr="00677F48" w:rsidRDefault="00C83CB9" w:rsidP="00677F48">
      <w:pPr>
        <w:spacing w:before="225" w:after="225" w:line="276" w:lineRule="auto"/>
        <w:jc w:val="both"/>
        <w:rPr>
          <w:rFonts w:ascii="Book Antiqua" w:hAnsi="Book Antiqua" w:cs="Times New Roman"/>
        </w:rPr>
      </w:pPr>
      <w:r w:rsidRPr="00677F48">
        <w:rPr>
          <w:rFonts w:ascii="Book Antiqua" w:hAnsi="Book Antiqua" w:cs="Times New Roman"/>
          <w:color w:val="000000"/>
        </w:rPr>
        <w:t>Zákon Slovenskej národnej rady č.</w:t>
      </w:r>
      <w:r w:rsidRPr="00677F48">
        <w:rPr>
          <w:rFonts w:ascii="Book Antiqua" w:hAnsi="Book Antiqua" w:cs="Times New Roman"/>
        </w:rPr>
        <w:t xml:space="preserve"> </w:t>
      </w:r>
      <w:hyperlink r:id="rId8">
        <w:r w:rsidRPr="00677F48">
          <w:rPr>
            <w:rFonts w:ascii="Book Antiqua" w:hAnsi="Book Antiqua" w:cs="Times New Roman"/>
          </w:rPr>
          <w:t>71/1992 Zb.</w:t>
        </w:r>
      </w:hyperlink>
      <w:bookmarkStart w:id="1" w:name="predpis.clanok-2.odsek-1.text"/>
      <w:r w:rsidRPr="00677F48">
        <w:rPr>
          <w:rFonts w:ascii="Book Antiqua" w:hAnsi="Book Antiqua" w:cs="Times New Roman"/>
          <w:color w:val="000000"/>
        </w:rPr>
        <w:t xml:space="preserve">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w:t>
      </w:r>
      <w:r w:rsidR="00BA4010" w:rsidRPr="00677F48">
        <w:rPr>
          <w:rFonts w:ascii="Book Antiqua" w:hAnsi="Book Antiqua" w:cs="Times New Roman"/>
          <w:color w:val="000000"/>
        </w:rPr>
        <w:t>zákona č. 12/1998 Z. z., zákona</w:t>
      </w:r>
      <w:r w:rsidR="006F12BF" w:rsidRPr="00677F48">
        <w:rPr>
          <w:rFonts w:ascii="Book Antiqua" w:hAnsi="Book Antiqua" w:cs="Times New Roman"/>
          <w:color w:val="000000"/>
        </w:rPr>
        <w:t xml:space="preserve"> </w:t>
      </w:r>
      <w:r w:rsidRPr="00677F48">
        <w:rPr>
          <w:rFonts w:ascii="Book Antiqua" w:hAnsi="Book Antiqua" w:cs="Times New Roman"/>
          <w:color w:val="000000"/>
        </w:rPr>
        <w:t xml:space="preserve">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 zákona č. 52/2018 Z. z., zákona č. 345/2018 Z. z., zákona č. </w:t>
      </w:r>
      <w:r w:rsidRPr="00677F48">
        <w:rPr>
          <w:rFonts w:ascii="Book Antiqua" w:hAnsi="Book Antiqua" w:cs="Times New Roman"/>
          <w:color w:val="000000"/>
        </w:rPr>
        <w:lastRenderedPageBreak/>
        <w:t>211/2019 Z. z., zákona č. 216/2019 Z. z., zákona č. 384/2019 Z. z., zákona č. 390/2019 Z. z., zákona č. 68/2021 Z. z., zákona č. 395/2021 Z</w:t>
      </w:r>
      <w:r w:rsidR="00691019" w:rsidRPr="00677F48">
        <w:rPr>
          <w:rFonts w:ascii="Book Antiqua" w:hAnsi="Book Antiqua" w:cs="Times New Roman"/>
          <w:color w:val="000000"/>
        </w:rPr>
        <w:t>. z., zákona č. 403/2021 Z. z.,</w:t>
      </w:r>
      <w:r w:rsidR="00BD6A58">
        <w:rPr>
          <w:rFonts w:ascii="Book Antiqua" w:hAnsi="Book Antiqua" w:cs="Times New Roman"/>
          <w:color w:val="000000"/>
        </w:rPr>
        <w:t xml:space="preserve"> zákona č. 111/2022 Z. z., </w:t>
      </w:r>
      <w:r w:rsidR="00C77553" w:rsidRPr="00677F48">
        <w:rPr>
          <w:rFonts w:ascii="Book Antiqua" w:hAnsi="Book Antiqua" w:cs="Times New Roman"/>
          <w:color w:val="000000"/>
        </w:rPr>
        <w:t>zákona</w:t>
      </w:r>
      <w:r w:rsidR="006F12BF" w:rsidRPr="00677F48">
        <w:rPr>
          <w:rFonts w:ascii="Book Antiqua" w:hAnsi="Book Antiqua" w:cs="Times New Roman"/>
          <w:color w:val="000000"/>
        </w:rPr>
        <w:t xml:space="preserve"> </w:t>
      </w:r>
      <w:r w:rsidR="00691019" w:rsidRPr="00677F48">
        <w:rPr>
          <w:rFonts w:ascii="Book Antiqua" w:hAnsi="Book Antiqua" w:cs="Times New Roman"/>
          <w:color w:val="000000"/>
        </w:rPr>
        <w:t>č. 325/2022 Z. z.</w:t>
      </w:r>
      <w:r w:rsidR="00BD6A58">
        <w:rPr>
          <w:rFonts w:ascii="Book Antiqua" w:hAnsi="Book Antiqua" w:cs="Times New Roman"/>
          <w:color w:val="000000"/>
        </w:rPr>
        <w:t>, zákona č. 201/2013 Z. z., zákona č. 261/2023 a zákona č. 192/2023 Z. z.</w:t>
      </w:r>
      <w:r w:rsidR="00691019" w:rsidRPr="00677F48">
        <w:rPr>
          <w:rFonts w:ascii="Book Antiqua" w:hAnsi="Book Antiqua" w:cs="Times New Roman"/>
          <w:color w:val="000000"/>
        </w:rPr>
        <w:t xml:space="preserve"> </w:t>
      </w:r>
      <w:r w:rsidRPr="00677F48">
        <w:rPr>
          <w:rFonts w:ascii="Book Antiqua" w:hAnsi="Book Antiqua" w:cs="Times New Roman"/>
          <w:color w:val="000000"/>
        </w:rPr>
        <w:t xml:space="preserve">sa dopĺňa takto: </w:t>
      </w:r>
      <w:bookmarkEnd w:id="1"/>
    </w:p>
    <w:p w14:paraId="0826652A" w14:textId="77777777" w:rsidR="008111E5" w:rsidRPr="00677F48" w:rsidRDefault="008111E5" w:rsidP="00677F48">
      <w:pPr>
        <w:pStyle w:val="Odsekzoznamu"/>
        <w:spacing w:before="120" w:after="120" w:line="276" w:lineRule="auto"/>
        <w:ind w:left="284"/>
        <w:jc w:val="both"/>
        <w:rPr>
          <w:rFonts w:ascii="Book Antiqua" w:hAnsi="Book Antiqua" w:cs="Times New Roman"/>
        </w:rPr>
      </w:pPr>
      <w:r w:rsidRPr="00677F48">
        <w:rPr>
          <w:rFonts w:ascii="Book Antiqua" w:hAnsi="Book Antiqua" w:cs="Times New Roman"/>
        </w:rPr>
        <w:t xml:space="preserve">V § 4 </w:t>
      </w:r>
      <w:r w:rsidR="005B54B5" w:rsidRPr="00677F48">
        <w:rPr>
          <w:rFonts w:ascii="Book Antiqua" w:hAnsi="Book Antiqua" w:cs="Times New Roman"/>
        </w:rPr>
        <w:t xml:space="preserve">ods. 1 </w:t>
      </w:r>
      <w:r w:rsidRPr="00677F48">
        <w:rPr>
          <w:rFonts w:ascii="Book Antiqua" w:hAnsi="Book Antiqua" w:cs="Times New Roman"/>
        </w:rPr>
        <w:t xml:space="preserve">sa </w:t>
      </w:r>
      <w:r w:rsidR="00C83CB9" w:rsidRPr="00677F48">
        <w:rPr>
          <w:rFonts w:ascii="Book Antiqua" w:hAnsi="Book Antiqua" w:cs="Times New Roman"/>
        </w:rPr>
        <w:t xml:space="preserve">za písmeno k) vkladá nové písmeno l), ktoré znie: „l) </w:t>
      </w:r>
      <w:r w:rsidRPr="00677F48">
        <w:rPr>
          <w:rFonts w:ascii="Book Antiqua" w:hAnsi="Book Antiqua" w:cs="Times New Roman"/>
        </w:rPr>
        <w:t>o správnej žalobe vo veci preskúmania zákonnosti rozhodnutia, ktorým nebolo priznané jednorazové finančné odškodnenie za sterilizáciu v rozpore s právom podľa osobitného predpisu</w:t>
      </w:r>
      <w:r w:rsidR="005B54B5" w:rsidRPr="00677F48">
        <w:rPr>
          <w:rFonts w:ascii="Book Antiqua" w:hAnsi="Book Antiqua" w:cs="Times New Roman"/>
          <w:vertAlign w:val="superscript"/>
        </w:rPr>
        <w:t>3cac</w:t>
      </w:r>
      <w:r w:rsidR="005B54B5" w:rsidRPr="00677F48">
        <w:rPr>
          <w:rFonts w:ascii="Book Antiqua" w:hAnsi="Book Antiqua" w:cs="Times New Roman"/>
        </w:rPr>
        <w:t>)</w:t>
      </w:r>
      <w:r w:rsidRPr="00677F48">
        <w:rPr>
          <w:rFonts w:ascii="Book Antiqua" w:hAnsi="Book Antiqua" w:cs="Times New Roman"/>
        </w:rPr>
        <w:t>.</w:t>
      </w:r>
      <w:r w:rsidR="00C83CB9" w:rsidRPr="00677F48">
        <w:rPr>
          <w:rFonts w:ascii="Book Antiqua" w:hAnsi="Book Antiqua" w:cs="Times New Roman"/>
        </w:rPr>
        <w:t>“.</w:t>
      </w:r>
    </w:p>
    <w:p w14:paraId="4403BAAC" w14:textId="77777777" w:rsidR="008111E5" w:rsidRPr="00677F48" w:rsidRDefault="008111E5" w:rsidP="00677F48">
      <w:pPr>
        <w:pStyle w:val="Odsekzoznamu"/>
        <w:spacing w:before="120" w:after="120" w:line="276" w:lineRule="auto"/>
        <w:ind w:left="284"/>
        <w:jc w:val="both"/>
        <w:rPr>
          <w:rFonts w:ascii="Book Antiqua" w:hAnsi="Book Antiqua" w:cs="Times New Roman"/>
        </w:rPr>
      </w:pPr>
    </w:p>
    <w:p w14:paraId="5E1D3E16" w14:textId="77777777" w:rsidR="00897038" w:rsidRPr="00677F48" w:rsidRDefault="00897038" w:rsidP="00677F48">
      <w:pPr>
        <w:pStyle w:val="Odsekzoznamu"/>
        <w:spacing w:before="120" w:after="120" w:line="276" w:lineRule="auto"/>
        <w:ind w:left="284"/>
        <w:jc w:val="both"/>
        <w:rPr>
          <w:rFonts w:ascii="Book Antiqua" w:hAnsi="Book Antiqua" w:cs="Times New Roman"/>
        </w:rPr>
      </w:pPr>
      <w:r w:rsidRPr="00677F48">
        <w:rPr>
          <w:rFonts w:ascii="Book Antiqua" w:hAnsi="Book Antiqua" w:cs="Times New Roman"/>
        </w:rPr>
        <w:t>Poznámka pod čiarou k odkazu 3cac) znie:</w:t>
      </w:r>
    </w:p>
    <w:p w14:paraId="22E3B786" w14:textId="77777777" w:rsidR="00897038" w:rsidRPr="00677F48" w:rsidRDefault="00897038" w:rsidP="00677F48">
      <w:pPr>
        <w:pStyle w:val="Odsekzoznamu"/>
        <w:spacing w:before="120" w:after="120" w:line="276" w:lineRule="auto"/>
        <w:ind w:left="284"/>
        <w:jc w:val="both"/>
        <w:rPr>
          <w:rFonts w:ascii="Book Antiqua" w:hAnsi="Book Antiqua" w:cs="Times New Roman"/>
        </w:rPr>
      </w:pPr>
      <w:r w:rsidRPr="00677F48">
        <w:rPr>
          <w:rFonts w:ascii="Book Antiqua" w:hAnsi="Book Antiqua" w:cs="Times New Roman"/>
        </w:rPr>
        <w:t>„</w:t>
      </w:r>
      <w:r w:rsidRPr="00677F48">
        <w:rPr>
          <w:rFonts w:ascii="Book Antiqua" w:hAnsi="Book Antiqua" w:cs="Times New Roman"/>
          <w:vertAlign w:val="superscript"/>
        </w:rPr>
        <w:t>3cac</w:t>
      </w:r>
      <w:r w:rsidRPr="00677F48">
        <w:rPr>
          <w:rFonts w:ascii="Book Antiqua" w:hAnsi="Book Antiqua" w:cs="Times New Roman"/>
        </w:rPr>
        <w:t xml:space="preserve">) </w:t>
      </w:r>
      <w:r w:rsidR="00A52BE9" w:rsidRPr="00677F48">
        <w:rPr>
          <w:rFonts w:ascii="Book Antiqua" w:hAnsi="Book Antiqua" w:cs="Times New Roman"/>
        </w:rPr>
        <w:t>zákon č. xx/2023</w:t>
      </w:r>
      <w:r w:rsidRPr="00677F48">
        <w:rPr>
          <w:rFonts w:ascii="Book Antiqua" w:hAnsi="Book Antiqua" w:cs="Times New Roman"/>
        </w:rPr>
        <w:t xml:space="preserve"> Z. z. o jednorazovom finančnom odškodnení osôb sterilizovaných v rozpore s právom.“.</w:t>
      </w:r>
    </w:p>
    <w:p w14:paraId="150447E1" w14:textId="4EA8E3D5" w:rsidR="00BF72D8" w:rsidRDefault="00BF72D8" w:rsidP="00677F48">
      <w:pPr>
        <w:pStyle w:val="Odsekzoznamu"/>
        <w:spacing w:before="120" w:after="120" w:line="276" w:lineRule="auto"/>
        <w:ind w:left="357"/>
        <w:jc w:val="both"/>
        <w:rPr>
          <w:rFonts w:ascii="Book Antiqua" w:hAnsi="Book Antiqua" w:cs="Times New Roman"/>
        </w:rPr>
      </w:pPr>
    </w:p>
    <w:p w14:paraId="40394270" w14:textId="6C580F86" w:rsidR="00BD6A58" w:rsidRDefault="00BD6A58" w:rsidP="00677F48">
      <w:pPr>
        <w:pStyle w:val="Odsekzoznamu"/>
        <w:spacing w:before="120" w:after="120" w:line="276" w:lineRule="auto"/>
        <w:ind w:left="357"/>
        <w:jc w:val="both"/>
        <w:rPr>
          <w:rFonts w:ascii="Book Antiqua" w:hAnsi="Book Antiqua" w:cs="Times New Roman"/>
        </w:rPr>
      </w:pPr>
      <w:r>
        <w:rPr>
          <w:rFonts w:ascii="Book Antiqua" w:hAnsi="Book Antiqua" w:cs="Times New Roman"/>
        </w:rPr>
        <w:t>Doterajšie písmená l až w sa označujú ako písmená m až y.</w:t>
      </w:r>
    </w:p>
    <w:p w14:paraId="09588377" w14:textId="77777777" w:rsidR="00BD6A58" w:rsidRPr="00677F48" w:rsidRDefault="00BD6A58" w:rsidP="00677F48">
      <w:pPr>
        <w:pStyle w:val="Odsekzoznamu"/>
        <w:spacing w:before="120" w:after="120" w:line="276" w:lineRule="auto"/>
        <w:ind w:left="357"/>
        <w:jc w:val="both"/>
        <w:rPr>
          <w:rFonts w:ascii="Book Antiqua" w:hAnsi="Book Antiqua" w:cs="Times New Roman"/>
        </w:rPr>
      </w:pPr>
    </w:p>
    <w:p w14:paraId="5A693A9A" w14:textId="77777777" w:rsidR="00967435" w:rsidRPr="00677F48" w:rsidRDefault="004D204D" w:rsidP="00677F48">
      <w:pPr>
        <w:spacing w:before="120" w:after="120" w:line="276" w:lineRule="auto"/>
        <w:jc w:val="center"/>
        <w:rPr>
          <w:rFonts w:ascii="Book Antiqua" w:hAnsi="Book Antiqua" w:cs="Times New Roman"/>
          <w:b/>
        </w:rPr>
      </w:pPr>
      <w:r w:rsidRPr="00677F48">
        <w:rPr>
          <w:rFonts w:ascii="Book Antiqua" w:hAnsi="Book Antiqua" w:cs="Times New Roman"/>
          <w:b/>
        </w:rPr>
        <w:t>Čl. III</w:t>
      </w:r>
    </w:p>
    <w:p w14:paraId="11FA0F26" w14:textId="77777777" w:rsidR="004D204D" w:rsidRPr="00677F48" w:rsidRDefault="004D204D" w:rsidP="00677F48">
      <w:pPr>
        <w:spacing w:before="120" w:after="120" w:line="276" w:lineRule="auto"/>
        <w:ind w:firstLine="708"/>
        <w:jc w:val="both"/>
        <w:rPr>
          <w:rFonts w:ascii="Book Antiqua" w:hAnsi="Book Antiqua" w:cs="Times New Roman"/>
        </w:rPr>
      </w:pPr>
      <w:r w:rsidRPr="00677F48">
        <w:rPr>
          <w:rFonts w:ascii="Book Antiqua" w:hAnsi="Book Antiqua" w:cs="Times New Roman"/>
        </w:rPr>
        <w:t>Tento zákon nadobúda účinnosť dňom vyhlásenia.</w:t>
      </w:r>
    </w:p>
    <w:p w14:paraId="4123D92E" w14:textId="77777777" w:rsidR="004D204D" w:rsidRPr="00677F48" w:rsidRDefault="004D204D" w:rsidP="00677F48">
      <w:pPr>
        <w:spacing w:before="120" w:after="120" w:line="276" w:lineRule="auto"/>
        <w:jc w:val="center"/>
        <w:rPr>
          <w:rFonts w:ascii="Book Antiqua" w:hAnsi="Book Antiqua" w:cs="Times New Roman"/>
        </w:rPr>
      </w:pPr>
    </w:p>
    <w:sectPr w:rsidR="004D204D" w:rsidRPr="00677F48" w:rsidSect="006B61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E234" w14:textId="77777777" w:rsidR="00265680" w:rsidRDefault="00265680" w:rsidP="00852287">
      <w:pPr>
        <w:spacing w:after="0" w:line="240" w:lineRule="auto"/>
      </w:pPr>
      <w:r>
        <w:separator/>
      </w:r>
    </w:p>
  </w:endnote>
  <w:endnote w:type="continuationSeparator" w:id="0">
    <w:p w14:paraId="28BB6A8A" w14:textId="77777777" w:rsidR="00265680" w:rsidRDefault="00265680" w:rsidP="0085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8165A" w14:textId="77777777" w:rsidR="00265680" w:rsidRDefault="00265680" w:rsidP="00852287">
      <w:pPr>
        <w:spacing w:after="0" w:line="240" w:lineRule="auto"/>
      </w:pPr>
      <w:r>
        <w:separator/>
      </w:r>
    </w:p>
  </w:footnote>
  <w:footnote w:type="continuationSeparator" w:id="0">
    <w:p w14:paraId="20E10E2F" w14:textId="77777777" w:rsidR="00265680" w:rsidRDefault="00265680" w:rsidP="00852287">
      <w:pPr>
        <w:spacing w:after="0" w:line="240" w:lineRule="auto"/>
      </w:pPr>
      <w:r>
        <w:continuationSeparator/>
      </w:r>
    </w:p>
  </w:footnote>
  <w:footnote w:id="1">
    <w:p w14:paraId="40B7AD45" w14:textId="77777777" w:rsidR="000E5BD1" w:rsidRDefault="000E5BD1" w:rsidP="00903F26">
      <w:pPr>
        <w:pStyle w:val="Textpoznmkypodiarou"/>
        <w:jc w:val="both"/>
      </w:pPr>
      <w:r>
        <w:rPr>
          <w:rStyle w:val="Odkaznapoznmkupodiarou"/>
        </w:rPr>
        <w:footnoteRef/>
      </w:r>
      <w:r w:rsidR="00770534">
        <w:t>)</w:t>
      </w:r>
      <w:r>
        <w:t xml:space="preserve"> </w:t>
      </w:r>
      <w:r w:rsidR="00770534" w:rsidRPr="00770534">
        <w:rPr>
          <w:rFonts w:ascii="Times New Roman" w:hAnsi="Times New Roman" w:cs="Times New Roman"/>
          <w:szCs w:val="24"/>
        </w:rPr>
        <w:t>N</w:t>
      </w:r>
      <w:r w:rsidRPr="00903F26">
        <w:rPr>
          <w:rFonts w:ascii="Times New Roman" w:hAnsi="Times New Roman" w:cs="Times New Roman"/>
          <w:szCs w:val="24"/>
        </w:rPr>
        <w:t>apríklad Vyhláška Ministerstva zdravotníctva a sociálnych vecí Slovenskej socialistickej republiky</w:t>
      </w:r>
      <w:r w:rsidR="00AF7EE7" w:rsidRPr="00AF7EE7">
        <w:rPr>
          <w:rFonts w:ascii="Times New Roman" w:hAnsi="Times New Roman" w:cs="Times New Roman"/>
          <w:szCs w:val="24"/>
        </w:rPr>
        <w:t xml:space="preserve"> </w:t>
      </w:r>
      <w:r w:rsidR="00AF7EE7">
        <w:rPr>
          <w:rFonts w:ascii="Times New Roman" w:hAnsi="Times New Roman" w:cs="Times New Roman"/>
          <w:szCs w:val="24"/>
        </w:rPr>
        <w:t>č. 151/1988 Zb.</w:t>
      </w:r>
      <w:r>
        <w:rPr>
          <w:rFonts w:ascii="Times New Roman" w:hAnsi="Times New Roman" w:cs="Times New Roman"/>
          <w:szCs w:val="24"/>
        </w:rPr>
        <w:t xml:space="preserve">  </w:t>
      </w:r>
      <w:r w:rsidRPr="00903F26">
        <w:rPr>
          <w:rFonts w:ascii="Times New Roman" w:hAnsi="Times New Roman" w:cs="Times New Roman"/>
          <w:szCs w:val="24"/>
        </w:rPr>
        <w:t>zo 6.</w:t>
      </w:r>
      <w:r>
        <w:rPr>
          <w:rFonts w:ascii="Times New Roman" w:hAnsi="Times New Roman" w:cs="Times New Roman"/>
          <w:szCs w:val="24"/>
        </w:rPr>
        <w:t xml:space="preserve"> </w:t>
      </w:r>
      <w:r w:rsidRPr="00903F26">
        <w:rPr>
          <w:rFonts w:ascii="Times New Roman" w:hAnsi="Times New Roman" w:cs="Times New Roman"/>
          <w:szCs w:val="24"/>
        </w:rPr>
        <w:t>septembra 1988, ktorou sa vykonáva zákon o sociálnom zabezpečení a zákon Slovenskej národnej rady o pôsobnosti orgánov Slovenskej socialistickej republiky v sociálnom zabezpečení</w:t>
      </w:r>
      <w:r w:rsidR="00322E42">
        <w:rPr>
          <w:rFonts w:ascii="Times New Roman" w:hAnsi="Times New Roman" w:cs="Times New Roman"/>
          <w:szCs w:val="24"/>
        </w:rPr>
        <w:t>.</w:t>
      </w:r>
    </w:p>
  </w:footnote>
  <w:footnote w:id="2">
    <w:p w14:paraId="617F0ED9" w14:textId="77777777" w:rsidR="000E5BD1" w:rsidRPr="000E5BD1" w:rsidRDefault="000E5BD1" w:rsidP="00903F26">
      <w:pPr>
        <w:pStyle w:val="Textpoznmkypodiarou"/>
        <w:jc w:val="both"/>
      </w:pPr>
      <w:r w:rsidRPr="000E5BD1">
        <w:rPr>
          <w:rStyle w:val="Odkaznapoznmkupodiarou"/>
        </w:rPr>
        <w:footnoteRef/>
      </w:r>
      <w:r w:rsidR="00770534">
        <w:t>)</w:t>
      </w:r>
      <w:r w:rsidRPr="000E5BD1">
        <w:t xml:space="preserve"> </w:t>
      </w:r>
      <w:r w:rsidRPr="00903F26">
        <w:rPr>
          <w:rFonts w:ascii="Times New Roman" w:hAnsi="Times New Roman" w:cs="Times New Roman"/>
        </w:rPr>
        <w:t>Zákon č. 71/1967 Zb. o správnom konaní (správny poriadok) v znení neskorších predpisov</w:t>
      </w:r>
      <w:r w:rsidR="00322E42">
        <w:rPr>
          <w:rFonts w:ascii="Times New Roman" w:hAnsi="Times New Roman" w:cs="Times New Roman"/>
        </w:rPr>
        <w:t>.</w:t>
      </w:r>
    </w:p>
  </w:footnote>
  <w:footnote w:id="3">
    <w:p w14:paraId="6269926A" w14:textId="77777777" w:rsidR="00691019" w:rsidRDefault="00691019">
      <w:pPr>
        <w:pStyle w:val="Textpoznmkypodiarou"/>
      </w:pPr>
      <w:r>
        <w:rPr>
          <w:rStyle w:val="Odkaznapoznmkupodiarou"/>
        </w:rPr>
        <w:footnoteRef/>
      </w:r>
      <w:r w:rsidR="006F12BF">
        <w:t xml:space="preserve">) </w:t>
      </w:r>
      <w:r w:rsidR="006F12BF" w:rsidRPr="006F12BF">
        <w:rPr>
          <w:rFonts w:ascii="Times New Roman" w:hAnsi="Times New Roman" w:cs="Times New Roman"/>
          <w:szCs w:val="24"/>
        </w:rPr>
        <w:t>N</w:t>
      </w:r>
      <w:r w:rsidRPr="00903F26">
        <w:rPr>
          <w:rFonts w:ascii="Times New Roman" w:hAnsi="Times New Roman" w:cs="Times New Roman"/>
          <w:szCs w:val="24"/>
        </w:rPr>
        <w:t xml:space="preserve">apríklad § 17 </w:t>
      </w:r>
      <w:r>
        <w:rPr>
          <w:rFonts w:ascii="Times New Roman" w:hAnsi="Times New Roman" w:cs="Times New Roman"/>
          <w:szCs w:val="24"/>
        </w:rPr>
        <w:t xml:space="preserve">zákona č. 576/2004 Z. z. </w:t>
      </w:r>
      <w:r w:rsidRPr="00903F26">
        <w:rPr>
          <w:rFonts w:ascii="Times New Roman" w:hAnsi="Times New Roman" w:cs="Times New Roman"/>
          <w:szCs w:val="24"/>
        </w:rPr>
        <w:t>o zdravotnej starostlivosti, službách súvisiacich s poskytovaním zdravotnej starostlivosti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A70"/>
    <w:multiLevelType w:val="hybridMultilevel"/>
    <w:tmpl w:val="B002BF58"/>
    <w:lvl w:ilvl="0" w:tplc="4EB4BB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6C196E"/>
    <w:multiLevelType w:val="hybridMultilevel"/>
    <w:tmpl w:val="70248B32"/>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CB5415"/>
    <w:multiLevelType w:val="hybridMultilevel"/>
    <w:tmpl w:val="376A3FAC"/>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A52FA1"/>
    <w:multiLevelType w:val="hybridMultilevel"/>
    <w:tmpl w:val="F536DB6A"/>
    <w:lvl w:ilvl="0" w:tplc="30A8260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1E6E44"/>
    <w:multiLevelType w:val="hybridMultilevel"/>
    <w:tmpl w:val="DDE080AA"/>
    <w:lvl w:ilvl="0" w:tplc="359CFCFC">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111746FC"/>
    <w:multiLevelType w:val="hybridMultilevel"/>
    <w:tmpl w:val="AE9889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7274AF"/>
    <w:multiLevelType w:val="hybridMultilevel"/>
    <w:tmpl w:val="CD105E66"/>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781D86"/>
    <w:multiLevelType w:val="hybridMultilevel"/>
    <w:tmpl w:val="B4F81BA0"/>
    <w:lvl w:ilvl="0" w:tplc="62FCEE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CB2057"/>
    <w:multiLevelType w:val="hybridMultilevel"/>
    <w:tmpl w:val="CF240D68"/>
    <w:lvl w:ilvl="0" w:tplc="62FCEE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482550"/>
    <w:multiLevelType w:val="hybridMultilevel"/>
    <w:tmpl w:val="5F2C8A02"/>
    <w:lvl w:ilvl="0" w:tplc="267CC4D2">
      <w:start w:val="2"/>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51543"/>
    <w:multiLevelType w:val="hybridMultilevel"/>
    <w:tmpl w:val="C14E6E24"/>
    <w:lvl w:ilvl="0" w:tplc="62FCEE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972AEF"/>
    <w:multiLevelType w:val="hybridMultilevel"/>
    <w:tmpl w:val="3AE6E79E"/>
    <w:lvl w:ilvl="0" w:tplc="209430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D822F4"/>
    <w:multiLevelType w:val="hybridMultilevel"/>
    <w:tmpl w:val="652CD212"/>
    <w:lvl w:ilvl="0" w:tplc="62FCEE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CF448C"/>
    <w:multiLevelType w:val="hybridMultilevel"/>
    <w:tmpl w:val="E57E9296"/>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745486D"/>
    <w:multiLevelType w:val="hybridMultilevel"/>
    <w:tmpl w:val="6728D858"/>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14EBC"/>
    <w:multiLevelType w:val="hybridMultilevel"/>
    <w:tmpl w:val="7E863F5A"/>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7A4283"/>
    <w:multiLevelType w:val="hybridMultilevel"/>
    <w:tmpl w:val="CACEE2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4ED26EB"/>
    <w:multiLevelType w:val="hybridMultilevel"/>
    <w:tmpl w:val="E77ACF6A"/>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C54FF3"/>
    <w:multiLevelType w:val="hybridMultilevel"/>
    <w:tmpl w:val="4CF6F2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557F4A"/>
    <w:multiLevelType w:val="hybridMultilevel"/>
    <w:tmpl w:val="2E0E1C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850778"/>
    <w:multiLevelType w:val="hybridMultilevel"/>
    <w:tmpl w:val="B9207F14"/>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AC4B90"/>
    <w:multiLevelType w:val="hybridMultilevel"/>
    <w:tmpl w:val="906C04EE"/>
    <w:lvl w:ilvl="0" w:tplc="3C8E8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AA877FE"/>
    <w:multiLevelType w:val="hybridMultilevel"/>
    <w:tmpl w:val="244A88C0"/>
    <w:lvl w:ilvl="0" w:tplc="62FCEE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27427E2"/>
    <w:multiLevelType w:val="hybridMultilevel"/>
    <w:tmpl w:val="818C5A0A"/>
    <w:lvl w:ilvl="0" w:tplc="62FCEE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0458B2"/>
    <w:multiLevelType w:val="hybridMultilevel"/>
    <w:tmpl w:val="75F242FE"/>
    <w:lvl w:ilvl="0" w:tplc="9FA4032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B0372AF"/>
    <w:multiLevelType w:val="hybridMultilevel"/>
    <w:tmpl w:val="05C228DC"/>
    <w:lvl w:ilvl="0" w:tplc="62FCEE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21"/>
  </w:num>
  <w:num w:numId="3">
    <w:abstractNumId w:val="19"/>
  </w:num>
  <w:num w:numId="4">
    <w:abstractNumId w:val="20"/>
  </w:num>
  <w:num w:numId="5">
    <w:abstractNumId w:val="2"/>
  </w:num>
  <w:num w:numId="6">
    <w:abstractNumId w:val="15"/>
  </w:num>
  <w:num w:numId="7">
    <w:abstractNumId w:val="17"/>
  </w:num>
  <w:num w:numId="8">
    <w:abstractNumId w:val="6"/>
  </w:num>
  <w:num w:numId="9">
    <w:abstractNumId w:val="16"/>
  </w:num>
  <w:num w:numId="10">
    <w:abstractNumId w:val="13"/>
  </w:num>
  <w:num w:numId="11">
    <w:abstractNumId w:val="14"/>
  </w:num>
  <w:num w:numId="12">
    <w:abstractNumId w:val="1"/>
  </w:num>
  <w:num w:numId="13">
    <w:abstractNumId w:val="24"/>
  </w:num>
  <w:num w:numId="14">
    <w:abstractNumId w:val="4"/>
  </w:num>
  <w:num w:numId="15">
    <w:abstractNumId w:val="18"/>
  </w:num>
  <w:num w:numId="16">
    <w:abstractNumId w:val="12"/>
  </w:num>
  <w:num w:numId="17">
    <w:abstractNumId w:val="7"/>
  </w:num>
  <w:num w:numId="18">
    <w:abstractNumId w:val="9"/>
  </w:num>
  <w:num w:numId="19">
    <w:abstractNumId w:val="10"/>
  </w:num>
  <w:num w:numId="20">
    <w:abstractNumId w:val="0"/>
  </w:num>
  <w:num w:numId="21">
    <w:abstractNumId w:val="3"/>
  </w:num>
  <w:num w:numId="22">
    <w:abstractNumId w:val="8"/>
  </w:num>
  <w:num w:numId="23">
    <w:abstractNumId w:val="25"/>
  </w:num>
  <w:num w:numId="24">
    <w:abstractNumId w:val="22"/>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D6"/>
    <w:rsid w:val="00013B65"/>
    <w:rsid w:val="000276BD"/>
    <w:rsid w:val="000831FB"/>
    <w:rsid w:val="00092D42"/>
    <w:rsid w:val="000A07B2"/>
    <w:rsid w:val="000E5BD1"/>
    <w:rsid w:val="00133F31"/>
    <w:rsid w:val="00173DD8"/>
    <w:rsid w:val="00243E85"/>
    <w:rsid w:val="00265680"/>
    <w:rsid w:val="00267D2E"/>
    <w:rsid w:val="002E531B"/>
    <w:rsid w:val="00301FD9"/>
    <w:rsid w:val="00305132"/>
    <w:rsid w:val="00307C16"/>
    <w:rsid w:val="00322E42"/>
    <w:rsid w:val="0033543C"/>
    <w:rsid w:val="003B043C"/>
    <w:rsid w:val="0040629F"/>
    <w:rsid w:val="00486C27"/>
    <w:rsid w:val="004D204D"/>
    <w:rsid w:val="005622E1"/>
    <w:rsid w:val="005736CE"/>
    <w:rsid w:val="005A0145"/>
    <w:rsid w:val="005B54B5"/>
    <w:rsid w:val="005E1C8B"/>
    <w:rsid w:val="006252D6"/>
    <w:rsid w:val="00653B3A"/>
    <w:rsid w:val="00665654"/>
    <w:rsid w:val="00667F7F"/>
    <w:rsid w:val="00677F48"/>
    <w:rsid w:val="00691019"/>
    <w:rsid w:val="006B61A3"/>
    <w:rsid w:val="006C5ACC"/>
    <w:rsid w:val="006F12BF"/>
    <w:rsid w:val="00725AD4"/>
    <w:rsid w:val="00735678"/>
    <w:rsid w:val="00737F46"/>
    <w:rsid w:val="007522A4"/>
    <w:rsid w:val="00763F5C"/>
    <w:rsid w:val="00770534"/>
    <w:rsid w:val="0077318B"/>
    <w:rsid w:val="00793160"/>
    <w:rsid w:val="007B7346"/>
    <w:rsid w:val="007F5483"/>
    <w:rsid w:val="008111E5"/>
    <w:rsid w:val="008265C4"/>
    <w:rsid w:val="008463FD"/>
    <w:rsid w:val="00852287"/>
    <w:rsid w:val="00877834"/>
    <w:rsid w:val="00882E92"/>
    <w:rsid w:val="00884718"/>
    <w:rsid w:val="00897038"/>
    <w:rsid w:val="008D1101"/>
    <w:rsid w:val="00903F26"/>
    <w:rsid w:val="00937064"/>
    <w:rsid w:val="0094096D"/>
    <w:rsid w:val="00962F0A"/>
    <w:rsid w:val="00967435"/>
    <w:rsid w:val="009757CE"/>
    <w:rsid w:val="009868CC"/>
    <w:rsid w:val="009923FB"/>
    <w:rsid w:val="009D1800"/>
    <w:rsid w:val="00A24776"/>
    <w:rsid w:val="00A32E8C"/>
    <w:rsid w:val="00A52BE9"/>
    <w:rsid w:val="00A57634"/>
    <w:rsid w:val="00A6680D"/>
    <w:rsid w:val="00AE5C3B"/>
    <w:rsid w:val="00AF7359"/>
    <w:rsid w:val="00AF7EE7"/>
    <w:rsid w:val="00B65644"/>
    <w:rsid w:val="00BA4010"/>
    <w:rsid w:val="00BD6A58"/>
    <w:rsid w:val="00BF72D8"/>
    <w:rsid w:val="00C005FF"/>
    <w:rsid w:val="00C00912"/>
    <w:rsid w:val="00C15854"/>
    <w:rsid w:val="00C77553"/>
    <w:rsid w:val="00C83CB9"/>
    <w:rsid w:val="00D20B51"/>
    <w:rsid w:val="00D5543D"/>
    <w:rsid w:val="00D74078"/>
    <w:rsid w:val="00DD531B"/>
    <w:rsid w:val="00DE3CA9"/>
    <w:rsid w:val="00E55EC5"/>
    <w:rsid w:val="00EC0AAA"/>
    <w:rsid w:val="00EF4EF3"/>
    <w:rsid w:val="00F05AAA"/>
    <w:rsid w:val="00F50072"/>
    <w:rsid w:val="00F63937"/>
    <w:rsid w:val="00FF55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4374"/>
  <w15:docId w15:val="{3B7EF60C-2B1D-4E08-BC9B-C57989A8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61A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43E85"/>
    <w:rPr>
      <w:sz w:val="16"/>
      <w:szCs w:val="16"/>
    </w:rPr>
  </w:style>
  <w:style w:type="paragraph" w:styleId="Textkomentra">
    <w:name w:val="annotation text"/>
    <w:basedOn w:val="Normlny"/>
    <w:link w:val="TextkomentraChar"/>
    <w:uiPriority w:val="99"/>
    <w:semiHidden/>
    <w:unhideWhenUsed/>
    <w:rsid w:val="00243E85"/>
    <w:pPr>
      <w:spacing w:line="240" w:lineRule="auto"/>
    </w:pPr>
    <w:rPr>
      <w:sz w:val="20"/>
      <w:szCs w:val="20"/>
    </w:rPr>
  </w:style>
  <w:style w:type="character" w:customStyle="1" w:styleId="TextkomentraChar">
    <w:name w:val="Text komentára Char"/>
    <w:basedOn w:val="Predvolenpsmoodseku"/>
    <w:link w:val="Textkomentra"/>
    <w:uiPriority w:val="99"/>
    <w:semiHidden/>
    <w:rsid w:val="00243E85"/>
    <w:rPr>
      <w:sz w:val="20"/>
      <w:szCs w:val="20"/>
    </w:rPr>
  </w:style>
  <w:style w:type="paragraph" w:styleId="Predmetkomentra">
    <w:name w:val="annotation subject"/>
    <w:basedOn w:val="Textkomentra"/>
    <w:next w:val="Textkomentra"/>
    <w:link w:val="PredmetkomentraChar"/>
    <w:uiPriority w:val="99"/>
    <w:semiHidden/>
    <w:unhideWhenUsed/>
    <w:rsid w:val="00243E85"/>
    <w:rPr>
      <w:b/>
      <w:bCs/>
    </w:rPr>
  </w:style>
  <w:style w:type="character" w:customStyle="1" w:styleId="PredmetkomentraChar">
    <w:name w:val="Predmet komentára Char"/>
    <w:basedOn w:val="TextkomentraChar"/>
    <w:link w:val="Predmetkomentra"/>
    <w:uiPriority w:val="99"/>
    <w:semiHidden/>
    <w:rsid w:val="00243E85"/>
    <w:rPr>
      <w:b/>
      <w:bCs/>
      <w:sz w:val="20"/>
      <w:szCs w:val="20"/>
    </w:rPr>
  </w:style>
  <w:style w:type="paragraph" w:styleId="Textbubliny">
    <w:name w:val="Balloon Text"/>
    <w:basedOn w:val="Normlny"/>
    <w:link w:val="TextbublinyChar"/>
    <w:uiPriority w:val="99"/>
    <w:semiHidden/>
    <w:unhideWhenUsed/>
    <w:rsid w:val="00243E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3E85"/>
    <w:rPr>
      <w:rFonts w:ascii="Segoe UI" w:hAnsi="Segoe UI" w:cs="Segoe UI"/>
      <w:sz w:val="18"/>
      <w:szCs w:val="18"/>
    </w:rPr>
  </w:style>
  <w:style w:type="paragraph" w:styleId="Odsekzoznamu">
    <w:name w:val="List Paragraph"/>
    <w:basedOn w:val="Normlny"/>
    <w:uiPriority w:val="34"/>
    <w:qFormat/>
    <w:rsid w:val="00243E85"/>
    <w:pPr>
      <w:ind w:left="720"/>
      <w:contextualSpacing/>
    </w:pPr>
  </w:style>
  <w:style w:type="character" w:styleId="Hypertextovprepojenie">
    <w:name w:val="Hyperlink"/>
    <w:basedOn w:val="Predvolenpsmoodseku"/>
    <w:uiPriority w:val="99"/>
    <w:unhideWhenUsed/>
    <w:rsid w:val="00852287"/>
    <w:rPr>
      <w:color w:val="0563C1" w:themeColor="hyperlink"/>
      <w:u w:val="single"/>
    </w:rPr>
  </w:style>
  <w:style w:type="paragraph" w:styleId="Textpoznmkypodiarou">
    <w:name w:val="footnote text"/>
    <w:basedOn w:val="Normlny"/>
    <w:link w:val="TextpoznmkypodiarouChar"/>
    <w:uiPriority w:val="99"/>
    <w:semiHidden/>
    <w:unhideWhenUsed/>
    <w:rsid w:val="0085228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52287"/>
    <w:rPr>
      <w:sz w:val="20"/>
      <w:szCs w:val="20"/>
    </w:rPr>
  </w:style>
  <w:style w:type="character" w:styleId="Odkaznapoznmkupodiarou">
    <w:name w:val="footnote reference"/>
    <w:basedOn w:val="Predvolenpsmoodseku"/>
    <w:uiPriority w:val="99"/>
    <w:semiHidden/>
    <w:unhideWhenUsed/>
    <w:rsid w:val="00852287"/>
    <w:rPr>
      <w:vertAlign w:val="superscript"/>
    </w:rPr>
  </w:style>
  <w:style w:type="paragraph" w:styleId="Revzia">
    <w:name w:val="Revision"/>
    <w:hidden/>
    <w:uiPriority w:val="99"/>
    <w:semiHidden/>
    <w:rsid w:val="00D20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55255">
      <w:bodyDiv w:val="1"/>
      <w:marLeft w:val="0"/>
      <w:marRight w:val="0"/>
      <w:marTop w:val="0"/>
      <w:marBottom w:val="0"/>
      <w:divBdr>
        <w:top w:val="none" w:sz="0" w:space="0" w:color="auto"/>
        <w:left w:val="none" w:sz="0" w:space="0" w:color="auto"/>
        <w:bottom w:val="none" w:sz="0" w:space="0" w:color="auto"/>
        <w:right w:val="none" w:sz="0" w:space="0" w:color="auto"/>
      </w:divBdr>
      <w:divsChild>
        <w:div w:id="251017012">
          <w:marLeft w:val="255"/>
          <w:marRight w:val="0"/>
          <w:marTop w:val="75"/>
          <w:marBottom w:val="0"/>
          <w:divBdr>
            <w:top w:val="none" w:sz="0" w:space="0" w:color="auto"/>
            <w:left w:val="none" w:sz="0" w:space="0" w:color="auto"/>
            <w:bottom w:val="none" w:sz="0" w:space="0" w:color="auto"/>
            <w:right w:val="none" w:sz="0" w:space="0" w:color="auto"/>
          </w:divBdr>
        </w:div>
        <w:div w:id="1570462756">
          <w:marLeft w:val="255"/>
          <w:marRight w:val="0"/>
          <w:marTop w:val="75"/>
          <w:marBottom w:val="0"/>
          <w:divBdr>
            <w:top w:val="none" w:sz="0" w:space="0" w:color="auto"/>
            <w:left w:val="none" w:sz="0" w:space="0" w:color="auto"/>
            <w:bottom w:val="none" w:sz="0" w:space="0" w:color="auto"/>
            <w:right w:val="none" w:sz="0" w:space="0" w:color="auto"/>
          </w:divBdr>
        </w:div>
        <w:div w:id="2108959906">
          <w:marLeft w:val="255"/>
          <w:marRight w:val="0"/>
          <w:marTop w:val="75"/>
          <w:marBottom w:val="0"/>
          <w:divBdr>
            <w:top w:val="none" w:sz="0" w:space="0" w:color="auto"/>
            <w:left w:val="none" w:sz="0" w:space="0" w:color="auto"/>
            <w:bottom w:val="none" w:sz="0" w:space="0" w:color="auto"/>
            <w:right w:val="none" w:sz="0" w:space="0" w:color="auto"/>
          </w:divBdr>
        </w:div>
        <w:div w:id="1325548143">
          <w:marLeft w:val="255"/>
          <w:marRight w:val="0"/>
          <w:marTop w:val="75"/>
          <w:marBottom w:val="0"/>
          <w:divBdr>
            <w:top w:val="none" w:sz="0" w:space="0" w:color="auto"/>
            <w:left w:val="none" w:sz="0" w:space="0" w:color="auto"/>
            <w:bottom w:val="none" w:sz="0" w:space="0" w:color="auto"/>
            <w:right w:val="none" w:sz="0" w:space="0" w:color="auto"/>
          </w:divBdr>
        </w:div>
        <w:div w:id="960455043">
          <w:marLeft w:val="255"/>
          <w:marRight w:val="0"/>
          <w:marTop w:val="75"/>
          <w:marBottom w:val="0"/>
          <w:divBdr>
            <w:top w:val="none" w:sz="0" w:space="0" w:color="auto"/>
            <w:left w:val="none" w:sz="0" w:space="0" w:color="auto"/>
            <w:bottom w:val="none" w:sz="0" w:space="0" w:color="auto"/>
            <w:right w:val="none" w:sz="0" w:space="0" w:color="auto"/>
          </w:divBdr>
        </w:div>
        <w:div w:id="2134401572">
          <w:marLeft w:val="255"/>
          <w:marRight w:val="0"/>
          <w:marTop w:val="75"/>
          <w:marBottom w:val="0"/>
          <w:divBdr>
            <w:top w:val="none" w:sz="0" w:space="0" w:color="auto"/>
            <w:left w:val="none" w:sz="0" w:space="0" w:color="auto"/>
            <w:bottom w:val="none" w:sz="0" w:space="0" w:color="auto"/>
            <w:right w:val="none" w:sz="0" w:space="0" w:color="auto"/>
          </w:divBdr>
        </w:div>
      </w:divsChild>
    </w:div>
    <w:div w:id="904341765">
      <w:bodyDiv w:val="1"/>
      <w:marLeft w:val="0"/>
      <w:marRight w:val="0"/>
      <w:marTop w:val="0"/>
      <w:marBottom w:val="0"/>
      <w:divBdr>
        <w:top w:val="none" w:sz="0" w:space="0" w:color="auto"/>
        <w:left w:val="none" w:sz="0" w:space="0" w:color="auto"/>
        <w:bottom w:val="none" w:sz="0" w:space="0" w:color="auto"/>
        <w:right w:val="none" w:sz="0" w:space="0" w:color="auto"/>
      </w:divBdr>
      <w:divsChild>
        <w:div w:id="335690364">
          <w:marLeft w:val="255"/>
          <w:marRight w:val="0"/>
          <w:marTop w:val="75"/>
          <w:marBottom w:val="0"/>
          <w:divBdr>
            <w:top w:val="none" w:sz="0" w:space="0" w:color="auto"/>
            <w:left w:val="none" w:sz="0" w:space="0" w:color="auto"/>
            <w:bottom w:val="none" w:sz="0" w:space="0" w:color="auto"/>
            <w:right w:val="none" w:sz="0" w:space="0" w:color="auto"/>
          </w:divBdr>
        </w:div>
        <w:div w:id="1333490173">
          <w:marLeft w:val="255"/>
          <w:marRight w:val="0"/>
          <w:marTop w:val="75"/>
          <w:marBottom w:val="0"/>
          <w:divBdr>
            <w:top w:val="none" w:sz="0" w:space="0" w:color="auto"/>
            <w:left w:val="none" w:sz="0" w:space="0" w:color="auto"/>
            <w:bottom w:val="none" w:sz="0" w:space="0" w:color="auto"/>
            <w:right w:val="none" w:sz="0" w:space="0" w:color="auto"/>
          </w:divBdr>
        </w:div>
        <w:div w:id="514928505">
          <w:marLeft w:val="255"/>
          <w:marRight w:val="0"/>
          <w:marTop w:val="75"/>
          <w:marBottom w:val="0"/>
          <w:divBdr>
            <w:top w:val="none" w:sz="0" w:space="0" w:color="auto"/>
            <w:left w:val="none" w:sz="0" w:space="0" w:color="auto"/>
            <w:bottom w:val="none" w:sz="0" w:space="0" w:color="auto"/>
            <w:right w:val="none" w:sz="0" w:space="0" w:color="auto"/>
          </w:divBdr>
        </w:div>
        <w:div w:id="1287349692">
          <w:marLeft w:val="255"/>
          <w:marRight w:val="0"/>
          <w:marTop w:val="75"/>
          <w:marBottom w:val="0"/>
          <w:divBdr>
            <w:top w:val="none" w:sz="0" w:space="0" w:color="auto"/>
            <w:left w:val="none" w:sz="0" w:space="0" w:color="auto"/>
            <w:bottom w:val="none" w:sz="0" w:space="0" w:color="auto"/>
            <w:right w:val="none" w:sz="0" w:space="0" w:color="auto"/>
          </w:divBdr>
        </w:div>
        <w:div w:id="202718948">
          <w:marLeft w:val="255"/>
          <w:marRight w:val="0"/>
          <w:marTop w:val="75"/>
          <w:marBottom w:val="0"/>
          <w:divBdr>
            <w:top w:val="none" w:sz="0" w:space="0" w:color="auto"/>
            <w:left w:val="none" w:sz="0" w:space="0" w:color="auto"/>
            <w:bottom w:val="none" w:sz="0" w:space="0" w:color="auto"/>
            <w:right w:val="none" w:sz="0" w:space="0" w:color="auto"/>
          </w:divBdr>
        </w:div>
        <w:div w:id="1093016786">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2/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8D5A-662E-4269-8749-D961CFBC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1495</Words>
  <Characters>8525</Characters>
  <Application>Microsoft Office Word</Application>
  <DocSecurity>0</DocSecurity>
  <Lines>71</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Tadlová</dc:creator>
  <cp:keywords/>
  <dc:description/>
  <cp:lastModifiedBy>Klub SLOVENSKO, ZA ĽUDÍ, KÚ</cp:lastModifiedBy>
  <cp:revision>4</cp:revision>
  <cp:lastPrinted>2023-03-29T13:25:00Z</cp:lastPrinted>
  <dcterms:created xsi:type="dcterms:W3CDTF">2023-11-16T14:16:00Z</dcterms:created>
  <dcterms:modified xsi:type="dcterms:W3CDTF">2023-11-16T14:40:00Z</dcterms:modified>
</cp:coreProperties>
</file>