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B1849" w:rsidRPr="00841021" w:rsidP="00841021">
      <w:pPr>
        <w:spacing w:before="120" w:line="276" w:lineRule="auto"/>
        <w:jc w:val="center"/>
        <w:rPr>
          <w:rFonts w:ascii="Book Antiqua" w:hAnsi="Book Antiqua"/>
          <w:b/>
          <w:sz w:val="22"/>
          <w:szCs w:val="22"/>
        </w:rPr>
      </w:pPr>
      <w:r w:rsidRPr="00841021" w:rsidR="00841021">
        <w:rPr>
          <w:rFonts w:ascii="Book Antiqua" w:hAnsi="Book Antiqua"/>
          <w:b/>
          <w:sz w:val="22"/>
          <w:szCs w:val="22"/>
        </w:rPr>
        <w:t>DÔVODOVÁ SPRÁVA</w:t>
      </w:r>
    </w:p>
    <w:p w:rsidR="001B1849" w:rsidRPr="00841021" w:rsidP="00841021">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b/>
          <w:bCs/>
          <w:sz w:val="22"/>
          <w:szCs w:val="22"/>
        </w:rPr>
        <w:t> </w:t>
      </w:r>
    </w:p>
    <w:p w:rsidR="001B1849" w:rsidRPr="00841021" w:rsidP="00841021">
      <w:pPr>
        <w:pStyle w:val="Heading1"/>
        <w:spacing w:before="120" w:line="276" w:lineRule="auto"/>
        <w:jc w:val="left"/>
        <w:rPr>
          <w:rFonts w:ascii="Book Antiqua" w:hAnsi="Book Antiqua"/>
          <w:sz w:val="22"/>
          <w:szCs w:val="22"/>
        </w:rPr>
      </w:pPr>
      <w:r w:rsidRPr="00841021">
        <w:rPr>
          <w:rFonts w:ascii="Book Antiqua" w:hAnsi="Book Antiqua"/>
          <w:sz w:val="22"/>
          <w:szCs w:val="22"/>
        </w:rPr>
        <w:t>A. Všeobecná časť</w:t>
      </w:r>
    </w:p>
    <w:p w:rsidR="001B1849" w:rsidRPr="00841021" w:rsidP="00841021">
      <w:pPr>
        <w:pStyle w:val="NormalWeb"/>
        <w:spacing w:before="120" w:beforeAutospacing="0" w:after="0" w:afterAutospacing="0" w:line="276" w:lineRule="auto"/>
        <w:ind w:firstLine="708"/>
        <w:jc w:val="both"/>
        <w:rPr>
          <w:rFonts w:ascii="Book Antiqua" w:hAnsi="Book Antiqua"/>
          <w:sz w:val="22"/>
          <w:szCs w:val="22"/>
        </w:rPr>
      </w:pPr>
      <w:r w:rsidRPr="00841021">
        <w:rPr>
          <w:rFonts w:ascii="Book Antiqua" w:hAnsi="Book Antiqua"/>
          <w:sz w:val="22"/>
          <w:szCs w:val="22"/>
        </w:rPr>
        <w:t xml:space="preserve">Návrh zákona, </w:t>
      </w:r>
      <w:r w:rsidRPr="00841021" w:rsidR="004122DC">
        <w:rPr>
          <w:rFonts w:ascii="Book Antiqua" w:hAnsi="Book Antiqua"/>
          <w:bCs/>
          <w:color w:val="000000"/>
          <w:sz w:val="22"/>
          <w:szCs w:val="22"/>
        </w:rPr>
        <w:t>ktorým sa dopĺňa zákon č. 301/2005 Z. z. Trestný poriadok v znení neskorších predpisov</w:t>
      </w:r>
      <w:r w:rsidRPr="00841021" w:rsidR="00C926F5">
        <w:rPr>
          <w:rFonts w:ascii="Book Antiqua" w:hAnsi="Book Antiqua"/>
          <w:sz w:val="22"/>
          <w:szCs w:val="22"/>
        </w:rPr>
        <w:t xml:space="preserve"> </w:t>
      </w:r>
      <w:r w:rsidRPr="00841021">
        <w:rPr>
          <w:rFonts w:ascii="Book Antiqua" w:hAnsi="Book Antiqua"/>
          <w:sz w:val="22"/>
          <w:szCs w:val="22"/>
        </w:rPr>
        <w:t>(ďalej</w:t>
      </w:r>
      <w:r w:rsidR="00841021">
        <w:rPr>
          <w:rFonts w:ascii="Book Antiqua" w:hAnsi="Book Antiqua"/>
          <w:sz w:val="22"/>
          <w:szCs w:val="22"/>
        </w:rPr>
        <w:t xml:space="preserve"> len „návrh zákona“) predkladá</w:t>
      </w:r>
      <w:r w:rsidRPr="00841021" w:rsidR="00696780">
        <w:rPr>
          <w:rFonts w:ascii="Book Antiqua" w:hAnsi="Book Antiqua"/>
          <w:sz w:val="22"/>
          <w:szCs w:val="22"/>
        </w:rPr>
        <w:t xml:space="preserve"> do</w:t>
      </w:r>
      <w:r w:rsidRPr="00841021" w:rsidR="00C926F5">
        <w:rPr>
          <w:rFonts w:ascii="Book Antiqua" w:hAnsi="Book Antiqua"/>
          <w:sz w:val="22"/>
          <w:szCs w:val="22"/>
        </w:rPr>
        <w:t xml:space="preserve"> legislat</w:t>
      </w:r>
      <w:r w:rsidRPr="00841021" w:rsidR="00476E46">
        <w:rPr>
          <w:rFonts w:ascii="Book Antiqua" w:hAnsi="Book Antiqua"/>
          <w:sz w:val="22"/>
          <w:szCs w:val="22"/>
        </w:rPr>
        <w:t>ívneho proc</w:t>
      </w:r>
      <w:r w:rsidRPr="00841021" w:rsidR="00832E5A">
        <w:rPr>
          <w:rFonts w:ascii="Book Antiqua" w:hAnsi="Book Antiqua"/>
          <w:sz w:val="22"/>
          <w:szCs w:val="22"/>
        </w:rPr>
        <w:t xml:space="preserve">esu </w:t>
      </w:r>
      <w:r w:rsidR="00841021">
        <w:rPr>
          <w:rFonts w:ascii="Book Antiqua" w:hAnsi="Book Antiqua"/>
          <w:sz w:val="22"/>
          <w:szCs w:val="22"/>
        </w:rPr>
        <w:t xml:space="preserve">skupina poslancov </w:t>
      </w:r>
      <w:r w:rsidRPr="00841021">
        <w:rPr>
          <w:rFonts w:ascii="Book Antiqua" w:hAnsi="Book Antiqua"/>
          <w:sz w:val="22"/>
          <w:szCs w:val="22"/>
        </w:rPr>
        <w:t>Národnej rad</w:t>
      </w:r>
      <w:r w:rsidRPr="00841021" w:rsidR="005F0314">
        <w:rPr>
          <w:rFonts w:ascii="Book Antiqua" w:hAnsi="Book Antiqua"/>
          <w:sz w:val="22"/>
          <w:szCs w:val="22"/>
        </w:rPr>
        <w:t>y Slovenskej republiky</w:t>
      </w:r>
      <w:r w:rsidRPr="00841021" w:rsidR="009D5C96">
        <w:rPr>
          <w:rFonts w:ascii="Book Antiqua" w:hAnsi="Book Antiqua"/>
          <w:sz w:val="22"/>
          <w:szCs w:val="22"/>
        </w:rPr>
        <w:t>.</w:t>
      </w:r>
    </w:p>
    <w:p w:rsidR="00626741" w:rsidRPr="00841021" w:rsidP="00841021">
      <w:pPr>
        <w:pStyle w:val="NormalWeb"/>
        <w:spacing w:before="120" w:beforeAutospacing="0" w:after="0" w:afterAutospacing="0" w:line="276" w:lineRule="auto"/>
        <w:ind w:firstLine="708"/>
        <w:jc w:val="both"/>
        <w:rPr>
          <w:rFonts w:ascii="Book Antiqua" w:hAnsi="Book Antiqua"/>
          <w:b/>
          <w:sz w:val="22"/>
          <w:szCs w:val="22"/>
        </w:rPr>
      </w:pPr>
      <w:r w:rsidRPr="00841021" w:rsidR="00C926F5">
        <w:rPr>
          <w:rFonts w:ascii="Book Antiqua" w:hAnsi="Book Antiqua"/>
          <w:b/>
          <w:sz w:val="22"/>
          <w:szCs w:val="22"/>
        </w:rPr>
        <w:t>Cieľom návrhu zákona je</w:t>
      </w:r>
      <w:r w:rsidRPr="00841021" w:rsidR="005324AB">
        <w:rPr>
          <w:rFonts w:ascii="Book Antiqua" w:hAnsi="Book Antiqua"/>
          <w:b/>
          <w:sz w:val="22"/>
          <w:szCs w:val="22"/>
        </w:rPr>
        <w:t xml:space="preserve"> </w:t>
      </w:r>
      <w:r w:rsidR="00DC57AE">
        <w:rPr>
          <w:rFonts w:ascii="Book Antiqua" w:hAnsi="Book Antiqua"/>
          <w:b/>
          <w:sz w:val="22"/>
          <w:szCs w:val="22"/>
        </w:rPr>
        <w:t>podporiť obnovu</w:t>
      </w:r>
      <w:r w:rsidRPr="00841021">
        <w:rPr>
          <w:rFonts w:ascii="Book Antiqua" w:hAnsi="Book Antiqua"/>
          <w:b/>
          <w:sz w:val="22"/>
          <w:szCs w:val="22"/>
        </w:rPr>
        <w:t xml:space="preserve"> dôvery v právny štát úpravou ustanovenia § 363 Trestného poriadku tak, aby jeho znenie zodpovedalo pôvodnému zmyslu </w:t>
      </w:r>
      <w:r w:rsidRPr="00841021" w:rsidR="004122DC">
        <w:rPr>
          <w:rFonts w:ascii="Book Antiqua" w:hAnsi="Book Antiqua"/>
          <w:b/>
          <w:sz w:val="22"/>
          <w:szCs w:val="22"/>
        </w:rPr>
        <w:t xml:space="preserve">tohto </w:t>
      </w:r>
      <w:r w:rsidRPr="00841021">
        <w:rPr>
          <w:rFonts w:ascii="Book Antiqua" w:hAnsi="Book Antiqua"/>
          <w:b/>
          <w:sz w:val="22"/>
          <w:szCs w:val="22"/>
        </w:rPr>
        <w:t>mimoriadneho opravného prostriedku, ktorý má</w:t>
      </w:r>
      <w:r w:rsidRPr="00841021" w:rsidR="004122DC">
        <w:rPr>
          <w:rFonts w:ascii="Book Antiqua" w:hAnsi="Book Antiqua"/>
          <w:b/>
          <w:sz w:val="22"/>
          <w:szCs w:val="22"/>
        </w:rPr>
        <w:t xml:space="preserve"> </w:t>
      </w:r>
      <w:r w:rsidRPr="00841021">
        <w:rPr>
          <w:rFonts w:ascii="Book Antiqua" w:hAnsi="Book Antiqua"/>
          <w:b/>
          <w:sz w:val="22"/>
          <w:szCs w:val="22"/>
        </w:rPr>
        <w:t>v rukách generálny prokurátor Slovenskej republiky</w:t>
      </w:r>
      <w:r w:rsidRPr="00841021" w:rsidR="004122DC">
        <w:rPr>
          <w:rFonts w:ascii="Book Antiqua" w:hAnsi="Book Antiqua"/>
          <w:b/>
          <w:sz w:val="22"/>
          <w:szCs w:val="22"/>
        </w:rPr>
        <w:t xml:space="preserve"> </w:t>
      </w:r>
      <w:r w:rsidRPr="00841021" w:rsidR="004122DC">
        <w:rPr>
          <w:rFonts w:ascii="Book Antiqua" w:hAnsi="Book Antiqua"/>
          <w:b/>
          <w:sz w:val="22"/>
          <w:szCs w:val="22"/>
        </w:rPr>
        <w:t>na odstránenie nezákonnosti v prípravnom konaní</w:t>
      </w:r>
      <w:r w:rsidRPr="00841021">
        <w:rPr>
          <w:rFonts w:ascii="Book Antiqua" w:hAnsi="Book Antiqua"/>
          <w:b/>
          <w:sz w:val="22"/>
          <w:szCs w:val="22"/>
        </w:rPr>
        <w:t>. Zároveň sa tým zlepší dodržiav</w:t>
      </w:r>
      <w:r w:rsidRPr="00841021" w:rsidR="00616F48">
        <w:rPr>
          <w:rFonts w:ascii="Book Antiqua" w:hAnsi="Book Antiqua"/>
          <w:b/>
          <w:sz w:val="22"/>
          <w:szCs w:val="22"/>
        </w:rPr>
        <w:t xml:space="preserve">anie zákazu negatívnych pokynov, </w:t>
      </w:r>
      <w:r w:rsidRPr="00841021" w:rsidR="004122DC">
        <w:rPr>
          <w:rFonts w:ascii="Book Antiqua" w:hAnsi="Book Antiqua"/>
          <w:b/>
          <w:sz w:val="22"/>
          <w:szCs w:val="22"/>
        </w:rPr>
        <w:t>ktoré sa neraz obchádzajú práve využitím § 363 Trestného poriadku</w:t>
      </w:r>
      <w:r w:rsidRPr="00841021" w:rsidR="00616F48">
        <w:rPr>
          <w:rFonts w:ascii="Book Antiqua" w:hAnsi="Book Antiqua"/>
          <w:b/>
          <w:sz w:val="22"/>
          <w:szCs w:val="22"/>
        </w:rPr>
        <w:t>.</w:t>
      </w:r>
    </w:p>
    <w:p w:rsidR="004122DC" w:rsidRPr="00841021" w:rsidP="00841021">
      <w:pPr>
        <w:pStyle w:val="NormalWeb"/>
        <w:spacing w:before="120" w:beforeAutospacing="0" w:after="0" w:afterAutospacing="0" w:line="276" w:lineRule="auto"/>
        <w:ind w:firstLine="708"/>
        <w:jc w:val="both"/>
        <w:rPr>
          <w:rFonts w:ascii="Book Antiqua" w:hAnsi="Book Antiqua"/>
          <w:sz w:val="22"/>
          <w:szCs w:val="22"/>
        </w:rPr>
      </w:pPr>
      <w:r w:rsidRPr="00841021" w:rsidR="00616F48">
        <w:rPr>
          <w:rFonts w:ascii="Book Antiqua" w:hAnsi="Book Antiqua"/>
          <w:sz w:val="22"/>
          <w:szCs w:val="22"/>
        </w:rPr>
        <w:t>Pôvodným zmyslom mimoriadneho opravného prostriedku bolo poskytnúť právomoc generálnemu prokurátorovi Slovenskej republiky zrušiť právoplatné rozhodnutia vydané policajtom</w:t>
      </w:r>
      <w:r w:rsidR="00DC57AE">
        <w:rPr>
          <w:rFonts w:ascii="Book Antiqua" w:hAnsi="Book Antiqua"/>
          <w:sz w:val="22"/>
          <w:szCs w:val="22"/>
        </w:rPr>
        <w:t>,</w:t>
      </w:r>
      <w:r w:rsidRPr="00841021" w:rsidR="00616F48">
        <w:rPr>
          <w:rFonts w:ascii="Book Antiqua" w:hAnsi="Book Antiqua"/>
          <w:sz w:val="22"/>
          <w:szCs w:val="22"/>
        </w:rPr>
        <w:t xml:space="preserve"> alebo prokurátorom v prípravnom konaní, ak došlo k podstatnému pochybeniu, ktoré mohlo ovplyvniť rozhodnutie vo veci. </w:t>
      </w:r>
      <w:r w:rsidRPr="00841021">
        <w:rPr>
          <w:rFonts w:ascii="Book Antiqua" w:hAnsi="Book Antiqua"/>
          <w:sz w:val="22"/>
          <w:szCs w:val="22"/>
        </w:rPr>
        <w:t>Za také rozhodnutia nemožno považovať</w:t>
      </w:r>
      <w:r w:rsidRPr="00841021" w:rsidR="00616F48">
        <w:rPr>
          <w:rFonts w:ascii="Book Antiqua" w:hAnsi="Book Antiqua"/>
          <w:sz w:val="22"/>
          <w:szCs w:val="22"/>
        </w:rPr>
        <w:t xml:space="preserve"> napr</w:t>
      </w:r>
      <w:r w:rsidRPr="00841021" w:rsidR="00616F48">
        <w:rPr>
          <w:rFonts w:ascii="Book Antiqua" w:hAnsi="Book Antiqua"/>
          <w:sz w:val="22"/>
          <w:szCs w:val="22"/>
        </w:rPr>
        <w:t>. uznesenie o vznesení obvinenia</w:t>
      </w:r>
      <w:r w:rsidRPr="00841021" w:rsidR="00105095">
        <w:rPr>
          <w:rFonts w:ascii="Book Antiqua" w:hAnsi="Book Antiqua"/>
          <w:sz w:val="22"/>
          <w:szCs w:val="22"/>
        </w:rPr>
        <w:t>, čo v súčasnosti patrí medzi časté prípady rozhodnutí, voči ktorým smeruje použitie § 363 Trestného poriadku</w:t>
      </w:r>
      <w:r w:rsidR="00DC57AE">
        <w:rPr>
          <w:rFonts w:ascii="Book Antiqua" w:hAnsi="Book Antiqua"/>
          <w:sz w:val="22"/>
          <w:szCs w:val="22"/>
        </w:rPr>
        <w:t>.</w:t>
      </w:r>
      <w:r w:rsidRPr="00841021" w:rsidR="00105095">
        <w:rPr>
          <w:rFonts w:ascii="Book Antiqua" w:hAnsi="Book Antiqua"/>
          <w:sz w:val="22"/>
          <w:szCs w:val="22"/>
        </w:rPr>
        <w:t xml:space="preserve"> </w:t>
      </w:r>
      <w:r w:rsidR="00DC57AE">
        <w:rPr>
          <w:rFonts w:ascii="Book Antiqua" w:hAnsi="Book Antiqua"/>
          <w:sz w:val="22"/>
          <w:szCs w:val="22"/>
        </w:rPr>
        <w:t>Deje sa tak dokonca</w:t>
      </w:r>
      <w:r w:rsidRPr="00841021" w:rsidR="00105095">
        <w:rPr>
          <w:rFonts w:ascii="Book Antiqua" w:hAnsi="Book Antiqua"/>
          <w:sz w:val="22"/>
          <w:szCs w:val="22"/>
        </w:rPr>
        <w:t xml:space="preserve"> aj v súvislosti s obvineniami vplyvných osôb za spáchanie závažných trestných činov korupcie či organizovaného zločinu.</w:t>
      </w:r>
      <w:r w:rsidRPr="00841021" w:rsidR="005A700E">
        <w:rPr>
          <w:rFonts w:ascii="Book Antiqua" w:hAnsi="Book Antiqua"/>
          <w:sz w:val="22"/>
          <w:szCs w:val="22"/>
        </w:rPr>
        <w:t xml:space="preserve"> </w:t>
      </w:r>
    </w:p>
    <w:p w:rsidR="00105095" w:rsidRPr="00841021" w:rsidP="00841021">
      <w:pPr>
        <w:pStyle w:val="NormalWeb"/>
        <w:spacing w:before="120" w:beforeAutospacing="0" w:after="0" w:afterAutospacing="0" w:line="276" w:lineRule="auto"/>
        <w:ind w:firstLine="708"/>
        <w:jc w:val="both"/>
        <w:rPr>
          <w:rFonts w:ascii="Book Antiqua" w:hAnsi="Book Antiqua"/>
          <w:sz w:val="22"/>
          <w:szCs w:val="22"/>
        </w:rPr>
      </w:pPr>
      <w:r w:rsidRPr="00841021">
        <w:rPr>
          <w:rFonts w:ascii="Book Antiqua" w:hAnsi="Book Antiqua"/>
          <w:sz w:val="22"/>
          <w:szCs w:val="22"/>
        </w:rPr>
        <w:t>Verejno</w:t>
      </w:r>
      <w:r w:rsidRPr="00841021" w:rsidR="004122DC">
        <w:rPr>
          <w:rFonts w:ascii="Book Antiqua" w:hAnsi="Book Antiqua"/>
          <w:sz w:val="22"/>
          <w:szCs w:val="22"/>
        </w:rPr>
        <w:t xml:space="preserve">sť veľmi citlivo vníma nadmerné </w:t>
      </w:r>
      <w:r w:rsidRPr="00841021">
        <w:rPr>
          <w:rFonts w:ascii="Book Antiqua" w:hAnsi="Book Antiqua"/>
          <w:sz w:val="22"/>
          <w:szCs w:val="22"/>
        </w:rPr>
        <w:t>využívanie § 363 Trestného poriadku, osobitne v situáciách, keď to nezodpovedá pôvodnému</w:t>
      </w:r>
      <w:r w:rsidRPr="00841021" w:rsidR="004122DC">
        <w:rPr>
          <w:rFonts w:ascii="Book Antiqua" w:hAnsi="Book Antiqua"/>
          <w:sz w:val="22"/>
          <w:szCs w:val="22"/>
        </w:rPr>
        <w:t xml:space="preserve"> zmyslu použitia tohto</w:t>
      </w:r>
      <w:r w:rsidRPr="00841021">
        <w:rPr>
          <w:rFonts w:ascii="Book Antiqua" w:hAnsi="Book Antiqua"/>
          <w:sz w:val="22"/>
          <w:szCs w:val="22"/>
        </w:rPr>
        <w:t xml:space="preserve"> mimoriadneho opravného prostriedku</w:t>
      </w:r>
      <w:r w:rsidR="00DC57AE">
        <w:rPr>
          <w:rFonts w:ascii="Book Antiqua" w:hAnsi="Book Antiqua"/>
          <w:sz w:val="22"/>
          <w:szCs w:val="22"/>
        </w:rPr>
        <w:t>.</w:t>
      </w:r>
      <w:r w:rsidRPr="00841021">
        <w:rPr>
          <w:rFonts w:ascii="Book Antiqua" w:hAnsi="Book Antiqua"/>
          <w:sz w:val="22"/>
          <w:szCs w:val="22"/>
        </w:rPr>
        <w:t xml:space="preserve"> </w:t>
      </w:r>
      <w:r w:rsidR="00DC57AE">
        <w:rPr>
          <w:rFonts w:ascii="Book Antiqua" w:hAnsi="Book Antiqua"/>
          <w:sz w:val="22"/>
          <w:szCs w:val="22"/>
        </w:rPr>
        <w:t>N</w:t>
      </w:r>
      <w:r w:rsidRPr="00841021">
        <w:rPr>
          <w:rFonts w:ascii="Book Antiqua" w:hAnsi="Book Antiqua"/>
          <w:sz w:val="22"/>
          <w:szCs w:val="22"/>
        </w:rPr>
        <w:t xml:space="preserve">eraz </w:t>
      </w:r>
      <w:r w:rsidR="00DC57AE">
        <w:rPr>
          <w:rFonts w:ascii="Book Antiqua" w:hAnsi="Book Antiqua"/>
          <w:sz w:val="22"/>
          <w:szCs w:val="22"/>
        </w:rPr>
        <w:t xml:space="preserve">je to </w:t>
      </w:r>
      <w:r w:rsidRPr="00841021">
        <w:rPr>
          <w:rFonts w:ascii="Book Antiqua" w:hAnsi="Book Antiqua"/>
          <w:sz w:val="22"/>
          <w:szCs w:val="22"/>
        </w:rPr>
        <w:t>umocnené nedostatočným</w:t>
      </w:r>
      <w:r w:rsidR="00DC57AE">
        <w:rPr>
          <w:rFonts w:ascii="Book Antiqua" w:hAnsi="Book Antiqua"/>
          <w:sz w:val="22"/>
          <w:szCs w:val="22"/>
        </w:rPr>
        <w:t>,</w:t>
      </w:r>
      <w:r w:rsidRPr="00841021">
        <w:rPr>
          <w:rFonts w:ascii="Book Antiqua" w:hAnsi="Book Antiqua"/>
          <w:sz w:val="22"/>
          <w:szCs w:val="22"/>
        </w:rPr>
        <w:t xml:space="preserve"> </w:t>
      </w:r>
      <w:r w:rsidRPr="00841021" w:rsidR="004122DC">
        <w:rPr>
          <w:rFonts w:ascii="Book Antiqua" w:hAnsi="Book Antiqua"/>
          <w:sz w:val="22"/>
          <w:szCs w:val="22"/>
        </w:rPr>
        <w:t xml:space="preserve">alebo </w:t>
      </w:r>
      <w:r w:rsidRPr="00841021" w:rsidR="004122DC">
        <w:rPr>
          <w:rFonts w:ascii="Book Antiqua" w:hAnsi="Book Antiqua"/>
          <w:sz w:val="22"/>
          <w:szCs w:val="22"/>
        </w:rPr>
        <w:t xml:space="preserve">nejasným </w:t>
      </w:r>
      <w:r w:rsidRPr="00841021">
        <w:rPr>
          <w:rFonts w:ascii="Book Antiqua" w:hAnsi="Book Antiqua"/>
          <w:sz w:val="22"/>
          <w:szCs w:val="22"/>
        </w:rPr>
        <w:t>zdôvodnením</w:t>
      </w:r>
      <w:r w:rsidR="00DC57AE">
        <w:rPr>
          <w:rFonts w:ascii="Book Antiqua" w:hAnsi="Book Antiqua"/>
          <w:sz w:val="22"/>
          <w:szCs w:val="22"/>
        </w:rPr>
        <w:t xml:space="preserve"> p</w:t>
      </w:r>
      <w:r w:rsidRPr="00841021">
        <w:rPr>
          <w:rFonts w:ascii="Book Antiqua" w:hAnsi="Book Antiqua"/>
          <w:sz w:val="22"/>
          <w:szCs w:val="22"/>
        </w:rPr>
        <w:t xml:space="preserve">oužitia </w:t>
      </w:r>
      <w:r w:rsidRPr="00841021" w:rsidR="00DC57AE">
        <w:rPr>
          <w:rFonts w:ascii="Book Antiqua" w:hAnsi="Book Antiqua"/>
          <w:sz w:val="22"/>
          <w:szCs w:val="22"/>
        </w:rPr>
        <w:t xml:space="preserve">§ 363 Trestného poriadku </w:t>
      </w:r>
      <w:r w:rsidRPr="00841021">
        <w:rPr>
          <w:rFonts w:ascii="Book Antiqua" w:hAnsi="Book Antiqua"/>
          <w:sz w:val="22"/>
          <w:szCs w:val="22"/>
        </w:rPr>
        <w:t>zo strany Generálnej prokuratúry S</w:t>
      </w:r>
      <w:r w:rsidRPr="00841021" w:rsidR="005A700E">
        <w:rPr>
          <w:rFonts w:ascii="Book Antiqua" w:hAnsi="Book Antiqua"/>
          <w:sz w:val="22"/>
          <w:szCs w:val="22"/>
        </w:rPr>
        <w:t>R</w:t>
      </w:r>
      <w:r w:rsidRPr="00841021">
        <w:rPr>
          <w:rFonts w:ascii="Book Antiqua" w:hAnsi="Book Antiqua"/>
          <w:sz w:val="22"/>
          <w:szCs w:val="22"/>
        </w:rPr>
        <w:t xml:space="preserve">. To má následne </w:t>
      </w:r>
      <w:r w:rsidRPr="00841021" w:rsidR="005A700E">
        <w:rPr>
          <w:rFonts w:ascii="Book Antiqua" w:hAnsi="Book Antiqua"/>
          <w:sz w:val="22"/>
          <w:szCs w:val="22"/>
        </w:rPr>
        <w:t xml:space="preserve">negatívny </w:t>
      </w:r>
      <w:r w:rsidRPr="00841021">
        <w:rPr>
          <w:rFonts w:ascii="Book Antiqua" w:hAnsi="Book Antiqua"/>
          <w:sz w:val="22"/>
          <w:szCs w:val="22"/>
        </w:rPr>
        <w:t xml:space="preserve">dopad na dôveryhodnosť prokuratúry a celkovo aj na </w:t>
      </w:r>
      <w:r w:rsidRPr="00841021" w:rsidR="005A700E">
        <w:rPr>
          <w:rFonts w:ascii="Book Antiqua" w:hAnsi="Book Antiqua"/>
          <w:sz w:val="22"/>
          <w:szCs w:val="22"/>
        </w:rPr>
        <w:t>dôveru v právny štát.</w:t>
      </w:r>
    </w:p>
    <w:p w:rsidR="00626741" w:rsidRPr="00ED03D7" w:rsidP="00BF53DB">
      <w:pPr>
        <w:pStyle w:val="NormalWeb"/>
        <w:spacing w:before="120" w:beforeAutospacing="0" w:after="120" w:afterAutospacing="0" w:line="276" w:lineRule="auto"/>
        <w:ind w:firstLine="708"/>
        <w:jc w:val="both"/>
        <w:rPr>
          <w:rFonts w:ascii="Book Antiqua" w:hAnsi="Book Antiqua"/>
          <w:sz w:val="22"/>
          <w:szCs w:val="22"/>
        </w:rPr>
      </w:pPr>
      <w:r w:rsidRPr="00841021" w:rsidR="005A700E">
        <w:rPr>
          <w:rFonts w:ascii="Book Antiqua" w:hAnsi="Book Antiqua"/>
          <w:sz w:val="22"/>
          <w:szCs w:val="22"/>
        </w:rPr>
        <w:t xml:space="preserve">Ústavný súd Slovenskej republiky už vo svojom uznesení sp. zn. II. ÚS 494/2014 z 22. augusta 2014 konštatoval, že inštitút § 363 Trestného poriadku </w:t>
      </w:r>
      <w:r w:rsidRPr="00841021" w:rsidR="005A700E">
        <w:rPr>
          <w:rFonts w:ascii="Book Antiqua" w:hAnsi="Book Antiqua"/>
          <w:bCs/>
          <w:iCs/>
          <w:sz w:val="22"/>
          <w:szCs w:val="22"/>
        </w:rPr>
        <w:t>je určený na nápravu nezákonnosti meritórnych rozhodnutí, ktorými sa rozhodovalo „vo veci“, a teda ide o rozhodnutia konečné, ktorých nápravu už nemožno zabezpečiť inými pros</w:t>
      </w:r>
      <w:r w:rsidRPr="00841021" w:rsidR="005A700E">
        <w:rPr>
          <w:rFonts w:ascii="Book Antiqua" w:hAnsi="Book Antiqua"/>
          <w:bCs/>
          <w:iCs/>
          <w:sz w:val="22"/>
          <w:szCs w:val="22"/>
        </w:rPr>
        <w:t>triedkami</w:t>
      </w:r>
      <w:r w:rsidR="00DC57AE">
        <w:rPr>
          <w:rFonts w:ascii="Book Antiqua" w:hAnsi="Book Antiqua"/>
          <w:bCs/>
          <w:iCs/>
          <w:sz w:val="22"/>
          <w:szCs w:val="22"/>
        </w:rPr>
        <w:t>.</w:t>
      </w:r>
      <w:r w:rsidRPr="00841021" w:rsidR="005A700E">
        <w:rPr>
          <w:rFonts w:ascii="Book Antiqua" w:hAnsi="Book Antiqua"/>
          <w:bCs/>
          <w:iCs/>
          <w:sz w:val="22"/>
          <w:szCs w:val="22"/>
        </w:rPr>
        <w:t xml:space="preserve"> </w:t>
      </w:r>
      <w:r w:rsidR="00DC57AE">
        <w:rPr>
          <w:rFonts w:ascii="Book Antiqua" w:hAnsi="Book Antiqua"/>
          <w:bCs/>
          <w:iCs/>
          <w:sz w:val="22"/>
          <w:szCs w:val="22"/>
        </w:rPr>
        <w:t>A</w:t>
      </w:r>
      <w:r w:rsidRPr="00841021" w:rsidR="005A700E">
        <w:rPr>
          <w:rFonts w:ascii="Book Antiqua" w:hAnsi="Book Antiqua"/>
          <w:bCs/>
          <w:iCs/>
          <w:sz w:val="22"/>
          <w:szCs w:val="22"/>
        </w:rPr>
        <w:t xml:space="preserve">j </w:t>
      </w:r>
      <w:r w:rsidR="00DC57AE">
        <w:rPr>
          <w:rFonts w:ascii="Book Antiqua" w:hAnsi="Book Antiqua"/>
          <w:bCs/>
          <w:iCs/>
          <w:sz w:val="22"/>
          <w:szCs w:val="22"/>
        </w:rPr>
        <w:t>s</w:t>
      </w:r>
      <w:r w:rsidRPr="00841021" w:rsidR="005A700E">
        <w:rPr>
          <w:rFonts w:ascii="Book Antiqua" w:hAnsi="Book Antiqua"/>
          <w:bCs/>
          <w:iCs/>
          <w:sz w:val="22"/>
          <w:szCs w:val="22"/>
        </w:rPr>
        <w:t>práv</w:t>
      </w:r>
      <w:r w:rsidR="00DC57AE">
        <w:rPr>
          <w:rFonts w:ascii="Book Antiqua" w:hAnsi="Book Antiqua"/>
          <w:bCs/>
          <w:iCs/>
          <w:sz w:val="22"/>
          <w:szCs w:val="22"/>
        </w:rPr>
        <w:t>a</w:t>
      </w:r>
      <w:r w:rsidRPr="00841021" w:rsidR="005A700E">
        <w:rPr>
          <w:rFonts w:ascii="Book Antiqua" w:hAnsi="Book Antiqua"/>
          <w:bCs/>
          <w:iCs/>
          <w:sz w:val="22"/>
          <w:szCs w:val="22"/>
        </w:rPr>
        <w:t xml:space="preserve"> Generálnej prokuratúry Slovenskej republiky predložen</w:t>
      </w:r>
      <w:r w:rsidR="00DC57AE">
        <w:rPr>
          <w:rFonts w:ascii="Book Antiqua" w:hAnsi="Book Antiqua"/>
          <w:bCs/>
          <w:iCs/>
          <w:sz w:val="22"/>
          <w:szCs w:val="22"/>
        </w:rPr>
        <w:t>á</w:t>
      </w:r>
      <w:r w:rsidRPr="00841021" w:rsidR="005A700E">
        <w:rPr>
          <w:rFonts w:ascii="Book Antiqua" w:hAnsi="Book Antiqua"/>
          <w:bCs/>
          <w:iCs/>
          <w:sz w:val="22"/>
          <w:szCs w:val="22"/>
        </w:rPr>
        <w:t xml:space="preserve"> parlamentu za rok 2018 konštatuje</w:t>
      </w:r>
      <w:r w:rsidRPr="00ED03D7" w:rsidR="005A700E">
        <w:rPr>
          <w:rFonts w:ascii="Book Antiqua" w:hAnsi="Book Antiqua"/>
          <w:bCs/>
          <w:iCs/>
          <w:sz w:val="22"/>
          <w:szCs w:val="22"/>
        </w:rPr>
        <w:t>: „</w:t>
      </w:r>
      <w:r w:rsidRPr="00ED03D7" w:rsidR="005A700E">
        <w:rPr>
          <w:rFonts w:ascii="Book Antiqua" w:hAnsi="Book Antiqua"/>
          <w:bCs/>
          <w:i/>
          <w:iCs/>
          <w:sz w:val="22"/>
          <w:szCs w:val="22"/>
        </w:rPr>
        <w:t>[...]</w:t>
      </w:r>
      <w:r w:rsidRPr="00ED03D7" w:rsidR="005A700E">
        <w:rPr>
          <w:rFonts w:ascii="Book Antiqua" w:hAnsi="Book Antiqua"/>
          <w:i/>
          <w:sz w:val="22"/>
          <w:szCs w:val="22"/>
        </w:rPr>
        <w:t>opätovne boli zaznamenané prípady zneužívania tohto mimoriadneho opravného prostriedku obvinenými a hlavne ich obhajcami za účelom účelových obštrukcií s následným spôsobením zbytočných prieťahov v trestnom konaní</w:t>
      </w:r>
      <w:r w:rsidRPr="00ED03D7" w:rsidR="005A700E">
        <w:rPr>
          <w:rFonts w:ascii="Book Antiqua" w:hAnsi="Book Antiqua"/>
          <w:bCs/>
          <w:i/>
          <w:iCs/>
          <w:sz w:val="22"/>
          <w:szCs w:val="22"/>
        </w:rPr>
        <w:t>[...]</w:t>
      </w:r>
      <w:r w:rsidRPr="00ED03D7" w:rsidR="005A700E">
        <w:rPr>
          <w:rFonts w:ascii="Book Antiqua" w:hAnsi="Book Antiqua"/>
          <w:bCs/>
          <w:iCs/>
          <w:sz w:val="22"/>
          <w:szCs w:val="22"/>
        </w:rPr>
        <w:t>“.</w:t>
      </w:r>
    </w:p>
    <w:p w:rsidR="00BF53DB" w:rsidRPr="00BF53DB" w:rsidP="00BF53DB">
      <w:pPr>
        <w:pBdr>
          <w:top w:val="nil"/>
          <w:left w:val="nil"/>
          <w:bottom w:val="nil"/>
          <w:right w:val="nil"/>
          <w:between w:val="nil"/>
        </w:pBdr>
        <w:tabs>
          <w:tab w:val="right" w:pos="9072"/>
        </w:tabs>
        <w:spacing w:before="120" w:after="120" w:line="276" w:lineRule="auto"/>
        <w:ind w:firstLine="709"/>
        <w:jc w:val="both"/>
        <w:rPr>
          <w:rFonts w:ascii="Book Antiqua" w:hAnsi="Book Antiqua"/>
          <w:sz w:val="22"/>
          <w:szCs w:val="22"/>
        </w:rPr>
      </w:pPr>
      <w:r w:rsidRPr="00BF53DB">
        <w:rPr>
          <w:rFonts w:ascii="Book Antiqua" w:hAnsi="Book Antiqua"/>
          <w:sz w:val="22"/>
          <w:szCs w:val="22"/>
        </w:rPr>
        <w:t>Návrh zákona vychádza z verejného prísľubu zo dňa 10. septembra 2023 – zo Zmluvy so Slovenskom</w:t>
      </w:r>
      <w:r>
        <w:rPr>
          <w:rFonts w:ascii="Book Antiqua" w:hAnsi="Book Antiqua"/>
          <w:sz w:val="22"/>
          <w:szCs w:val="22"/>
        </w:rPr>
        <w:t xml:space="preserve"> – v ktorom sme sa zaviazali zmeniť § 363 Trestného poriadku. </w:t>
      </w:r>
    </w:p>
    <w:p w:rsidR="004122DC" w:rsidRPr="00841021" w:rsidP="00841021">
      <w:pPr>
        <w:spacing w:before="120" w:line="276" w:lineRule="auto"/>
        <w:ind w:firstLine="709"/>
        <w:jc w:val="both"/>
        <w:rPr>
          <w:rFonts w:ascii="Book Antiqua" w:hAnsi="Book Antiqua"/>
          <w:sz w:val="22"/>
          <w:szCs w:val="22"/>
        </w:rPr>
      </w:pPr>
      <w:r w:rsidRPr="00841021" w:rsidR="00F54AAE">
        <w:rPr>
          <w:rFonts w:ascii="Book Antiqua" w:hAnsi="Book Antiqua"/>
          <w:sz w:val="22"/>
          <w:szCs w:val="22"/>
        </w:rPr>
        <w:t xml:space="preserve">Návrh zákona nebude mať žiadny vplyv na </w:t>
      </w:r>
      <w:r w:rsidR="00D66F7C">
        <w:rPr>
          <w:rFonts w:ascii="Book Antiqua" w:hAnsi="Book Antiqua"/>
          <w:sz w:val="22"/>
          <w:szCs w:val="22"/>
        </w:rPr>
        <w:t xml:space="preserve">rozpočet verejnej správy, na </w:t>
      </w:r>
      <w:r w:rsidRPr="00841021" w:rsidR="00F54AAE">
        <w:rPr>
          <w:rFonts w:ascii="Book Antiqua" w:hAnsi="Book Antiqua"/>
          <w:sz w:val="22"/>
          <w:szCs w:val="22"/>
        </w:rPr>
        <w:t>podnikateľské pros</w:t>
      </w:r>
      <w:r w:rsidR="00D66F7C">
        <w:rPr>
          <w:rFonts w:ascii="Book Antiqua" w:hAnsi="Book Antiqua"/>
          <w:sz w:val="22"/>
          <w:szCs w:val="22"/>
        </w:rPr>
        <w:t xml:space="preserve">tredie, na životné prostredie, </w:t>
      </w:r>
      <w:r w:rsidRPr="00841021" w:rsidR="00F54AAE">
        <w:rPr>
          <w:rFonts w:ascii="Book Antiqua" w:hAnsi="Book Antiqua"/>
          <w:sz w:val="22"/>
          <w:szCs w:val="22"/>
        </w:rPr>
        <w:t xml:space="preserve">na služby </w:t>
      </w:r>
      <w:r w:rsidR="00D66F7C">
        <w:rPr>
          <w:rFonts w:ascii="Book Antiqua" w:hAnsi="Book Antiqua"/>
          <w:sz w:val="22"/>
          <w:szCs w:val="22"/>
        </w:rPr>
        <w:t xml:space="preserve">verejnej správy </w:t>
      </w:r>
      <w:r w:rsidRPr="00841021" w:rsidR="00F54AAE">
        <w:rPr>
          <w:rFonts w:ascii="Book Antiqua" w:hAnsi="Book Antiqua"/>
          <w:sz w:val="22"/>
          <w:szCs w:val="22"/>
        </w:rPr>
        <w:t>pre občana</w:t>
      </w:r>
      <w:r w:rsidR="00D66F7C">
        <w:rPr>
          <w:rFonts w:ascii="Book Antiqua" w:hAnsi="Book Antiqua"/>
          <w:sz w:val="22"/>
          <w:szCs w:val="22"/>
        </w:rPr>
        <w:t xml:space="preserve">, na </w:t>
      </w:r>
      <w:r w:rsidRPr="00841021" w:rsidR="00F54AAE">
        <w:rPr>
          <w:rFonts w:ascii="Book Antiqua" w:hAnsi="Book Antiqua"/>
          <w:sz w:val="22"/>
          <w:szCs w:val="22"/>
        </w:rPr>
        <w:t>manže</w:t>
      </w:r>
      <w:r w:rsidR="00D66F7C">
        <w:rPr>
          <w:rFonts w:ascii="Book Antiqua" w:hAnsi="Book Antiqua"/>
          <w:sz w:val="22"/>
          <w:szCs w:val="22"/>
        </w:rPr>
        <w:t xml:space="preserve">lstvo, rodičovstvo a rodinu, </w:t>
      </w:r>
      <w:r w:rsidRPr="00841021" w:rsidR="00F54AAE">
        <w:rPr>
          <w:rFonts w:ascii="Book Antiqua" w:hAnsi="Book Antiqua"/>
          <w:sz w:val="22"/>
          <w:szCs w:val="22"/>
        </w:rPr>
        <w:t>na informatizáciu spoločnosti</w:t>
      </w:r>
      <w:r w:rsidR="00D66F7C">
        <w:rPr>
          <w:rFonts w:ascii="Book Antiqua" w:hAnsi="Book Antiqua"/>
          <w:sz w:val="22"/>
          <w:szCs w:val="22"/>
        </w:rPr>
        <w:t xml:space="preserve"> ani sociálne vplyvy</w:t>
      </w:r>
      <w:r w:rsidRPr="00841021" w:rsidR="00C336C0">
        <w:rPr>
          <w:rFonts w:ascii="Book Antiqua" w:hAnsi="Book Antiqua"/>
          <w:sz w:val="22"/>
          <w:szCs w:val="22"/>
        </w:rPr>
        <w:t>.</w:t>
      </w:r>
      <w:r w:rsidRPr="00841021" w:rsidR="00F54AAE">
        <w:rPr>
          <w:rFonts w:ascii="Book Antiqua" w:hAnsi="Book Antiqua"/>
          <w:sz w:val="22"/>
          <w:szCs w:val="22"/>
        </w:rPr>
        <w:t xml:space="preserve"> </w:t>
      </w:r>
      <w:r w:rsidRPr="00841021" w:rsidR="005A700E">
        <w:rPr>
          <w:rFonts w:ascii="Book Antiqua" w:hAnsi="Book Antiqua"/>
          <w:sz w:val="22"/>
          <w:szCs w:val="22"/>
        </w:rPr>
        <w:t xml:space="preserve">  </w:t>
      </w:r>
    </w:p>
    <w:p w:rsidR="009F080A" w:rsidRPr="00841021" w:rsidP="00841021">
      <w:pPr>
        <w:spacing w:before="120" w:line="276" w:lineRule="auto"/>
        <w:ind w:firstLine="709"/>
        <w:jc w:val="both"/>
        <w:rPr>
          <w:rFonts w:ascii="Book Antiqua" w:hAnsi="Book Antiqua"/>
          <w:sz w:val="22"/>
          <w:szCs w:val="22"/>
        </w:rPr>
      </w:pPr>
      <w:r w:rsidRPr="00841021">
        <w:rPr>
          <w:rFonts w:ascii="Book Antiqua" w:hAnsi="Book Antiqua"/>
          <w:sz w:val="22"/>
          <w:szCs w:val="22"/>
        </w:rPr>
        <w:t>Návrh zákona je v súlade s</w:t>
      </w:r>
      <w:r w:rsidRPr="00841021">
        <w:rPr>
          <w:rFonts w:ascii="Book Antiqua" w:hAnsi="Book Antiqua"/>
          <w:sz w:val="22"/>
          <w:szCs w:val="22"/>
        </w:rPr>
        <w:t xml:space="preserve">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706F69" w:rsidRPr="00841021" w:rsidP="00841021">
      <w:pPr>
        <w:pStyle w:val="NormalWeb"/>
        <w:spacing w:before="120" w:beforeAutospacing="0" w:after="0" w:afterAutospacing="0" w:line="276" w:lineRule="auto"/>
        <w:jc w:val="both"/>
        <w:rPr>
          <w:rFonts w:ascii="Book Antiqua" w:hAnsi="Book Antiqua"/>
          <w:sz w:val="22"/>
          <w:szCs w:val="22"/>
        </w:rPr>
      </w:pPr>
      <w:r w:rsidR="00BF53DB">
        <w:rPr>
          <w:rFonts w:ascii="Book Antiqua" w:hAnsi="Book Antiqua"/>
          <w:b/>
          <w:bCs/>
          <w:sz w:val="22"/>
          <w:szCs w:val="22"/>
        </w:rPr>
        <w:br w:type="page"/>
      </w:r>
      <w:r w:rsidRPr="00841021">
        <w:rPr>
          <w:rFonts w:ascii="Book Antiqua" w:hAnsi="Book Antiqua"/>
          <w:b/>
          <w:bCs/>
          <w:sz w:val="22"/>
          <w:szCs w:val="22"/>
        </w:rPr>
        <w:t>B. Osobitná časť</w:t>
      </w:r>
    </w:p>
    <w:p w:rsidR="00706F69" w:rsidRPr="00841021" w:rsidP="00841021">
      <w:pPr>
        <w:pStyle w:val="NormalWeb"/>
        <w:spacing w:before="120" w:beforeAutospacing="0" w:after="0" w:afterAutospacing="0" w:line="276" w:lineRule="auto"/>
        <w:jc w:val="both"/>
        <w:rPr>
          <w:rFonts w:ascii="Book Antiqua" w:hAnsi="Book Antiqua"/>
          <w:sz w:val="22"/>
          <w:szCs w:val="22"/>
        </w:rPr>
      </w:pPr>
    </w:p>
    <w:p w:rsidR="009E4880" w:rsidRPr="00841021" w:rsidP="00841021">
      <w:pPr>
        <w:pStyle w:val="NormalWeb"/>
        <w:spacing w:before="120" w:beforeAutospacing="0" w:after="0" w:afterAutospacing="0" w:line="276" w:lineRule="auto"/>
        <w:jc w:val="both"/>
        <w:rPr>
          <w:rFonts w:ascii="Book Antiqua" w:hAnsi="Book Antiqua"/>
          <w:b/>
          <w:bCs/>
          <w:sz w:val="22"/>
          <w:szCs w:val="22"/>
        </w:rPr>
      </w:pPr>
      <w:r w:rsidRPr="00841021" w:rsidR="0029671C">
        <w:rPr>
          <w:rFonts w:ascii="Book Antiqua" w:hAnsi="Book Antiqua"/>
          <w:b/>
          <w:bCs/>
          <w:sz w:val="22"/>
          <w:szCs w:val="22"/>
        </w:rPr>
        <w:t>K Čl. I</w:t>
      </w:r>
    </w:p>
    <w:p w:rsidR="00510148" w:rsidRPr="00841021" w:rsidP="00841021">
      <w:pPr>
        <w:pStyle w:val="Default"/>
        <w:spacing w:before="120" w:line="276" w:lineRule="auto"/>
        <w:ind w:firstLine="708"/>
        <w:jc w:val="both"/>
        <w:rPr>
          <w:rFonts w:ascii="Book Antiqua" w:hAnsi="Book Antiqua" w:cs="Times New Roman"/>
          <w:sz w:val="22"/>
          <w:szCs w:val="22"/>
        </w:rPr>
      </w:pPr>
      <w:r w:rsidRPr="00841021" w:rsidR="00E90F77">
        <w:rPr>
          <w:rFonts w:ascii="Book Antiqua" w:hAnsi="Book Antiqua" w:cs="Times New Roman"/>
          <w:sz w:val="22"/>
          <w:szCs w:val="22"/>
        </w:rPr>
        <w:t>Zrušenie právoplatných rozhodnutí v prípravnom konaní ako mimoriadny opravný prostriedok bol do právneho poriadku Slovenskej republiky zavedený zákonom č. 301/2005 Z. z. Trestný poriadok (ďalej len „Trestný poriadok“) za účelom zníženia počtu trestných vecí na Najvyššom súde Slovenskej republiky, pretože podľa predchádzajúcej právnej úpravy tento súd v rámci konania o sťažnosti pre porušenie zákona preskúmaval aj zákonnosť rozhodnutí policajtov a prokurátorov vydaných v prípravnom ko</w:t>
      </w:r>
      <w:r w:rsidRPr="00841021" w:rsidR="00E90F77">
        <w:rPr>
          <w:rFonts w:ascii="Book Antiqua" w:hAnsi="Book Antiqua" w:cs="Times New Roman"/>
          <w:sz w:val="22"/>
          <w:szCs w:val="22"/>
        </w:rPr>
        <w:t>naní.</w:t>
      </w:r>
    </w:p>
    <w:p w:rsidR="00510148" w:rsidRPr="00841021" w:rsidP="00841021">
      <w:pPr>
        <w:pStyle w:val="Default"/>
        <w:spacing w:before="120" w:line="276" w:lineRule="auto"/>
        <w:ind w:firstLine="708"/>
        <w:jc w:val="both"/>
        <w:rPr>
          <w:rFonts w:ascii="Book Antiqua" w:hAnsi="Book Antiqua" w:cs="Times New Roman"/>
          <w:sz w:val="22"/>
          <w:szCs w:val="22"/>
        </w:rPr>
      </w:pPr>
      <w:r w:rsidRPr="00841021" w:rsidR="00E90F77">
        <w:rPr>
          <w:rFonts w:ascii="Book Antiqua" w:hAnsi="Book Antiqua" w:cs="Times New Roman"/>
          <w:sz w:val="22"/>
          <w:szCs w:val="22"/>
        </w:rPr>
        <w:t>Podľa dôvodovej správ</w:t>
      </w:r>
      <w:r w:rsidRPr="00841021">
        <w:rPr>
          <w:rFonts w:ascii="Book Antiqua" w:hAnsi="Book Antiqua" w:cs="Times New Roman"/>
          <w:sz w:val="22"/>
          <w:szCs w:val="22"/>
        </w:rPr>
        <w:t xml:space="preserve">y k Trestnému poriadku spočíva </w:t>
      </w:r>
      <w:r w:rsidRPr="00841021" w:rsidR="00E90F77">
        <w:rPr>
          <w:rFonts w:ascii="Book Antiqua" w:hAnsi="Book Antiqua" w:cs="Times New Roman"/>
          <w:sz w:val="22"/>
          <w:szCs w:val="22"/>
        </w:rPr>
        <w:t>zámer návrhu ustanovenia tohto mimoriadneho opravného prostrie</w:t>
      </w:r>
      <w:r w:rsidRPr="00841021">
        <w:rPr>
          <w:rFonts w:ascii="Book Antiqua" w:hAnsi="Book Antiqua" w:cs="Times New Roman"/>
          <w:sz w:val="22"/>
          <w:szCs w:val="22"/>
        </w:rPr>
        <w:t xml:space="preserve">dku </w:t>
      </w:r>
      <w:r w:rsidRPr="00841021" w:rsidR="00E90F77">
        <w:rPr>
          <w:rFonts w:ascii="Book Antiqua" w:hAnsi="Book Antiqua" w:cs="Times New Roman"/>
          <w:sz w:val="22"/>
          <w:szCs w:val="22"/>
        </w:rPr>
        <w:t xml:space="preserve">v tom, že </w:t>
      </w:r>
      <w:r w:rsidRPr="00841021" w:rsidR="00E90F77">
        <w:rPr>
          <w:rFonts w:ascii="Book Antiqua" w:hAnsi="Book Antiqua" w:cs="Times New Roman"/>
          <w:b/>
          <w:bCs/>
          <w:sz w:val="22"/>
          <w:szCs w:val="22"/>
        </w:rPr>
        <w:t>treba umožniť vo veciach, v ktorých súd ešte nekonal a vec bola v prípravnom konaní prokurátorom postúpená inému orgánu</w:t>
      </w:r>
      <w:r w:rsidR="00DC57AE">
        <w:rPr>
          <w:rFonts w:ascii="Book Antiqua" w:hAnsi="Book Antiqua" w:cs="Times New Roman"/>
          <w:b/>
          <w:bCs/>
          <w:sz w:val="22"/>
          <w:szCs w:val="22"/>
        </w:rPr>
        <w:t>,</w:t>
      </w:r>
      <w:r w:rsidRPr="00841021" w:rsidR="00E90F77">
        <w:rPr>
          <w:rFonts w:ascii="Book Antiqua" w:hAnsi="Book Antiqua" w:cs="Times New Roman"/>
          <w:b/>
          <w:bCs/>
          <w:sz w:val="22"/>
          <w:szCs w:val="22"/>
        </w:rPr>
        <w:t xml:space="preserve"> a</w:t>
      </w:r>
      <w:r w:rsidRPr="00841021" w:rsidR="00E90F77">
        <w:rPr>
          <w:rFonts w:ascii="Book Antiqua" w:hAnsi="Book Antiqua" w:cs="Times New Roman"/>
          <w:b/>
          <w:bCs/>
          <w:sz w:val="22"/>
          <w:szCs w:val="22"/>
        </w:rPr>
        <w:t>lebo ktorým bolo zastavené</w:t>
      </w:r>
      <w:r w:rsidR="00DC57AE">
        <w:rPr>
          <w:rFonts w:ascii="Book Antiqua" w:hAnsi="Book Antiqua" w:cs="Times New Roman"/>
          <w:b/>
          <w:bCs/>
          <w:sz w:val="22"/>
          <w:szCs w:val="22"/>
        </w:rPr>
        <w:t>,</w:t>
      </w:r>
      <w:r w:rsidRPr="00841021" w:rsidR="00E90F77">
        <w:rPr>
          <w:rFonts w:ascii="Book Antiqua" w:hAnsi="Book Antiqua" w:cs="Times New Roman"/>
          <w:b/>
          <w:bCs/>
          <w:sz w:val="22"/>
          <w:szCs w:val="22"/>
        </w:rPr>
        <w:t xml:space="preserve"> alebo podmienečne zastavené trestné stíhanie, alebo ktoré v tomto rozsahu spočíva na chybnom procesnom konaní, aby nezákonnosť napravil generálny prokurátor</w:t>
      </w:r>
      <w:r w:rsidRPr="00841021">
        <w:rPr>
          <w:rFonts w:ascii="Book Antiqua" w:hAnsi="Book Antiqua" w:cs="Times New Roman"/>
          <w:b/>
          <w:bCs/>
          <w:sz w:val="22"/>
          <w:szCs w:val="22"/>
        </w:rPr>
        <w:t xml:space="preserve"> Slovenskej republiky</w:t>
      </w:r>
      <w:r w:rsidRPr="00841021" w:rsidR="00E90F77">
        <w:rPr>
          <w:rFonts w:ascii="Book Antiqua" w:hAnsi="Book Antiqua" w:cs="Times New Roman"/>
          <w:b/>
          <w:bCs/>
          <w:sz w:val="22"/>
          <w:szCs w:val="22"/>
        </w:rPr>
        <w:t>.</w:t>
      </w:r>
    </w:p>
    <w:p w:rsidR="00F32920" w:rsidRPr="00841021" w:rsidP="00841021">
      <w:pPr>
        <w:pStyle w:val="Default"/>
        <w:spacing w:before="120" w:line="276" w:lineRule="auto"/>
        <w:ind w:firstLine="708"/>
        <w:jc w:val="both"/>
        <w:rPr>
          <w:rFonts w:ascii="Book Antiqua" w:hAnsi="Book Antiqua" w:cs="Times New Roman"/>
          <w:sz w:val="22"/>
          <w:szCs w:val="22"/>
        </w:rPr>
      </w:pPr>
      <w:r w:rsidRPr="00841021" w:rsidR="00E90F77">
        <w:rPr>
          <w:rFonts w:ascii="Book Antiqua" w:hAnsi="Book Antiqua" w:cs="Times New Roman"/>
          <w:sz w:val="22"/>
          <w:szCs w:val="22"/>
        </w:rPr>
        <w:t>Podrobnosti o postupe pri zrušení právoplatných r</w:t>
      </w:r>
      <w:r w:rsidRPr="00841021" w:rsidR="00E90F77">
        <w:rPr>
          <w:rFonts w:ascii="Book Antiqua" w:hAnsi="Book Antiqua" w:cs="Times New Roman"/>
          <w:sz w:val="22"/>
          <w:szCs w:val="22"/>
        </w:rPr>
        <w:t>ozhodn</w:t>
      </w:r>
      <w:r w:rsidRPr="00841021">
        <w:rPr>
          <w:rFonts w:ascii="Book Antiqua" w:hAnsi="Book Antiqua" w:cs="Times New Roman"/>
          <w:sz w:val="22"/>
          <w:szCs w:val="22"/>
        </w:rPr>
        <w:t>utí v prípravnom konaní upravuje</w:t>
      </w:r>
      <w:r w:rsidRPr="00841021" w:rsidR="00E90F77">
        <w:rPr>
          <w:rFonts w:ascii="Book Antiqua" w:hAnsi="Book Antiqua" w:cs="Times New Roman"/>
          <w:sz w:val="22"/>
          <w:szCs w:val="22"/>
        </w:rPr>
        <w:t xml:space="preserve"> príkaz generálneho prokurátora SR por. č. 4/2006 o postupe prokurátorov v trestnom konaní </w:t>
      </w:r>
      <w:r w:rsidRPr="00841021" w:rsidR="00E90F77">
        <w:rPr>
          <w:rFonts w:ascii="Book Antiqua" w:hAnsi="Book Antiqua" w:cs="Times New Roman"/>
          <w:color w:val="auto"/>
          <w:sz w:val="22"/>
          <w:szCs w:val="22"/>
        </w:rPr>
        <w:t xml:space="preserve">o mimoriadnych opravných prostriedkoch z 31. januára 2006. </w:t>
      </w:r>
      <w:r w:rsidRPr="00841021" w:rsidR="00E90F77">
        <w:rPr>
          <w:rFonts w:ascii="Book Antiqua" w:hAnsi="Book Antiqua" w:cs="Times New Roman"/>
          <w:sz w:val="22"/>
          <w:szCs w:val="22"/>
        </w:rPr>
        <w:t xml:space="preserve">Tento príkaz </w:t>
      </w:r>
      <w:r w:rsidRPr="00841021">
        <w:rPr>
          <w:rFonts w:ascii="Book Antiqua" w:hAnsi="Book Antiqua" w:cs="Times New Roman"/>
          <w:sz w:val="22"/>
          <w:szCs w:val="22"/>
        </w:rPr>
        <w:t>pôvodne výslovne</w:t>
      </w:r>
      <w:r w:rsidRPr="00841021" w:rsidR="00E90F77">
        <w:rPr>
          <w:rFonts w:ascii="Book Antiqua" w:hAnsi="Book Antiqua" w:cs="Times New Roman"/>
          <w:sz w:val="22"/>
          <w:szCs w:val="22"/>
        </w:rPr>
        <w:t xml:space="preserve"> neuvádzal </w:t>
      </w:r>
      <w:r w:rsidRPr="00841021">
        <w:rPr>
          <w:rFonts w:ascii="Book Antiqua" w:hAnsi="Book Antiqua" w:cs="Times New Roman"/>
          <w:sz w:val="22"/>
          <w:szCs w:val="22"/>
        </w:rPr>
        <w:t xml:space="preserve">napr. </w:t>
      </w:r>
      <w:r w:rsidRPr="00841021" w:rsidR="00E90F77">
        <w:rPr>
          <w:rFonts w:ascii="Book Antiqua" w:hAnsi="Book Antiqua" w:cs="Times New Roman"/>
          <w:sz w:val="22"/>
          <w:szCs w:val="22"/>
        </w:rPr>
        <w:t>uznesenie o vznesení obvinenia ako jedno z rozhodnutí, ktoré môže generálny prokurátor prostredníctvom mimoriadneh</w:t>
      </w:r>
      <w:r w:rsidRPr="00841021">
        <w:rPr>
          <w:rFonts w:ascii="Book Antiqua" w:hAnsi="Book Antiqua" w:cs="Times New Roman"/>
          <w:sz w:val="22"/>
          <w:szCs w:val="22"/>
        </w:rPr>
        <w:t xml:space="preserve">o opravného prostriedku zrušiť. V čl. 7 ods. 2 a 3 príkazu sa uvádzalo, že </w:t>
      </w:r>
      <w:r w:rsidRPr="00841021">
        <w:rPr>
          <w:rFonts w:ascii="Book Antiqua" w:hAnsi="Book Antiqua" w:cs="Arial"/>
          <w:sz w:val="22"/>
          <w:szCs w:val="22"/>
        </w:rPr>
        <w:t>právoplatným rozhodnutím sa rozumie najmä uznesenie, ktorým sa rozhodlo:</w:t>
      </w:r>
    </w:p>
    <w:p w:rsidR="00F32920" w:rsidRPr="00841021" w:rsidP="00841021">
      <w:pPr>
        <w:spacing w:before="120" w:line="276" w:lineRule="auto"/>
        <w:ind w:left="993" w:hanging="567"/>
        <w:jc w:val="both"/>
        <w:rPr>
          <w:rFonts w:ascii="Book Antiqua" w:hAnsi="Book Antiqua" w:cs="Arial"/>
          <w:sz w:val="22"/>
          <w:szCs w:val="22"/>
        </w:rPr>
      </w:pPr>
      <w:r w:rsidRPr="00841021">
        <w:rPr>
          <w:rFonts w:ascii="Book Antiqua" w:hAnsi="Book Antiqua" w:cs="Arial"/>
          <w:sz w:val="22"/>
          <w:szCs w:val="22"/>
        </w:rPr>
        <w:t xml:space="preserve">a) </w:t>
      </w:r>
      <w:r w:rsidR="00841021">
        <w:rPr>
          <w:rFonts w:ascii="Book Antiqua" w:hAnsi="Book Antiqua" w:cs="Arial"/>
          <w:sz w:val="22"/>
          <w:szCs w:val="22"/>
        </w:rPr>
        <w:tab/>
      </w:r>
      <w:r w:rsidRPr="00841021">
        <w:rPr>
          <w:rFonts w:ascii="Book Antiqua" w:hAnsi="Book Antiqua" w:cs="Arial"/>
          <w:sz w:val="22"/>
          <w:szCs w:val="22"/>
        </w:rPr>
        <w:t>podľa § 29 ods. 2 Trestného poriadku o výške náhrady a odmeny tlmočníka       a prekladateľa,</w:t>
      </w:r>
    </w:p>
    <w:p w:rsidR="00F32920" w:rsidRPr="00841021" w:rsidP="00841021">
      <w:pPr>
        <w:spacing w:before="120" w:line="276" w:lineRule="auto"/>
        <w:ind w:left="993" w:hanging="567"/>
        <w:jc w:val="both"/>
        <w:rPr>
          <w:rFonts w:ascii="Book Antiqua" w:hAnsi="Book Antiqua" w:cs="Arial"/>
          <w:sz w:val="22"/>
          <w:szCs w:val="22"/>
        </w:rPr>
      </w:pPr>
      <w:r w:rsidRPr="00841021">
        <w:rPr>
          <w:rFonts w:ascii="Book Antiqua" w:hAnsi="Book Antiqua" w:cs="Arial"/>
          <w:sz w:val="22"/>
          <w:szCs w:val="22"/>
        </w:rPr>
        <w:t xml:space="preserve">b) </w:t>
      </w:r>
      <w:r w:rsidR="00841021">
        <w:rPr>
          <w:rFonts w:ascii="Book Antiqua" w:hAnsi="Book Antiqua" w:cs="Arial"/>
          <w:sz w:val="22"/>
          <w:szCs w:val="22"/>
        </w:rPr>
        <w:tab/>
      </w:r>
      <w:r w:rsidRPr="00841021">
        <w:rPr>
          <w:rFonts w:ascii="Book Antiqua" w:hAnsi="Book Antiqua" w:cs="Arial"/>
          <w:sz w:val="22"/>
          <w:szCs w:val="22"/>
        </w:rPr>
        <w:t xml:space="preserve">podľa § 50 ods. 4 Trestného poriadku o zaistení nároku poškodeného,  </w:t>
      </w:r>
    </w:p>
    <w:p w:rsidR="00F32920" w:rsidRPr="00841021" w:rsidP="00841021">
      <w:pPr>
        <w:spacing w:before="120" w:line="276" w:lineRule="auto"/>
        <w:ind w:left="993" w:hanging="567"/>
        <w:jc w:val="both"/>
        <w:rPr>
          <w:rFonts w:ascii="Book Antiqua" w:hAnsi="Book Antiqua" w:cs="Arial"/>
          <w:sz w:val="22"/>
          <w:szCs w:val="22"/>
        </w:rPr>
      </w:pPr>
      <w:r w:rsidRPr="00841021">
        <w:rPr>
          <w:rFonts w:ascii="Book Antiqua" w:hAnsi="Book Antiqua" w:cs="Arial"/>
          <w:sz w:val="22"/>
          <w:szCs w:val="22"/>
        </w:rPr>
        <w:t xml:space="preserve">c) </w:t>
      </w:r>
      <w:r w:rsidR="00841021">
        <w:rPr>
          <w:rFonts w:ascii="Book Antiqua" w:hAnsi="Book Antiqua" w:cs="Arial"/>
          <w:sz w:val="22"/>
          <w:szCs w:val="22"/>
        </w:rPr>
        <w:tab/>
      </w:r>
      <w:r w:rsidRPr="00841021">
        <w:rPr>
          <w:rFonts w:ascii="Book Antiqua" w:hAnsi="Book Antiqua" w:cs="Arial"/>
          <w:sz w:val="22"/>
          <w:szCs w:val="22"/>
        </w:rPr>
        <w:t>podľa § 64 ods. 1, ods. 2 Trestného poriadku o žiadosti obvineného                o navrátenie l</w:t>
      </w:r>
      <w:r w:rsidRPr="00841021">
        <w:rPr>
          <w:rFonts w:ascii="Book Antiqua" w:hAnsi="Book Antiqua" w:cs="Arial"/>
          <w:sz w:val="22"/>
          <w:szCs w:val="22"/>
        </w:rPr>
        <w:t>ehoty,</w:t>
      </w:r>
    </w:p>
    <w:p w:rsidR="00F32920" w:rsidRPr="00841021" w:rsidP="00841021">
      <w:pPr>
        <w:spacing w:before="120" w:line="276" w:lineRule="auto"/>
        <w:ind w:left="993" w:hanging="567"/>
        <w:jc w:val="both"/>
        <w:rPr>
          <w:rFonts w:ascii="Book Antiqua" w:hAnsi="Book Antiqua" w:cs="Arial"/>
          <w:sz w:val="22"/>
          <w:szCs w:val="22"/>
        </w:rPr>
      </w:pPr>
      <w:r w:rsidRPr="00841021">
        <w:rPr>
          <w:rFonts w:ascii="Book Antiqua" w:hAnsi="Book Antiqua" w:cs="Arial"/>
          <w:sz w:val="22"/>
          <w:szCs w:val="22"/>
        </w:rPr>
        <w:t xml:space="preserve">d) </w:t>
      </w:r>
      <w:r w:rsidR="00841021">
        <w:rPr>
          <w:rFonts w:ascii="Book Antiqua" w:hAnsi="Book Antiqua" w:cs="Arial"/>
          <w:sz w:val="22"/>
          <w:szCs w:val="22"/>
        </w:rPr>
        <w:tab/>
      </w:r>
      <w:r w:rsidRPr="00841021">
        <w:rPr>
          <w:rFonts w:ascii="Book Antiqua" w:hAnsi="Book Antiqua" w:cs="Arial"/>
          <w:sz w:val="22"/>
          <w:szCs w:val="22"/>
        </w:rPr>
        <w:t xml:space="preserve">podľa § 70 ods. 1 Trestného poriadku o uložení poriadkovej pokuty, </w:t>
      </w:r>
    </w:p>
    <w:p w:rsidR="00F32920" w:rsidRPr="00841021" w:rsidP="00841021">
      <w:pPr>
        <w:spacing w:before="120" w:line="276" w:lineRule="auto"/>
        <w:ind w:left="993" w:hanging="567"/>
        <w:jc w:val="both"/>
        <w:rPr>
          <w:rFonts w:ascii="Book Antiqua" w:hAnsi="Book Antiqua" w:cs="Arial"/>
          <w:sz w:val="22"/>
          <w:szCs w:val="22"/>
        </w:rPr>
      </w:pPr>
      <w:r w:rsidRPr="00841021">
        <w:rPr>
          <w:rFonts w:ascii="Book Antiqua" w:hAnsi="Book Antiqua" w:cs="Arial"/>
          <w:sz w:val="22"/>
          <w:szCs w:val="22"/>
        </w:rPr>
        <w:t xml:space="preserve">e) </w:t>
      </w:r>
      <w:r w:rsidR="00841021">
        <w:rPr>
          <w:rFonts w:ascii="Book Antiqua" w:hAnsi="Book Antiqua" w:cs="Arial"/>
          <w:sz w:val="22"/>
          <w:szCs w:val="22"/>
        </w:rPr>
        <w:tab/>
      </w:r>
      <w:r w:rsidRPr="00841021">
        <w:rPr>
          <w:rFonts w:ascii="Book Antiqua" w:hAnsi="Book Antiqua" w:cs="Arial"/>
          <w:sz w:val="22"/>
          <w:szCs w:val="22"/>
        </w:rPr>
        <w:t xml:space="preserve">podľa § 97 a § 98 Trestného poriadku o vrátení veci, </w:t>
      </w:r>
    </w:p>
    <w:p w:rsidR="00F32920" w:rsidRPr="00841021" w:rsidP="00841021">
      <w:pPr>
        <w:spacing w:before="120" w:line="276" w:lineRule="auto"/>
        <w:ind w:left="993" w:hanging="567"/>
        <w:jc w:val="both"/>
        <w:rPr>
          <w:rFonts w:ascii="Book Antiqua" w:hAnsi="Book Antiqua" w:cs="Arial"/>
          <w:sz w:val="22"/>
          <w:szCs w:val="22"/>
        </w:rPr>
      </w:pPr>
      <w:r w:rsidRPr="00841021">
        <w:rPr>
          <w:rFonts w:ascii="Book Antiqua" w:hAnsi="Book Antiqua" w:cs="Arial"/>
          <w:sz w:val="22"/>
          <w:szCs w:val="22"/>
        </w:rPr>
        <w:t xml:space="preserve">f) </w:t>
      </w:r>
      <w:r w:rsidR="00841021">
        <w:rPr>
          <w:rFonts w:ascii="Book Antiqua" w:hAnsi="Book Antiqua" w:cs="Arial"/>
          <w:sz w:val="22"/>
          <w:szCs w:val="22"/>
        </w:rPr>
        <w:tab/>
      </w:r>
      <w:r w:rsidRPr="00841021">
        <w:rPr>
          <w:rFonts w:ascii="Book Antiqua" w:hAnsi="Book Antiqua" w:cs="Arial"/>
          <w:sz w:val="22"/>
          <w:szCs w:val="22"/>
        </w:rPr>
        <w:t xml:space="preserve">podľa § 142 ods. 1 a § 147 ods. 1 Trestného poriadku o znaleckej činnosti, </w:t>
      </w:r>
    </w:p>
    <w:p w:rsidR="00F32920" w:rsidRPr="00841021" w:rsidP="00841021">
      <w:pPr>
        <w:spacing w:before="120" w:line="276" w:lineRule="auto"/>
        <w:ind w:left="993" w:hanging="567"/>
        <w:jc w:val="both"/>
        <w:rPr>
          <w:rFonts w:ascii="Book Antiqua" w:hAnsi="Book Antiqua" w:cs="Arial"/>
          <w:sz w:val="22"/>
          <w:szCs w:val="22"/>
        </w:rPr>
      </w:pPr>
      <w:r w:rsidRPr="00841021">
        <w:rPr>
          <w:rFonts w:ascii="Book Antiqua" w:hAnsi="Book Antiqua" w:cs="Arial"/>
          <w:sz w:val="22"/>
          <w:szCs w:val="22"/>
        </w:rPr>
        <w:t xml:space="preserve">g) </w:t>
      </w:r>
      <w:r w:rsidR="00841021">
        <w:rPr>
          <w:rFonts w:ascii="Book Antiqua" w:hAnsi="Book Antiqua" w:cs="Arial"/>
          <w:sz w:val="22"/>
          <w:szCs w:val="22"/>
        </w:rPr>
        <w:tab/>
      </w:r>
      <w:r w:rsidRPr="00841021">
        <w:rPr>
          <w:rFonts w:ascii="Book Antiqua" w:hAnsi="Book Antiqua" w:cs="Arial"/>
          <w:sz w:val="22"/>
          <w:szCs w:val="22"/>
        </w:rPr>
        <w:t>podľa § 156 Trestného poriadku o prehliadke a pitve mŕtvoly a o jej  exhumácii,</w:t>
      </w:r>
    </w:p>
    <w:p w:rsidR="00F32920" w:rsidRPr="00841021" w:rsidP="00841021">
      <w:pPr>
        <w:spacing w:before="120" w:line="276" w:lineRule="auto"/>
        <w:ind w:left="993" w:hanging="567"/>
        <w:jc w:val="both"/>
        <w:rPr>
          <w:rFonts w:ascii="Book Antiqua" w:hAnsi="Book Antiqua" w:cs="Arial"/>
          <w:sz w:val="22"/>
          <w:szCs w:val="22"/>
        </w:rPr>
      </w:pPr>
      <w:r w:rsidRPr="00841021">
        <w:rPr>
          <w:rFonts w:ascii="Book Antiqua" w:hAnsi="Book Antiqua" w:cs="Arial"/>
          <w:sz w:val="22"/>
          <w:szCs w:val="22"/>
        </w:rPr>
        <w:t xml:space="preserve">h) </w:t>
      </w:r>
      <w:r w:rsidR="00841021">
        <w:rPr>
          <w:rFonts w:ascii="Book Antiqua" w:hAnsi="Book Antiqua" w:cs="Arial"/>
          <w:sz w:val="22"/>
          <w:szCs w:val="22"/>
        </w:rPr>
        <w:tab/>
      </w:r>
      <w:r w:rsidRPr="00841021">
        <w:rPr>
          <w:rFonts w:ascii="Book Antiqua" w:hAnsi="Book Antiqua" w:cs="Arial"/>
          <w:sz w:val="22"/>
          <w:szCs w:val="22"/>
        </w:rPr>
        <w:t>podľa § 214 ods. 1  Trestného poriadku o postúpení veci,</w:t>
      </w:r>
    </w:p>
    <w:p w:rsidR="00F32920" w:rsidRPr="00841021" w:rsidP="00841021">
      <w:pPr>
        <w:spacing w:before="120" w:line="276" w:lineRule="auto"/>
        <w:ind w:left="993" w:hanging="567"/>
        <w:jc w:val="both"/>
        <w:rPr>
          <w:rFonts w:ascii="Book Antiqua" w:hAnsi="Book Antiqua" w:cs="Arial"/>
          <w:sz w:val="22"/>
          <w:szCs w:val="22"/>
        </w:rPr>
      </w:pPr>
      <w:r w:rsidRPr="00841021">
        <w:rPr>
          <w:rFonts w:ascii="Book Antiqua" w:hAnsi="Book Antiqua" w:cs="Arial"/>
          <w:sz w:val="22"/>
          <w:szCs w:val="22"/>
        </w:rPr>
        <w:t xml:space="preserve">i) </w:t>
      </w:r>
      <w:r w:rsidR="00841021">
        <w:rPr>
          <w:rFonts w:ascii="Book Antiqua" w:hAnsi="Book Antiqua" w:cs="Arial"/>
          <w:sz w:val="22"/>
          <w:szCs w:val="22"/>
        </w:rPr>
        <w:tab/>
      </w:r>
      <w:r w:rsidRPr="00841021">
        <w:rPr>
          <w:rFonts w:ascii="Book Antiqua" w:hAnsi="Book Antiqua" w:cs="Arial"/>
          <w:sz w:val="22"/>
          <w:szCs w:val="22"/>
        </w:rPr>
        <w:t>podľa § 215 ods. 1</w:t>
      </w:r>
      <w:r w:rsidRPr="00841021" w:rsidR="002B1B38">
        <w:rPr>
          <w:rFonts w:ascii="Book Antiqua" w:hAnsi="Book Antiqua" w:cs="Arial"/>
          <w:sz w:val="22"/>
          <w:szCs w:val="22"/>
        </w:rPr>
        <w:t xml:space="preserve"> až</w:t>
      </w:r>
      <w:r w:rsidRPr="00841021">
        <w:rPr>
          <w:rFonts w:ascii="Book Antiqua" w:hAnsi="Book Antiqua" w:cs="Arial"/>
          <w:sz w:val="22"/>
          <w:szCs w:val="22"/>
        </w:rPr>
        <w:t xml:space="preserve"> 3 Trestného poriadku o zastavení trestného stíhania,  ak bolo vznesené obvinenie,</w:t>
      </w:r>
    </w:p>
    <w:p w:rsidR="00F32920" w:rsidRPr="00841021" w:rsidP="00841021">
      <w:pPr>
        <w:spacing w:before="120" w:line="276" w:lineRule="auto"/>
        <w:ind w:left="993" w:hanging="567"/>
        <w:jc w:val="both"/>
        <w:rPr>
          <w:rFonts w:ascii="Book Antiqua" w:hAnsi="Book Antiqua" w:cs="Arial"/>
          <w:sz w:val="22"/>
          <w:szCs w:val="22"/>
        </w:rPr>
      </w:pPr>
      <w:r w:rsidRPr="00841021">
        <w:rPr>
          <w:rFonts w:ascii="Book Antiqua" w:hAnsi="Book Antiqua" w:cs="Arial"/>
          <w:sz w:val="22"/>
          <w:szCs w:val="22"/>
        </w:rPr>
        <w:t xml:space="preserve">j) </w:t>
      </w:r>
      <w:r w:rsidR="00841021">
        <w:rPr>
          <w:rFonts w:ascii="Book Antiqua" w:hAnsi="Book Antiqua" w:cs="Arial"/>
          <w:sz w:val="22"/>
          <w:szCs w:val="22"/>
        </w:rPr>
        <w:tab/>
      </w:r>
      <w:r w:rsidRPr="00841021">
        <w:rPr>
          <w:rFonts w:ascii="Book Antiqua" w:hAnsi="Book Antiqua" w:cs="Arial"/>
          <w:sz w:val="22"/>
          <w:szCs w:val="22"/>
        </w:rPr>
        <w:t xml:space="preserve">podľa § 216 ods. 1 Trestného poriadku o podmienečnom zastavení trestného       stíhania, </w:t>
      </w:r>
    </w:p>
    <w:p w:rsidR="00F32920" w:rsidRPr="00841021" w:rsidP="00841021">
      <w:pPr>
        <w:spacing w:before="120" w:line="276" w:lineRule="auto"/>
        <w:ind w:left="993" w:hanging="567"/>
        <w:jc w:val="both"/>
        <w:rPr>
          <w:rFonts w:ascii="Book Antiqua" w:hAnsi="Book Antiqua" w:cs="Arial"/>
          <w:sz w:val="22"/>
          <w:szCs w:val="22"/>
        </w:rPr>
      </w:pPr>
      <w:r w:rsidRPr="00841021">
        <w:rPr>
          <w:rFonts w:ascii="Book Antiqua" w:hAnsi="Book Antiqua" w:cs="Arial"/>
          <w:sz w:val="22"/>
          <w:szCs w:val="22"/>
        </w:rPr>
        <w:t xml:space="preserve">k) </w:t>
      </w:r>
      <w:r w:rsidR="00841021">
        <w:rPr>
          <w:rFonts w:ascii="Book Antiqua" w:hAnsi="Book Antiqua" w:cs="Arial"/>
          <w:sz w:val="22"/>
          <w:szCs w:val="22"/>
        </w:rPr>
        <w:tab/>
      </w:r>
      <w:r w:rsidRPr="00841021">
        <w:rPr>
          <w:rFonts w:ascii="Book Antiqua" w:hAnsi="Book Antiqua" w:cs="Arial"/>
          <w:sz w:val="22"/>
          <w:szCs w:val="22"/>
        </w:rPr>
        <w:t>podľa § 217 ods. 1 alebo podľa § 219 ods. 1 Trestného poriadku o osvedčení sa   obvineného alebo o tom, že sa v  trestnom stíhaní pokračuje,</w:t>
      </w:r>
    </w:p>
    <w:p w:rsidR="00F32920" w:rsidRPr="00841021" w:rsidP="00841021">
      <w:pPr>
        <w:spacing w:before="120" w:line="276" w:lineRule="auto"/>
        <w:ind w:left="993" w:hanging="567"/>
        <w:jc w:val="both"/>
        <w:rPr>
          <w:rFonts w:ascii="Book Antiqua" w:hAnsi="Book Antiqua" w:cs="Arial"/>
          <w:sz w:val="22"/>
          <w:szCs w:val="22"/>
        </w:rPr>
      </w:pPr>
      <w:r w:rsidRPr="00841021">
        <w:rPr>
          <w:rFonts w:ascii="Book Antiqua" w:hAnsi="Book Antiqua" w:cs="Arial"/>
          <w:sz w:val="22"/>
          <w:szCs w:val="22"/>
        </w:rPr>
        <w:t xml:space="preserve">l) </w:t>
      </w:r>
      <w:r w:rsidR="00841021">
        <w:rPr>
          <w:rFonts w:ascii="Book Antiqua" w:hAnsi="Book Antiqua" w:cs="Arial"/>
          <w:sz w:val="22"/>
          <w:szCs w:val="22"/>
        </w:rPr>
        <w:tab/>
      </w:r>
      <w:r w:rsidRPr="00841021">
        <w:rPr>
          <w:rFonts w:ascii="Book Antiqua" w:hAnsi="Book Antiqua" w:cs="Arial"/>
          <w:sz w:val="22"/>
          <w:szCs w:val="22"/>
        </w:rPr>
        <w:t>podľa § 218 ods. 1 Trestného poriadku o podm</w:t>
      </w:r>
      <w:r w:rsidR="00841021">
        <w:rPr>
          <w:rFonts w:ascii="Book Antiqua" w:hAnsi="Book Antiqua" w:cs="Arial"/>
          <w:sz w:val="22"/>
          <w:szCs w:val="22"/>
        </w:rPr>
        <w:t>ienečnom za</w:t>
      </w:r>
      <w:r w:rsidR="00841021">
        <w:rPr>
          <w:rFonts w:ascii="Book Antiqua" w:hAnsi="Book Antiqua" w:cs="Arial"/>
          <w:sz w:val="22"/>
          <w:szCs w:val="22"/>
        </w:rPr>
        <w:t xml:space="preserve">stavení trestného </w:t>
      </w:r>
      <w:r w:rsidRPr="00841021">
        <w:rPr>
          <w:rFonts w:ascii="Book Antiqua" w:hAnsi="Book Antiqua" w:cs="Arial"/>
          <w:sz w:val="22"/>
          <w:szCs w:val="22"/>
        </w:rPr>
        <w:t>stíhania spolupracujúceho obvineného,</w:t>
      </w:r>
    </w:p>
    <w:p w:rsidR="00F32920" w:rsidRPr="00841021" w:rsidP="00841021">
      <w:pPr>
        <w:spacing w:before="120" w:line="276" w:lineRule="auto"/>
        <w:ind w:left="993" w:hanging="567"/>
        <w:jc w:val="both"/>
        <w:rPr>
          <w:rFonts w:ascii="Book Antiqua" w:hAnsi="Book Antiqua" w:cs="Arial"/>
          <w:sz w:val="22"/>
          <w:szCs w:val="22"/>
        </w:rPr>
      </w:pPr>
      <w:r w:rsidRPr="00841021">
        <w:rPr>
          <w:rFonts w:ascii="Book Antiqua" w:hAnsi="Book Antiqua" w:cs="Arial"/>
          <w:sz w:val="22"/>
          <w:szCs w:val="22"/>
        </w:rPr>
        <w:t xml:space="preserve">m) </w:t>
      </w:r>
      <w:r w:rsidR="00841021">
        <w:rPr>
          <w:rFonts w:ascii="Book Antiqua" w:hAnsi="Book Antiqua" w:cs="Arial"/>
          <w:sz w:val="22"/>
          <w:szCs w:val="22"/>
        </w:rPr>
        <w:tab/>
      </w:r>
      <w:r w:rsidRPr="00841021">
        <w:rPr>
          <w:rFonts w:ascii="Book Antiqua" w:hAnsi="Book Antiqua" w:cs="Arial"/>
          <w:sz w:val="22"/>
          <w:szCs w:val="22"/>
        </w:rPr>
        <w:t xml:space="preserve">podľa § 220 ods. 1 Trestného poriadku o schválení zmieru,  </w:t>
      </w:r>
    </w:p>
    <w:p w:rsidR="00F32920" w:rsidRPr="00841021" w:rsidP="00841021">
      <w:pPr>
        <w:spacing w:before="120" w:line="276" w:lineRule="auto"/>
        <w:ind w:left="993" w:hanging="567"/>
        <w:jc w:val="both"/>
        <w:rPr>
          <w:rFonts w:ascii="Book Antiqua" w:hAnsi="Book Antiqua" w:cs="Arial"/>
          <w:sz w:val="22"/>
          <w:szCs w:val="22"/>
        </w:rPr>
      </w:pPr>
      <w:r w:rsidRPr="00841021">
        <w:rPr>
          <w:rFonts w:ascii="Book Antiqua" w:hAnsi="Book Antiqua" w:cs="Arial"/>
          <w:sz w:val="22"/>
          <w:szCs w:val="22"/>
        </w:rPr>
        <w:t xml:space="preserve">n) </w:t>
      </w:r>
      <w:r w:rsidR="00841021">
        <w:rPr>
          <w:rFonts w:ascii="Book Antiqua" w:hAnsi="Book Antiqua" w:cs="Arial"/>
          <w:sz w:val="22"/>
          <w:szCs w:val="22"/>
        </w:rPr>
        <w:tab/>
      </w:r>
      <w:r w:rsidRPr="00841021">
        <w:rPr>
          <w:rFonts w:ascii="Book Antiqua" w:hAnsi="Book Antiqua" w:cs="Arial"/>
          <w:sz w:val="22"/>
          <w:szCs w:val="22"/>
        </w:rPr>
        <w:t>podľa § 227 ods. 2 Trestného poriadku o odovzdaní</w:t>
      </w:r>
      <w:r w:rsidR="00841021">
        <w:rPr>
          <w:rFonts w:ascii="Book Antiqua" w:hAnsi="Book Antiqua" w:cs="Arial"/>
          <w:sz w:val="22"/>
          <w:szCs w:val="22"/>
        </w:rPr>
        <w:t xml:space="preserve"> peňažnej sumy štátu na peňažnú </w:t>
      </w:r>
      <w:r w:rsidRPr="00841021">
        <w:rPr>
          <w:rFonts w:ascii="Book Antiqua" w:hAnsi="Book Antiqua" w:cs="Arial"/>
          <w:sz w:val="22"/>
          <w:szCs w:val="22"/>
        </w:rPr>
        <w:t xml:space="preserve">pomoc poškodeným trestnými činmi poskytovanú podľa </w:t>
      </w:r>
      <w:r w:rsidRPr="00841021">
        <w:rPr>
          <w:rFonts w:ascii="Book Antiqua" w:hAnsi="Book Antiqua" w:cs="Arial"/>
          <w:sz w:val="22"/>
          <w:szCs w:val="22"/>
        </w:rPr>
        <w:t>osobitného zákona.</w:t>
      </w:r>
    </w:p>
    <w:p w:rsidR="00F32920" w:rsidRPr="00841021" w:rsidP="00841021">
      <w:pPr>
        <w:spacing w:before="120" w:line="276" w:lineRule="auto"/>
        <w:ind w:firstLine="708"/>
        <w:jc w:val="both"/>
        <w:rPr>
          <w:rFonts w:ascii="Book Antiqua" w:hAnsi="Book Antiqua" w:cs="Arial"/>
          <w:sz w:val="22"/>
          <w:szCs w:val="22"/>
        </w:rPr>
      </w:pPr>
      <w:r w:rsidRPr="00841021">
        <w:rPr>
          <w:rFonts w:ascii="Book Antiqua" w:hAnsi="Book Antiqua" w:cs="Arial"/>
          <w:sz w:val="22"/>
          <w:szCs w:val="22"/>
        </w:rPr>
        <w:t>V prípade iného uznesenia, ako je uvedené v písmenách a) až o), oprávnenie možno použiť len na pokyn generálneho prokurátora</w:t>
      </w:r>
      <w:r w:rsidR="003B6A4C">
        <w:rPr>
          <w:rFonts w:ascii="Book Antiqua" w:hAnsi="Book Antiqua" w:cs="Arial"/>
          <w:sz w:val="22"/>
          <w:szCs w:val="22"/>
        </w:rPr>
        <w:t>,</w:t>
      </w:r>
      <w:r w:rsidRPr="00841021">
        <w:rPr>
          <w:rFonts w:ascii="Book Antiqua" w:hAnsi="Book Antiqua" w:cs="Arial"/>
          <w:sz w:val="22"/>
          <w:szCs w:val="22"/>
        </w:rPr>
        <w:t xml:space="preserve"> alebo ním určeného prokurátora.</w:t>
      </w:r>
    </w:p>
    <w:p w:rsidR="00E90F77" w:rsidRPr="00841021" w:rsidP="00841021">
      <w:pPr>
        <w:spacing w:before="120" w:line="276" w:lineRule="auto"/>
        <w:ind w:firstLine="708"/>
        <w:jc w:val="both"/>
        <w:rPr>
          <w:rFonts w:ascii="Book Antiqua" w:hAnsi="Book Antiqua"/>
          <w:sz w:val="22"/>
          <w:szCs w:val="22"/>
        </w:rPr>
      </w:pPr>
      <w:r w:rsidRPr="00841021" w:rsidR="00F32920">
        <w:rPr>
          <w:rFonts w:ascii="Book Antiqua" w:hAnsi="Book Antiqua" w:cs="Arial"/>
          <w:sz w:val="22"/>
          <w:szCs w:val="22"/>
        </w:rPr>
        <w:t xml:space="preserve">Odhliadnuc od toho, že by bolo </w:t>
      </w:r>
      <w:r w:rsidRPr="00841021" w:rsidR="00945881">
        <w:rPr>
          <w:rFonts w:ascii="Book Antiqua" w:hAnsi="Book Antiqua" w:cs="Arial"/>
          <w:sz w:val="22"/>
          <w:szCs w:val="22"/>
        </w:rPr>
        <w:t xml:space="preserve">vhodnejšie, ak by priamo zákon výslovne uvádzal, ktoré právoplatné rozhodnutia podliehajú preskúmaniu generálneho prokurátora Slovenskej republiky podľa § 363 Trestného poriadku, príkaz generálneho prokurátora Slovenskej republiky z roku 2006 bol zmenený novým príkazom </w:t>
      </w:r>
      <w:r w:rsidRPr="00841021" w:rsidR="00945881">
        <w:rPr>
          <w:rFonts w:ascii="Book Antiqua" w:hAnsi="Book Antiqua"/>
          <w:sz w:val="22"/>
          <w:szCs w:val="22"/>
        </w:rPr>
        <w:t xml:space="preserve">č. 3/2012 </w:t>
      </w:r>
      <w:r w:rsidRPr="00841021">
        <w:rPr>
          <w:rFonts w:ascii="Book Antiqua" w:hAnsi="Book Antiqua"/>
          <w:sz w:val="22"/>
          <w:szCs w:val="22"/>
        </w:rPr>
        <w:t xml:space="preserve">generálneho prokurátora SR z 29. februára 2012, ktorým sa mení a dopĺňa príkaz generálneho prokurátora SR por. </w:t>
      </w:r>
      <w:r w:rsidR="00841021">
        <w:rPr>
          <w:rFonts w:ascii="Book Antiqua" w:hAnsi="Book Antiqua"/>
          <w:sz w:val="22"/>
          <w:szCs w:val="22"/>
        </w:rPr>
        <w:t xml:space="preserve">            </w:t>
      </w:r>
      <w:r w:rsidRPr="00841021">
        <w:rPr>
          <w:rFonts w:ascii="Book Antiqua" w:hAnsi="Book Antiqua"/>
          <w:sz w:val="22"/>
          <w:szCs w:val="22"/>
        </w:rPr>
        <w:t xml:space="preserve">č. 4/2006 z 31. januára 2006 o postupe prokurátorov v trestnom konaní o mimoriadnych opravných prostriedkoch, </w:t>
      </w:r>
      <w:r w:rsidRPr="00841021" w:rsidR="00945881">
        <w:rPr>
          <w:rFonts w:ascii="Book Antiqua" w:hAnsi="Book Antiqua"/>
          <w:sz w:val="22"/>
          <w:szCs w:val="22"/>
        </w:rPr>
        <w:t xml:space="preserve">na základe ktorého sa do zoznamu právoplatných rozhodnutí doplnilo aj uznesenie podľa </w:t>
      </w:r>
      <w:r w:rsidRPr="00841021">
        <w:rPr>
          <w:rFonts w:ascii="Book Antiqua" w:hAnsi="Book Antiqua"/>
          <w:sz w:val="22"/>
          <w:szCs w:val="22"/>
        </w:rPr>
        <w:t>§ 206 Trestného poriadku o vzne</w:t>
      </w:r>
      <w:r w:rsidRPr="00841021" w:rsidR="00945881">
        <w:rPr>
          <w:rFonts w:ascii="Book Antiqua" w:hAnsi="Book Antiqua"/>
          <w:sz w:val="22"/>
          <w:szCs w:val="22"/>
        </w:rPr>
        <w:t>sení obvinenia. Zároveň sa zaviedlo pravidlo, že</w:t>
      </w:r>
      <w:r w:rsidRPr="00841021">
        <w:rPr>
          <w:rFonts w:ascii="Book Antiqua" w:hAnsi="Book Antiqua"/>
          <w:sz w:val="22"/>
          <w:szCs w:val="22"/>
        </w:rPr>
        <w:t xml:space="preserve"> </w:t>
      </w:r>
      <w:r w:rsidR="003B6A4C">
        <w:rPr>
          <w:rFonts w:ascii="Book Antiqua" w:hAnsi="Book Antiqua"/>
          <w:sz w:val="22"/>
          <w:szCs w:val="22"/>
        </w:rPr>
        <w:t xml:space="preserve">v </w:t>
      </w:r>
      <w:r w:rsidRPr="00841021">
        <w:rPr>
          <w:rFonts w:ascii="Book Antiqua" w:hAnsi="Book Antiqua"/>
          <w:sz w:val="22"/>
          <w:szCs w:val="22"/>
        </w:rPr>
        <w:t>čase konania podľa § 363 a nasl. Trestného poriadku nie je možné skončiť prípravné konanie niektorým z rozhodnutí uvedených v</w:t>
      </w:r>
      <w:r w:rsidRPr="00841021" w:rsidR="0036485E">
        <w:rPr>
          <w:rFonts w:ascii="Book Antiqua" w:hAnsi="Book Antiqua"/>
          <w:sz w:val="22"/>
          <w:szCs w:val="22"/>
        </w:rPr>
        <w:t> V.</w:t>
      </w:r>
      <w:r w:rsidRPr="00841021">
        <w:rPr>
          <w:rFonts w:ascii="Book Antiqua" w:hAnsi="Book Antiqua"/>
          <w:sz w:val="22"/>
          <w:szCs w:val="22"/>
        </w:rPr>
        <w:t xml:space="preserve"> diele </w:t>
      </w:r>
      <w:r w:rsidRPr="00841021" w:rsidR="0036485E">
        <w:rPr>
          <w:rFonts w:ascii="Book Antiqua" w:hAnsi="Book Antiqua"/>
          <w:sz w:val="22"/>
          <w:szCs w:val="22"/>
        </w:rPr>
        <w:t>II.</w:t>
      </w:r>
      <w:r w:rsidRPr="00841021">
        <w:rPr>
          <w:rFonts w:ascii="Book Antiqua" w:hAnsi="Book Antiqua"/>
          <w:sz w:val="22"/>
          <w:szCs w:val="22"/>
        </w:rPr>
        <w:t xml:space="preserve"> hlavy </w:t>
      </w:r>
      <w:r w:rsidRPr="00841021" w:rsidR="0036485E">
        <w:rPr>
          <w:rFonts w:ascii="Book Antiqua" w:hAnsi="Book Antiqua"/>
          <w:sz w:val="22"/>
          <w:szCs w:val="22"/>
        </w:rPr>
        <w:t>druhej</w:t>
      </w:r>
      <w:r w:rsidRPr="00841021">
        <w:rPr>
          <w:rFonts w:ascii="Book Antiqua" w:hAnsi="Book Antiqua"/>
          <w:sz w:val="22"/>
          <w:szCs w:val="22"/>
        </w:rPr>
        <w:t xml:space="preserve"> časti Trestnéh</w:t>
      </w:r>
      <w:r w:rsidRPr="00841021" w:rsidR="00945881">
        <w:rPr>
          <w:rFonts w:ascii="Book Antiqua" w:hAnsi="Book Antiqua"/>
          <w:sz w:val="22"/>
          <w:szCs w:val="22"/>
        </w:rPr>
        <w:t>o poriadku</w:t>
      </w:r>
      <w:r w:rsidR="003B6A4C">
        <w:rPr>
          <w:rFonts w:ascii="Book Antiqua" w:hAnsi="Book Antiqua"/>
          <w:sz w:val="22"/>
          <w:szCs w:val="22"/>
        </w:rPr>
        <w:t>,</w:t>
      </w:r>
      <w:r w:rsidRPr="00841021" w:rsidR="00945881">
        <w:rPr>
          <w:rFonts w:ascii="Book Antiqua" w:hAnsi="Book Antiqua"/>
          <w:sz w:val="22"/>
          <w:szCs w:val="22"/>
        </w:rPr>
        <w:t xml:space="preserve"> ani podať obžalobu, čo už bolo prekonané nedávnou judikatúrou Najvyššieho súdu Slovenskej republiky.</w:t>
      </w:r>
    </w:p>
    <w:p w:rsidR="00945881" w:rsidRPr="00841021" w:rsidP="00841021">
      <w:pPr>
        <w:spacing w:before="120" w:line="276" w:lineRule="auto"/>
        <w:ind w:firstLine="708"/>
        <w:jc w:val="both"/>
        <w:rPr>
          <w:rFonts w:ascii="Book Antiqua" w:hAnsi="Book Antiqua"/>
          <w:sz w:val="22"/>
          <w:szCs w:val="22"/>
        </w:rPr>
      </w:pPr>
      <w:r w:rsidRPr="00841021">
        <w:rPr>
          <w:rFonts w:ascii="Book Antiqua" w:hAnsi="Book Antiqua"/>
          <w:sz w:val="22"/>
          <w:szCs w:val="22"/>
        </w:rPr>
        <w:t>Doplnenie právoplatného uznesenia o vznesení obvinenia do zoznamu rozhodnutí, ktoré môže generálny prokurátor Slovenskej republiky napadnúť podľa § 363 Trestného poriadku bolo bezprostrednou reakciou na zavedenie zákazov vydávania negatívnych pokynov zo strany nadriadeného prokurátora podriadenému prokurátorovi (§ 6 ods. 8 zákona č. 153/2001 Z. z. o prokuratúre v znení neskorších predpisov) v roku 2011 počas vlády Ivety Radičovej, keďže takáto legislatívna úprava zamedzovala „zametaniu trestných káuz pod koberec“</w:t>
      </w:r>
      <w:r w:rsidRPr="00841021" w:rsidR="0049701A">
        <w:rPr>
          <w:rFonts w:ascii="Book Antiqua" w:hAnsi="Book Antiqua"/>
          <w:sz w:val="22"/>
          <w:szCs w:val="22"/>
        </w:rPr>
        <w:t>.</w:t>
      </w:r>
    </w:p>
    <w:p w:rsidR="0049701A" w:rsidRPr="00841021" w:rsidP="00841021">
      <w:pPr>
        <w:spacing w:before="120" w:line="276" w:lineRule="auto"/>
        <w:ind w:firstLine="708"/>
        <w:jc w:val="both"/>
        <w:rPr>
          <w:rFonts w:ascii="Book Antiqua" w:hAnsi="Book Antiqua"/>
          <w:iCs/>
          <w:sz w:val="22"/>
          <w:szCs w:val="22"/>
        </w:rPr>
      </w:pPr>
      <w:r w:rsidRPr="00841021">
        <w:rPr>
          <w:rFonts w:ascii="Book Antiqua" w:hAnsi="Book Antiqua"/>
          <w:sz w:val="22"/>
          <w:szCs w:val="22"/>
        </w:rPr>
        <w:t xml:space="preserve">Generálna prokuratúra Slovenskej republiky prostredníctvom zastupujúceho generálneho prokurátora Ladislava Tichého tak v roku 2012 urobila napriek tomu, že neuspela so svojim podaním napádajúcim zákaz negatívnych pokynov na Ústavnom súde Slovenskej republiky, ktorý v náleze PL. ÚS 105/2011 uvádza, že: </w:t>
      </w:r>
      <w:r w:rsidRPr="00841021">
        <w:rPr>
          <w:rFonts w:ascii="Book Antiqua" w:hAnsi="Book Antiqua"/>
          <w:i/>
          <w:iCs/>
          <w:sz w:val="22"/>
          <w:szCs w:val="22"/>
        </w:rPr>
        <w:t>„Napadnutá právna úprava nevytvára stav, v rámci ktorého nemožno korigovať rozhodnutie podriadeného prokurátora – táto možnosť zostáva zachovaná aj naďalej s tým rozdielom, že dochádza k obmedzeniu možnosti uložiť prokurátorovi povinnosť nevykonať niektoré úkony (napríklad nezačať trestné stíhanie, nevzniesť obvinenie) alebo vykonať niektoré úkony (postúpiť vec na prejednanie inému orgánu, zastaviť trestné stíhanie). Takéto pokyny by sa mohli priečiť právnemu názoru a presvedčeniu prokurátora a založiť vnútorný konflikt vo vzťahu k osobnej zodpovednosti prokurátora za iniciatívny, spravodlivý a nestranný postup pri plnení svojich povinností. Zákonná úprava však súčasne bezprostredne nadriadenému prokurátorovi (nie v</w:t>
      </w:r>
      <w:r w:rsidRPr="00841021">
        <w:rPr>
          <w:rFonts w:ascii="Book Antiqua" w:hAnsi="Book Antiqua"/>
          <w:i/>
          <w:iCs/>
          <w:sz w:val="22"/>
          <w:szCs w:val="22"/>
        </w:rPr>
        <w:t>šak každému nadriadenému prokurátorovi) zachováva právo vykonať úkony vymedzené v § 6 ods. 8 a 9 zákona o prokuratúre namiesto podriadeného prokurátora, a to vo vlastnom mene a na vlastnú zodpovednosť. Zákonodarcom zvolený model posilňuje podľa ústavného súdu integritu vedomia a svedomia prokurátora príslušného vo veci konať pri uplatňovaní ústavy, ústavných zákonov, zákonov, medzinárodných zmlúv vyhlásených spôsobom ustanovených zákonom a ostatných všeobecne záväzných právnych predpisov, dotvára systém záruk pred potenciálne nezákonným alebo nenáležitým zasahovaním do činnosti prokurátorov v jednotlivých veciach, pričom nepredstavuje ani popretie princípu, podľa ktorého v štruktúre orgánov prokuratúry pôsobia prokurátori vo vzťahoch podriadenosti a nadriadenosti. Umožňuje totiž zvrátiť potenciálne nesprávne, resp. nezákonné rozhodnutie či postup prokurátora bezprostredne nadriadeným prokurátorom.“</w:t>
      </w:r>
      <w:r w:rsidRPr="00841021">
        <w:rPr>
          <w:rFonts w:ascii="Book Antiqua" w:hAnsi="Book Antiqua"/>
          <w:iCs/>
          <w:sz w:val="22"/>
          <w:szCs w:val="22"/>
        </w:rPr>
        <w:t>.</w:t>
      </w:r>
    </w:p>
    <w:p w:rsidR="0049701A" w:rsidRPr="00841021" w:rsidP="00841021">
      <w:pPr>
        <w:spacing w:before="120" w:line="276" w:lineRule="auto"/>
        <w:ind w:firstLine="708"/>
        <w:jc w:val="both"/>
        <w:rPr>
          <w:rFonts w:ascii="Book Antiqua" w:hAnsi="Book Antiqua"/>
          <w:b/>
          <w:sz w:val="22"/>
          <w:szCs w:val="22"/>
        </w:rPr>
      </w:pPr>
      <w:r w:rsidRPr="00841021">
        <w:rPr>
          <w:rFonts w:ascii="Book Antiqua" w:hAnsi="Book Antiqua"/>
          <w:iCs/>
          <w:sz w:val="22"/>
          <w:szCs w:val="22"/>
        </w:rPr>
        <w:t xml:space="preserve">Ústavný súd Slovenskej republiky sa ustanoveniu § 363 Trestného poriadku venoval aj vo svojom uznesení </w:t>
      </w:r>
      <w:r w:rsidRPr="00841021" w:rsidR="00E90F77">
        <w:rPr>
          <w:rFonts w:ascii="Book Antiqua" w:hAnsi="Book Antiqua"/>
          <w:sz w:val="22"/>
          <w:szCs w:val="22"/>
        </w:rPr>
        <w:t xml:space="preserve">sp. zn. II. </w:t>
      </w:r>
      <w:r w:rsidRPr="00841021">
        <w:rPr>
          <w:rFonts w:ascii="Book Antiqua" w:hAnsi="Book Antiqua"/>
          <w:sz w:val="22"/>
          <w:szCs w:val="22"/>
        </w:rPr>
        <w:t xml:space="preserve">ÚS 494/2014 z 22. augusta 2014, keď sa opieral o vtedy platné znenie zákona, ktoré sa týmto návrhom zákona zavádza opäť, t.j. že v zmysle § 363 ods. 1 Trestného poriadku sa </w:t>
      </w:r>
      <w:r w:rsidRPr="00841021">
        <w:rPr>
          <w:rFonts w:ascii="Book Antiqua" w:hAnsi="Book Antiqua"/>
          <w:iCs/>
          <w:sz w:val="22"/>
          <w:szCs w:val="22"/>
        </w:rPr>
        <w:t>p</w:t>
      </w:r>
      <w:r w:rsidRPr="00841021" w:rsidR="00277C1D">
        <w:rPr>
          <w:rFonts w:ascii="Book Antiqua" w:hAnsi="Book Antiqua"/>
          <w:iCs/>
          <w:sz w:val="22"/>
          <w:szCs w:val="22"/>
        </w:rPr>
        <w:t xml:space="preserve">orušením zákona </w:t>
      </w:r>
      <w:r w:rsidRPr="00841021" w:rsidR="00E90F77">
        <w:rPr>
          <w:rFonts w:ascii="Book Antiqua" w:hAnsi="Book Antiqua"/>
          <w:iCs/>
          <w:sz w:val="22"/>
          <w:szCs w:val="22"/>
        </w:rPr>
        <w:t>rozumie podstatné pochybenie, ktoré mohlo ovplyvniť rozhodnutie vo veci</w:t>
      </w:r>
      <w:r w:rsidRPr="00841021" w:rsidR="00E90F77">
        <w:rPr>
          <w:rFonts w:ascii="Book Antiqua" w:hAnsi="Book Antiqua"/>
          <w:sz w:val="22"/>
          <w:szCs w:val="22"/>
        </w:rPr>
        <w:t>.</w:t>
      </w:r>
    </w:p>
    <w:p w:rsidR="00CA3C4C" w:rsidRPr="00841021" w:rsidP="00841021">
      <w:pPr>
        <w:spacing w:before="120" w:line="276" w:lineRule="auto"/>
        <w:ind w:firstLine="708"/>
        <w:jc w:val="both"/>
        <w:rPr>
          <w:rFonts w:ascii="Book Antiqua" w:hAnsi="Book Antiqua"/>
          <w:bCs/>
          <w:iCs/>
          <w:sz w:val="22"/>
          <w:szCs w:val="22"/>
        </w:rPr>
      </w:pPr>
      <w:r w:rsidRPr="00841021" w:rsidR="00E90F77">
        <w:rPr>
          <w:rFonts w:ascii="Book Antiqua" w:hAnsi="Book Antiqua"/>
          <w:b/>
          <w:sz w:val="22"/>
          <w:szCs w:val="22"/>
        </w:rPr>
        <w:t xml:space="preserve">Ústavný súd </w:t>
      </w:r>
      <w:r w:rsidRPr="00841021" w:rsidR="0049701A">
        <w:rPr>
          <w:rFonts w:ascii="Book Antiqua" w:hAnsi="Book Antiqua"/>
          <w:b/>
          <w:sz w:val="22"/>
          <w:szCs w:val="22"/>
        </w:rPr>
        <w:t>Slovenskej republiky v tomto uznesení konštatoval</w:t>
      </w:r>
      <w:r w:rsidRPr="00841021" w:rsidR="00E90F77">
        <w:rPr>
          <w:rFonts w:ascii="Book Antiqua" w:hAnsi="Book Antiqua"/>
          <w:b/>
          <w:sz w:val="22"/>
          <w:szCs w:val="22"/>
        </w:rPr>
        <w:t>, že</w:t>
      </w:r>
      <w:r w:rsidRPr="00841021" w:rsidR="0049701A">
        <w:rPr>
          <w:rFonts w:ascii="Book Antiqua" w:hAnsi="Book Antiqua"/>
          <w:b/>
          <w:sz w:val="22"/>
          <w:szCs w:val="22"/>
        </w:rPr>
        <w:t>:</w:t>
      </w:r>
      <w:r w:rsidRPr="00841021" w:rsidR="00E90F77">
        <w:rPr>
          <w:rFonts w:ascii="Book Antiqua" w:hAnsi="Book Antiqua"/>
          <w:b/>
          <w:sz w:val="22"/>
          <w:szCs w:val="22"/>
        </w:rPr>
        <w:t xml:space="preserve"> </w:t>
      </w:r>
      <w:r w:rsidRPr="00841021" w:rsidR="0049701A">
        <w:rPr>
          <w:rFonts w:ascii="Book Antiqua" w:hAnsi="Book Antiqua"/>
          <w:b/>
          <w:i/>
          <w:sz w:val="22"/>
          <w:szCs w:val="22"/>
        </w:rPr>
        <w:t>„[...]</w:t>
      </w:r>
      <w:r w:rsidRPr="00841021" w:rsidR="00E90F77">
        <w:rPr>
          <w:rFonts w:ascii="Book Antiqua" w:hAnsi="Book Antiqua"/>
          <w:b/>
          <w:bCs/>
          <w:i/>
          <w:iCs/>
          <w:sz w:val="22"/>
          <w:szCs w:val="22"/>
        </w:rPr>
        <w:t xml:space="preserve">princíp nestrannosti rozhodovania </w:t>
      </w:r>
      <w:r w:rsidRPr="00841021" w:rsidR="00E90F77">
        <w:rPr>
          <w:rFonts w:ascii="Book Antiqua" w:hAnsi="Book Antiqua"/>
          <w:b/>
          <w:i/>
          <w:iCs/>
          <w:sz w:val="22"/>
          <w:szCs w:val="22"/>
        </w:rPr>
        <w:t xml:space="preserve">ako súčasť záruk základného práva na inú právnu ochranu podľa čl. 46 ods. 1 Ústavy Slovenskej republiky </w:t>
      </w:r>
      <w:r w:rsidRPr="00841021" w:rsidR="00E90F77">
        <w:rPr>
          <w:rFonts w:ascii="Book Antiqua" w:hAnsi="Book Antiqua"/>
          <w:b/>
          <w:bCs/>
          <w:i/>
          <w:iCs/>
          <w:sz w:val="22"/>
          <w:szCs w:val="22"/>
        </w:rPr>
        <w:t xml:space="preserve">vylučuje, aby generálny prokurátor </w:t>
      </w:r>
      <w:r w:rsidRPr="00841021" w:rsidR="00E90F77">
        <w:rPr>
          <w:rFonts w:ascii="Book Antiqua" w:hAnsi="Book Antiqua"/>
          <w:b/>
          <w:i/>
          <w:iCs/>
          <w:sz w:val="22"/>
          <w:szCs w:val="22"/>
        </w:rPr>
        <w:t xml:space="preserve">Slovenskej republiky </w:t>
      </w:r>
      <w:r w:rsidRPr="00841021" w:rsidR="00E90F77">
        <w:rPr>
          <w:rFonts w:ascii="Book Antiqua" w:hAnsi="Book Antiqua"/>
          <w:b/>
          <w:bCs/>
          <w:i/>
          <w:iCs/>
          <w:sz w:val="22"/>
          <w:szCs w:val="22"/>
        </w:rPr>
        <w:t>preskúmal na zák</w:t>
      </w:r>
      <w:r w:rsidRPr="00841021" w:rsidR="0049701A">
        <w:rPr>
          <w:rFonts w:ascii="Book Antiqua" w:hAnsi="Book Antiqua"/>
          <w:b/>
          <w:bCs/>
          <w:i/>
          <w:iCs/>
          <w:sz w:val="22"/>
          <w:szCs w:val="22"/>
        </w:rPr>
        <w:t>lade návrhu obvineného postupom</w:t>
      </w:r>
      <w:r w:rsidRPr="00841021" w:rsidR="00E90F77">
        <w:rPr>
          <w:rFonts w:ascii="Book Antiqua" w:hAnsi="Book Antiqua"/>
          <w:b/>
          <w:bCs/>
          <w:i/>
          <w:iCs/>
          <w:sz w:val="22"/>
          <w:szCs w:val="22"/>
        </w:rPr>
        <w:t xml:space="preserve"> podľa § 363 ods. 1 Trestného poriadku zákonnosť rozhodnutia o zamietnutí sťažnosti proti uzneseniu o vznes</w:t>
      </w:r>
      <w:r w:rsidRPr="00841021" w:rsidR="0049701A">
        <w:rPr>
          <w:rFonts w:ascii="Book Antiqua" w:hAnsi="Book Antiqua"/>
          <w:b/>
          <w:bCs/>
          <w:i/>
          <w:iCs/>
          <w:sz w:val="22"/>
          <w:szCs w:val="22"/>
        </w:rPr>
        <w:t xml:space="preserve">ení obvinenia, ktoré sám vydal. </w:t>
      </w:r>
      <w:r w:rsidRPr="00841021">
        <w:rPr>
          <w:rFonts w:ascii="Book Antiqua" w:hAnsi="Book Antiqua"/>
          <w:b/>
          <w:i/>
          <w:sz w:val="22"/>
          <w:szCs w:val="22"/>
        </w:rPr>
        <w:t xml:space="preserve">[...] </w:t>
      </w:r>
      <w:r w:rsidRPr="00841021">
        <w:rPr>
          <w:rFonts w:ascii="Book Antiqua" w:hAnsi="Book Antiqua"/>
          <w:i/>
          <w:sz w:val="22"/>
          <w:szCs w:val="22"/>
        </w:rPr>
        <w:t>[...]</w:t>
      </w:r>
      <w:r w:rsidRPr="00841021" w:rsidR="00E90F77">
        <w:rPr>
          <w:rFonts w:ascii="Book Antiqua" w:hAnsi="Book Antiqua"/>
          <w:i/>
          <w:iCs/>
          <w:sz w:val="22"/>
          <w:szCs w:val="22"/>
        </w:rPr>
        <w:t xml:space="preserve">Ústavný súd rešpektuje právomoc generálneho prokurátora interpretovať § 363 a nasl. Trestného poriadku, zo znenia ktorého výslovne nevyplýva, proti ktorým rozhodnutiam ho možno použiť. </w:t>
      </w:r>
      <w:r w:rsidRPr="00841021" w:rsidR="00E90F77">
        <w:rPr>
          <w:rFonts w:ascii="Book Antiqua" w:hAnsi="Book Antiqua"/>
          <w:bCs/>
          <w:i/>
          <w:iCs/>
          <w:sz w:val="22"/>
          <w:szCs w:val="22"/>
        </w:rPr>
        <w:t xml:space="preserve">Z poslednej vety § 363 ods. 1 však vyplýva, že je určený na nápravu nezákonnosti meritórnych rozhodnutí, ktorými sa rozhodovalo „vo veci“, a teda ide o rozhodnutia konečné, ktorých nápravu už nemožno zabezpečiť inými prostriedkami. </w:t>
      </w:r>
      <w:r w:rsidRPr="00841021" w:rsidR="00E90F77">
        <w:rPr>
          <w:rFonts w:ascii="Book Antiqua" w:hAnsi="Book Antiqua"/>
          <w:i/>
          <w:iCs/>
          <w:sz w:val="22"/>
          <w:szCs w:val="22"/>
        </w:rPr>
        <w:t xml:space="preserve">Takýto výklad vyplýva aj z dôvodovej správy k § 363 Trestnému poriadku (zákon č. 301/2005 Z. z.), v ktorej sa uvádza: „... treba umožniť vo veciach v ktorých súd ešte nekonal a vec bola v prípravnom konaní prokurátorom postúpená inému orgánu alebo ktorým bolo zastavené alebo podmienečne zastavené trestné stíhanie, alebo ktoré v tomto rozsahu spočíva na chybnom procesnom konaní, aby nezákonnosť napravil generálny prokurátor.“ </w:t>
      </w:r>
      <w:r w:rsidRPr="00841021" w:rsidR="00E90F77">
        <w:rPr>
          <w:rFonts w:ascii="Book Antiqua" w:hAnsi="Book Antiqua"/>
          <w:bCs/>
          <w:i/>
          <w:iCs/>
          <w:sz w:val="22"/>
          <w:szCs w:val="22"/>
        </w:rPr>
        <w:t>Uznesenie o vznesení obvinenia je rozhodnutím, ktorým sa začína trestné konanie proti určitej osobe, nie je to rozhodnutie vo veci samej.</w:t>
      </w:r>
      <w:r w:rsidRPr="00841021">
        <w:rPr>
          <w:rFonts w:ascii="Book Antiqua" w:hAnsi="Book Antiqua"/>
          <w:bCs/>
          <w:i/>
          <w:iCs/>
          <w:sz w:val="22"/>
          <w:szCs w:val="22"/>
        </w:rPr>
        <w:t>“</w:t>
      </w:r>
      <w:r w:rsidRPr="00841021">
        <w:rPr>
          <w:rFonts w:ascii="Book Antiqua" w:hAnsi="Book Antiqua"/>
          <w:bCs/>
          <w:iCs/>
          <w:sz w:val="22"/>
          <w:szCs w:val="22"/>
        </w:rPr>
        <w:t>.</w:t>
      </w:r>
    </w:p>
    <w:p w:rsidR="00E90F77" w:rsidRPr="00841021" w:rsidP="00841021">
      <w:pPr>
        <w:spacing w:before="120" w:line="276" w:lineRule="auto"/>
        <w:ind w:firstLine="708"/>
        <w:jc w:val="both"/>
        <w:rPr>
          <w:rFonts w:ascii="Book Antiqua" w:hAnsi="Book Antiqua"/>
          <w:iCs/>
          <w:sz w:val="22"/>
          <w:szCs w:val="22"/>
        </w:rPr>
      </w:pPr>
      <w:r w:rsidRPr="00841021" w:rsidR="00CA3C4C">
        <w:rPr>
          <w:rFonts w:ascii="Book Antiqua" w:hAnsi="Book Antiqua"/>
          <w:bCs/>
          <w:iCs/>
          <w:sz w:val="22"/>
          <w:szCs w:val="22"/>
        </w:rPr>
        <w:t xml:space="preserve">V tejto súvislosti možno pre porovnanie uviesť podobnú úpravu využitia inštitútu mimoriadneho opravného prostriedku v Českej republike, keď podľa </w:t>
      </w:r>
      <w:r w:rsidRPr="00841021">
        <w:rPr>
          <w:rFonts w:ascii="Book Antiqua" w:hAnsi="Book Antiqua"/>
          <w:iCs/>
          <w:sz w:val="22"/>
          <w:szCs w:val="22"/>
        </w:rPr>
        <w:t>§ 174a Trestního řádu (zákona č. 141/1961 Sb. v znení neskorších predpisov) môže najvyšší štátny zástupca zrušiť nezákonné uznesenie nižšieho štátneho zástupcu o</w:t>
      </w:r>
      <w:r w:rsidR="00996040">
        <w:rPr>
          <w:rFonts w:ascii="Book Antiqua" w:hAnsi="Book Antiqua"/>
          <w:iCs/>
          <w:sz w:val="22"/>
          <w:szCs w:val="22"/>
        </w:rPr>
        <w:t xml:space="preserve"> nestíhaní podozrivého, o </w:t>
      </w:r>
      <w:r w:rsidRPr="00841021">
        <w:rPr>
          <w:rFonts w:ascii="Book Antiqua" w:hAnsi="Book Antiqua"/>
          <w:iCs/>
          <w:sz w:val="22"/>
          <w:szCs w:val="22"/>
        </w:rPr>
        <w:t>zastavení trestného stíhania a</w:t>
      </w:r>
      <w:r w:rsidR="00996040">
        <w:rPr>
          <w:rFonts w:ascii="Book Antiqua" w:hAnsi="Book Antiqua"/>
          <w:iCs/>
          <w:sz w:val="22"/>
          <w:szCs w:val="22"/>
        </w:rPr>
        <w:t>lebo</w:t>
      </w:r>
      <w:r w:rsidRPr="00841021">
        <w:rPr>
          <w:rFonts w:ascii="Book Antiqua" w:hAnsi="Book Antiqua"/>
          <w:iCs/>
          <w:sz w:val="22"/>
          <w:szCs w:val="22"/>
        </w:rPr>
        <w:t xml:space="preserve"> o postúpení veci</w:t>
      </w:r>
      <w:r w:rsidRPr="00841021" w:rsidR="00CA3C4C">
        <w:rPr>
          <w:rFonts w:ascii="Book Antiqua" w:hAnsi="Book Antiqua"/>
          <w:iCs/>
          <w:sz w:val="22"/>
          <w:szCs w:val="22"/>
        </w:rPr>
        <w:t>.</w:t>
      </w:r>
    </w:p>
    <w:p w:rsidR="00CA3C4C" w:rsidRPr="00841021" w:rsidP="00841021">
      <w:pPr>
        <w:spacing w:before="120" w:line="276" w:lineRule="auto"/>
        <w:ind w:firstLine="708"/>
        <w:jc w:val="both"/>
        <w:rPr>
          <w:rFonts w:ascii="Book Antiqua" w:hAnsi="Book Antiqua"/>
          <w:iCs/>
          <w:sz w:val="22"/>
          <w:szCs w:val="22"/>
        </w:rPr>
      </w:pPr>
      <w:r w:rsidRPr="00841021">
        <w:rPr>
          <w:rFonts w:ascii="Book Antiqua" w:hAnsi="Book Antiqua"/>
          <w:iCs/>
          <w:sz w:val="22"/>
          <w:szCs w:val="22"/>
        </w:rPr>
        <w:t xml:space="preserve">Generálna prokuratúra Slovenskej republiky si po uvedených rozhodnutiach Ústavného súdu Slovenskej republiky uvedomila, že na </w:t>
      </w:r>
      <w:r w:rsidR="003B6A4C">
        <w:rPr>
          <w:rFonts w:ascii="Book Antiqua" w:hAnsi="Book Antiqua"/>
          <w:iCs/>
          <w:sz w:val="22"/>
          <w:szCs w:val="22"/>
        </w:rPr>
        <w:t>„</w:t>
      </w:r>
      <w:r w:rsidRPr="00841021">
        <w:rPr>
          <w:rFonts w:ascii="Book Antiqua" w:hAnsi="Book Antiqua"/>
          <w:iCs/>
          <w:sz w:val="22"/>
          <w:szCs w:val="22"/>
        </w:rPr>
        <w:t>zametanie káuz pod koberec</w:t>
      </w:r>
      <w:r w:rsidR="003B6A4C">
        <w:rPr>
          <w:rFonts w:ascii="Book Antiqua" w:hAnsi="Book Antiqua"/>
          <w:iCs/>
          <w:sz w:val="22"/>
          <w:szCs w:val="22"/>
        </w:rPr>
        <w:t xml:space="preserve">“ </w:t>
      </w:r>
      <w:r w:rsidRPr="00841021">
        <w:rPr>
          <w:rFonts w:ascii="Book Antiqua" w:hAnsi="Book Antiqua"/>
          <w:iCs/>
          <w:sz w:val="22"/>
          <w:szCs w:val="22"/>
        </w:rPr>
        <w:t>nebude stačiť obchádzať zákaz negatívnych pokynov vydaním príkazu generálneho prokurátora Slovenskej republiky, ale je potrebné novelizovať Trestný poriadok tak, aby rozhodovanie o tom, ktoré rozhodnutia môže napadnúť generálny prokurátor Slovenskej republiky podľa § 363 Trestného poriadku boli založené výlučne na jeho výklade prostredníctvom internej normy (príkazu).</w:t>
      </w:r>
    </w:p>
    <w:p w:rsidR="00E90F77" w:rsidRPr="00841021" w:rsidP="00841021">
      <w:pPr>
        <w:spacing w:before="120" w:line="276" w:lineRule="auto"/>
        <w:ind w:firstLine="708"/>
        <w:jc w:val="both"/>
        <w:rPr>
          <w:rFonts w:ascii="Book Antiqua" w:hAnsi="Book Antiqua"/>
          <w:sz w:val="22"/>
          <w:szCs w:val="22"/>
        </w:rPr>
      </w:pPr>
      <w:r w:rsidRPr="00841021" w:rsidR="00CA3C4C">
        <w:rPr>
          <w:rFonts w:ascii="Book Antiqua" w:hAnsi="Book Antiqua"/>
          <w:iCs/>
          <w:sz w:val="22"/>
          <w:szCs w:val="22"/>
        </w:rPr>
        <w:t xml:space="preserve">Preto bola v roku 2015 novelou Trestného poriadku v podobe zákona </w:t>
      </w:r>
      <w:r w:rsidRPr="00841021">
        <w:rPr>
          <w:rFonts w:ascii="Book Antiqua" w:hAnsi="Book Antiqua"/>
          <w:sz w:val="22"/>
          <w:szCs w:val="22"/>
        </w:rPr>
        <w:t>č. 401/2015 Z.</w:t>
      </w:r>
      <w:r w:rsidRPr="00841021" w:rsidR="00CA3C4C">
        <w:rPr>
          <w:rFonts w:ascii="Book Antiqua" w:hAnsi="Book Antiqua"/>
          <w:sz w:val="22"/>
          <w:szCs w:val="22"/>
        </w:rPr>
        <w:t xml:space="preserve"> z. </w:t>
      </w:r>
      <w:r w:rsidRPr="00841021">
        <w:rPr>
          <w:rFonts w:ascii="Book Antiqua" w:hAnsi="Book Antiqua"/>
          <w:sz w:val="22"/>
          <w:szCs w:val="22"/>
        </w:rPr>
        <w:t>odstránená druhá veta z</w:t>
      </w:r>
      <w:r w:rsidRPr="00841021" w:rsidR="00CA3C4C">
        <w:rPr>
          <w:rFonts w:ascii="Book Antiqua" w:hAnsi="Book Antiqua"/>
          <w:sz w:val="22"/>
          <w:szCs w:val="22"/>
        </w:rPr>
        <w:t xml:space="preserve"> ustanovenia </w:t>
      </w:r>
      <w:r w:rsidRPr="00841021">
        <w:rPr>
          <w:rFonts w:ascii="Book Antiqua" w:hAnsi="Book Antiqua"/>
          <w:sz w:val="22"/>
          <w:szCs w:val="22"/>
        </w:rPr>
        <w:t>§ 363 ods.</w:t>
      </w:r>
      <w:r w:rsidRPr="00841021" w:rsidR="00CA3C4C">
        <w:rPr>
          <w:rFonts w:ascii="Book Antiqua" w:hAnsi="Book Antiqua"/>
          <w:sz w:val="22"/>
          <w:szCs w:val="22"/>
        </w:rPr>
        <w:t xml:space="preserve"> </w:t>
      </w:r>
      <w:r w:rsidRPr="00841021">
        <w:rPr>
          <w:rFonts w:ascii="Book Antiqua" w:hAnsi="Book Antiqua"/>
          <w:sz w:val="22"/>
          <w:szCs w:val="22"/>
        </w:rPr>
        <w:t xml:space="preserve">1. Dôvodová správa k tomuto kroku </w:t>
      </w:r>
      <w:r w:rsidRPr="00841021" w:rsidR="00CA3C4C">
        <w:rPr>
          <w:rFonts w:ascii="Book Antiqua" w:hAnsi="Book Antiqua"/>
          <w:sz w:val="22"/>
          <w:szCs w:val="22"/>
        </w:rPr>
        <w:t>v tom čase uviedla</w:t>
      </w:r>
      <w:r w:rsidRPr="00841021">
        <w:rPr>
          <w:rFonts w:ascii="Book Antiqua" w:hAnsi="Book Antiqua"/>
          <w:sz w:val="22"/>
          <w:szCs w:val="22"/>
        </w:rPr>
        <w:t xml:space="preserve">, že </w:t>
      </w:r>
      <w:r w:rsidRPr="00841021">
        <w:rPr>
          <w:rFonts w:ascii="Book Antiqua" w:hAnsi="Book Antiqua"/>
          <w:i/>
          <w:iCs/>
          <w:sz w:val="22"/>
          <w:szCs w:val="22"/>
        </w:rPr>
        <w:t>je potrebné, aby mal generálny prokurátor možnosť zrušiť akékoľvek rozhodnutie (procesné, medzitýmne, meritórne) prokurátora alebo policajta v prípravnom konaní, samozrejme, za podmienky, že ide o rozhodnutie, ktorým bol porušený zákon, resp. jeho vydaniu predchádzal nezákonný postup</w:t>
      </w:r>
      <w:r w:rsidRPr="00841021" w:rsidR="00CA3C4C">
        <w:rPr>
          <w:rFonts w:ascii="Book Antiqua" w:hAnsi="Book Antiqua"/>
          <w:sz w:val="22"/>
          <w:szCs w:val="22"/>
        </w:rPr>
        <w:t>.“</w:t>
      </w:r>
      <w:r w:rsidRPr="00841021" w:rsidR="00277C1D">
        <w:rPr>
          <w:rFonts w:ascii="Book Antiqua" w:hAnsi="Book Antiqua"/>
          <w:sz w:val="22"/>
          <w:szCs w:val="22"/>
        </w:rPr>
        <w:t xml:space="preserve">. </w:t>
      </w:r>
      <w:r w:rsidRPr="00841021" w:rsidR="00CA3C4C">
        <w:rPr>
          <w:rFonts w:ascii="Book Antiqua" w:hAnsi="Book Antiqua"/>
          <w:sz w:val="22"/>
          <w:szCs w:val="22"/>
        </w:rPr>
        <w:t>Teda odôvodnenie, ktoré je v rozpore so zmyslom zavedenia mim</w:t>
      </w:r>
      <w:r w:rsidRPr="00841021" w:rsidR="00277C1D">
        <w:rPr>
          <w:rFonts w:ascii="Book Antiqua" w:hAnsi="Book Antiqua"/>
          <w:sz w:val="22"/>
          <w:szCs w:val="22"/>
        </w:rPr>
        <w:t>oriadneho opravného prostriedku podľa § 363 Trestného poriadku do slovenského systému trestného práva.</w:t>
      </w:r>
    </w:p>
    <w:p w:rsidR="00277C1D" w:rsidRPr="00841021" w:rsidP="00841021">
      <w:pPr>
        <w:spacing w:before="120" w:line="276" w:lineRule="auto"/>
        <w:ind w:firstLine="708"/>
        <w:jc w:val="both"/>
        <w:rPr>
          <w:rFonts w:ascii="Book Antiqua" w:hAnsi="Book Antiqua"/>
          <w:sz w:val="22"/>
          <w:szCs w:val="22"/>
        </w:rPr>
      </w:pPr>
      <w:r w:rsidRPr="00841021">
        <w:rPr>
          <w:rFonts w:ascii="Book Antiqua" w:hAnsi="Book Antiqua"/>
          <w:sz w:val="22"/>
          <w:szCs w:val="22"/>
        </w:rPr>
        <w:t xml:space="preserve">Ústavný súd Slovenskej republiky sa však touto zmenou legislatívy nedal zastrašiť a naďalej vo svoje judikatúre zotrváva na svojom názore vo vzťahu k použitiu § 363 Trestného poriadku (napr. uznesenie sp. zn. </w:t>
      </w:r>
      <w:r w:rsidRPr="00841021" w:rsidR="00E90F77">
        <w:rPr>
          <w:rFonts w:ascii="Book Antiqua" w:hAnsi="Book Antiqua"/>
          <w:sz w:val="22"/>
          <w:szCs w:val="22"/>
        </w:rPr>
        <w:t>I. ÚS 756/2016-55 z</w:t>
      </w:r>
      <w:r w:rsidRPr="00841021">
        <w:rPr>
          <w:rFonts w:ascii="Book Antiqua" w:hAnsi="Book Antiqua"/>
          <w:sz w:val="22"/>
          <w:szCs w:val="22"/>
        </w:rPr>
        <w:t>o</w:t>
      </w:r>
      <w:r w:rsidRPr="00841021" w:rsidR="00E90F77">
        <w:rPr>
          <w:rFonts w:ascii="Book Antiqua" w:hAnsi="Book Antiqua"/>
          <w:sz w:val="22"/>
          <w:szCs w:val="22"/>
        </w:rPr>
        <w:t xml:space="preserve"> 07.12.201</w:t>
      </w:r>
      <w:r w:rsidRPr="00841021">
        <w:rPr>
          <w:rFonts w:ascii="Book Antiqua" w:hAnsi="Book Antiqua"/>
          <w:sz w:val="22"/>
          <w:szCs w:val="22"/>
        </w:rPr>
        <w:t>6</w:t>
      </w:r>
      <w:r w:rsidR="003B6A4C">
        <w:rPr>
          <w:rFonts w:ascii="Book Antiqua" w:hAnsi="Book Antiqua"/>
          <w:sz w:val="22"/>
          <w:szCs w:val="22"/>
        </w:rPr>
        <w:t>,</w:t>
      </w:r>
      <w:r w:rsidRPr="00841021">
        <w:rPr>
          <w:rFonts w:ascii="Book Antiqua" w:hAnsi="Book Antiqua"/>
          <w:sz w:val="22"/>
          <w:szCs w:val="22"/>
        </w:rPr>
        <w:t xml:space="preserve"> alebo uznesenie sp. zn. </w:t>
      </w:r>
      <w:r w:rsidRPr="00841021" w:rsidR="00E90F77">
        <w:rPr>
          <w:rFonts w:ascii="Book Antiqua" w:hAnsi="Book Antiqua"/>
          <w:sz w:val="22"/>
          <w:szCs w:val="22"/>
        </w:rPr>
        <w:t>IV. ÚS 612/2018-38 z 16.11.2018</w:t>
      </w:r>
      <w:r w:rsidRPr="00841021" w:rsidR="00E5543F">
        <w:rPr>
          <w:rFonts w:ascii="Book Antiqua" w:hAnsi="Book Antiqua"/>
          <w:sz w:val="22"/>
          <w:szCs w:val="22"/>
        </w:rPr>
        <w:t>)</w:t>
      </w:r>
      <w:r w:rsidRPr="00841021" w:rsidR="00E90F77">
        <w:rPr>
          <w:rFonts w:ascii="Book Antiqua" w:hAnsi="Book Antiqua"/>
          <w:sz w:val="22"/>
          <w:szCs w:val="22"/>
        </w:rPr>
        <w:t>.</w:t>
      </w:r>
    </w:p>
    <w:p w:rsidR="00E90F77" w:rsidRPr="00841021" w:rsidP="00841021">
      <w:pPr>
        <w:spacing w:before="120" w:line="276" w:lineRule="auto"/>
        <w:ind w:firstLine="708"/>
        <w:jc w:val="both"/>
        <w:rPr>
          <w:rFonts w:ascii="Book Antiqua" w:hAnsi="Book Antiqua"/>
          <w:sz w:val="22"/>
          <w:szCs w:val="22"/>
        </w:rPr>
      </w:pPr>
      <w:r w:rsidRPr="00841021" w:rsidR="00277C1D">
        <w:rPr>
          <w:rFonts w:ascii="Book Antiqua" w:hAnsi="Book Antiqua"/>
          <w:sz w:val="22"/>
          <w:szCs w:val="22"/>
        </w:rPr>
        <w:t>Nelogickosť svojich krokov v súvislosti s § 363 Trestného poriadku si v roku 2018 uvedomila aj samotná Generálna prokuratúra Slovenskej republiky, ktorá v </w:t>
      </w:r>
      <w:r w:rsidRPr="00C54C7C" w:rsidR="00277C1D">
        <w:rPr>
          <w:rFonts w:ascii="Book Antiqua" w:hAnsi="Book Antiqua"/>
          <w:b/>
          <w:bCs/>
          <w:sz w:val="22"/>
          <w:szCs w:val="22"/>
        </w:rPr>
        <w:t>Správe</w:t>
      </w:r>
      <w:r w:rsidRPr="00841021" w:rsidR="00277C1D">
        <w:rPr>
          <w:rFonts w:ascii="Book Antiqua" w:hAnsi="Book Antiqua"/>
          <w:sz w:val="22"/>
          <w:szCs w:val="22"/>
        </w:rPr>
        <w:t xml:space="preserve"> </w:t>
      </w:r>
      <w:r w:rsidRPr="00841021">
        <w:rPr>
          <w:rFonts w:ascii="Book Antiqua" w:hAnsi="Book Antiqua"/>
          <w:b/>
          <w:bCs/>
          <w:color w:val="000000"/>
          <w:sz w:val="22"/>
          <w:szCs w:val="22"/>
        </w:rPr>
        <w:t>generálneho prokurátora Slovenskej republiky o činnosti prokuratúry v roku 2018 a poznatkoch prokuratúry o stave zákonnosti v Slovenskej republike</w:t>
      </w:r>
      <w:r w:rsidRPr="00841021">
        <w:rPr>
          <w:rFonts w:ascii="Book Antiqua" w:hAnsi="Book Antiqua"/>
          <w:color w:val="000000"/>
          <w:sz w:val="22"/>
          <w:szCs w:val="22"/>
        </w:rPr>
        <w:t xml:space="preserve"> </w:t>
      </w:r>
      <w:r w:rsidRPr="00841021" w:rsidR="00277C1D">
        <w:rPr>
          <w:rFonts w:ascii="Book Antiqua" w:hAnsi="Book Antiqua"/>
          <w:color w:val="000000"/>
          <w:sz w:val="22"/>
          <w:szCs w:val="22"/>
        </w:rPr>
        <w:t>predloženej Národnej rade Slovenskej republiky konštatuje: „</w:t>
      </w:r>
      <w:r w:rsidRPr="00841021" w:rsidR="00277C1D">
        <w:rPr>
          <w:rFonts w:ascii="Book Antiqua" w:hAnsi="Book Antiqua"/>
          <w:i/>
          <w:sz w:val="22"/>
          <w:szCs w:val="22"/>
        </w:rPr>
        <w:t xml:space="preserve">[...] </w:t>
      </w:r>
      <w:r w:rsidRPr="00841021">
        <w:rPr>
          <w:rFonts w:ascii="Book Antiqua" w:hAnsi="Book Antiqua"/>
          <w:b/>
          <w:i/>
          <w:sz w:val="22"/>
          <w:szCs w:val="22"/>
        </w:rPr>
        <w:t>Opätovne boli zaznamenané prípady zneužívania tohto mimoriadneho opravného prostriedku obvinenými a hlavne ich obhajcami, ktorí napriek svojmu právnemu vedomiu, alebo existujúcej dôkaznej situácii využili mimoriadny opravný prostriedok ako ďalší riadny opravný prostriedok, a to iba za účelom účelových obštrukcií s následným spôsobením zbytočných prieťahov v trestnom konaní, alebo v záujme dosiahnutia prepustenia obvineného z väzby. Zákonná možnosť opätovného preskúmania právoplatného rozhodnutia prokurátora alebo policajta prostredníctvom podania mimoriadneho opravného prostriedku z rovnakých dôvodov, než pre ktoré už prokurátor konal a rozhodol o podanej sťažnosti, nenapĺňa účel a zmysel tohto mimoriadneho opravného prostriedku.</w:t>
      </w:r>
      <w:r w:rsidRPr="00841021" w:rsidR="00277C1D">
        <w:rPr>
          <w:rFonts w:ascii="Book Antiqua" w:hAnsi="Book Antiqua"/>
          <w:b/>
          <w:i/>
          <w:sz w:val="22"/>
          <w:szCs w:val="22"/>
        </w:rPr>
        <w:t>“</w:t>
      </w:r>
      <w:r w:rsidRPr="00841021" w:rsidR="00277C1D">
        <w:rPr>
          <w:rFonts w:ascii="Book Antiqua" w:hAnsi="Book Antiqua"/>
          <w:sz w:val="22"/>
          <w:szCs w:val="22"/>
        </w:rPr>
        <w:t>.</w:t>
      </w:r>
    </w:p>
    <w:p w:rsidR="00277C1D" w:rsidRPr="00841021" w:rsidP="00841021">
      <w:pPr>
        <w:spacing w:before="120" w:line="276" w:lineRule="auto"/>
        <w:ind w:firstLine="708"/>
        <w:jc w:val="both"/>
        <w:rPr>
          <w:rFonts w:ascii="Book Antiqua" w:hAnsi="Book Antiqua"/>
          <w:sz w:val="22"/>
          <w:szCs w:val="22"/>
        </w:rPr>
      </w:pPr>
      <w:r w:rsidRPr="00841021">
        <w:rPr>
          <w:rFonts w:ascii="Book Antiqua" w:hAnsi="Book Antiqua"/>
          <w:sz w:val="22"/>
          <w:szCs w:val="22"/>
        </w:rPr>
        <w:t>Je preto namieste, aby sa platná právna úprava, ktorá nezodpovedá pôvodnému zmyslu ustanovenia § 363 Trestného poriadku ani judikatúre Ústavného súdu Slovenskej republiky</w:t>
      </w:r>
      <w:r w:rsidR="00C54C7C">
        <w:rPr>
          <w:rFonts w:ascii="Book Antiqua" w:hAnsi="Book Antiqua"/>
          <w:sz w:val="22"/>
          <w:szCs w:val="22"/>
        </w:rPr>
        <w:t>,</w:t>
      </w:r>
      <w:r w:rsidRPr="00841021">
        <w:rPr>
          <w:rFonts w:ascii="Book Antiqua" w:hAnsi="Book Antiqua"/>
          <w:sz w:val="22"/>
          <w:szCs w:val="22"/>
        </w:rPr>
        <w:t xml:space="preserve"> či pochybnostiam samotnej Generálnej prokuratúry S</w:t>
      </w:r>
      <w:r w:rsidRPr="00841021" w:rsidR="0029671C">
        <w:rPr>
          <w:rFonts w:ascii="Book Antiqua" w:hAnsi="Book Antiqua"/>
          <w:sz w:val="22"/>
          <w:szCs w:val="22"/>
        </w:rPr>
        <w:t>lovenskej republiky, zmenila, a to minimálne do stavu, v akom bola zavedená v roku 2005 pri schválení Trestného poriadku v Národnej rade Slovenskej republiky.</w:t>
      </w:r>
    </w:p>
    <w:p w:rsidR="0029671C" w:rsidRPr="00841021" w:rsidP="00841021">
      <w:pPr>
        <w:spacing w:before="120" w:line="276" w:lineRule="auto"/>
        <w:ind w:firstLine="708"/>
        <w:jc w:val="both"/>
        <w:rPr>
          <w:rFonts w:ascii="Book Antiqua" w:hAnsi="Book Antiqua"/>
          <w:sz w:val="22"/>
          <w:szCs w:val="22"/>
        </w:rPr>
      </w:pPr>
      <w:r w:rsidRPr="00841021">
        <w:rPr>
          <w:rFonts w:ascii="Book Antiqua" w:hAnsi="Book Antiqua"/>
          <w:sz w:val="22"/>
          <w:szCs w:val="22"/>
        </w:rPr>
        <w:t>Zároveň sú relevantné tiež úvahy, či by nebolo vhodnejšie výslovne v Trestnom poriadku ustanoviť, voči ktorým právoplatným rozhodnutiam policajta</w:t>
      </w:r>
      <w:r w:rsidR="00C54C7C">
        <w:rPr>
          <w:rFonts w:ascii="Book Antiqua" w:hAnsi="Book Antiqua"/>
          <w:sz w:val="22"/>
          <w:szCs w:val="22"/>
        </w:rPr>
        <w:t>,</w:t>
      </w:r>
      <w:r w:rsidRPr="00841021">
        <w:rPr>
          <w:rFonts w:ascii="Book Antiqua" w:hAnsi="Book Antiqua"/>
          <w:sz w:val="22"/>
          <w:szCs w:val="22"/>
        </w:rPr>
        <w:t xml:space="preserve"> alebo prokurátora v prípravnom konaní môže generálny prokurátor využiť mimoriadny opravný prostriedok v podobe § 363 Trestného poriadku, či by takéto jeho rozhodnutie nemalo byť preskúmané súdom, resp. či by z preskúmania generálneho prokurátora Slovenskej republiky podľa § 363 Trestného poriadku nemali byť vyňaté tie rozhodnutia, o ktorých už rozhodoval súd (napr. o väzbe).</w:t>
      </w:r>
    </w:p>
    <w:p w:rsidR="00473E18" w:rsidRPr="00841021" w:rsidP="00841021">
      <w:pPr>
        <w:pStyle w:val="NormalWeb"/>
        <w:spacing w:before="120" w:beforeAutospacing="0" w:after="0" w:afterAutospacing="0" w:line="276" w:lineRule="auto"/>
        <w:jc w:val="both"/>
        <w:rPr>
          <w:rFonts w:ascii="Book Antiqua" w:hAnsi="Book Antiqua"/>
          <w:bCs/>
          <w:sz w:val="22"/>
          <w:szCs w:val="22"/>
        </w:rPr>
      </w:pPr>
      <w:r w:rsidRPr="00841021" w:rsidR="00706F69">
        <w:rPr>
          <w:rFonts w:ascii="Book Antiqua" w:hAnsi="Book Antiqua"/>
          <w:bCs/>
          <w:sz w:val="22"/>
          <w:szCs w:val="22"/>
        </w:rPr>
        <w:tab/>
      </w:r>
    </w:p>
    <w:p w:rsidR="00706F69" w:rsidRPr="00841021" w:rsidP="00841021">
      <w:pPr>
        <w:pStyle w:val="NormalWeb"/>
        <w:spacing w:before="120" w:beforeAutospacing="0" w:after="0" w:afterAutospacing="0" w:line="276" w:lineRule="auto"/>
        <w:jc w:val="both"/>
        <w:rPr>
          <w:rFonts w:ascii="Book Antiqua" w:hAnsi="Book Antiqua"/>
          <w:b/>
          <w:bCs/>
          <w:sz w:val="22"/>
          <w:szCs w:val="22"/>
        </w:rPr>
      </w:pPr>
      <w:r w:rsidRPr="00841021">
        <w:rPr>
          <w:rFonts w:ascii="Book Antiqua" w:hAnsi="Book Antiqua"/>
          <w:b/>
          <w:bCs/>
          <w:sz w:val="22"/>
          <w:szCs w:val="22"/>
        </w:rPr>
        <w:t>K Čl. II</w:t>
      </w:r>
    </w:p>
    <w:p w:rsidR="00706F69" w:rsidRPr="00841021" w:rsidP="00841021">
      <w:pPr>
        <w:pStyle w:val="NormalWeb"/>
        <w:spacing w:before="120" w:beforeAutospacing="0" w:after="0" w:afterAutospacing="0" w:line="276" w:lineRule="auto"/>
        <w:ind w:firstLine="708"/>
        <w:jc w:val="both"/>
        <w:rPr>
          <w:rFonts w:ascii="Book Antiqua" w:hAnsi="Book Antiqua"/>
          <w:b/>
          <w:bCs/>
          <w:sz w:val="22"/>
          <w:szCs w:val="22"/>
        </w:rPr>
      </w:pPr>
      <w:r w:rsidRPr="00841021">
        <w:rPr>
          <w:rFonts w:ascii="Book Antiqua" w:hAnsi="Book Antiqua"/>
          <w:bCs/>
          <w:sz w:val="22"/>
          <w:szCs w:val="22"/>
        </w:rPr>
        <w:t>Navrhuje sa účinnosť predkladaného zákona so zohľadnením le</w:t>
      </w:r>
      <w:r w:rsidRPr="00841021" w:rsidR="00815EDB">
        <w:rPr>
          <w:rFonts w:ascii="Book Antiqua" w:hAnsi="Book Antiqua"/>
          <w:bCs/>
          <w:sz w:val="22"/>
          <w:szCs w:val="22"/>
        </w:rPr>
        <w:t>gisvakančnej lehoty, a</w:t>
      </w:r>
      <w:r w:rsidRPr="00841021" w:rsidR="00473E18">
        <w:rPr>
          <w:rFonts w:ascii="Book Antiqua" w:hAnsi="Book Antiqua"/>
          <w:bCs/>
          <w:sz w:val="22"/>
          <w:szCs w:val="22"/>
        </w:rPr>
        <w:t xml:space="preserve"> to </w:t>
      </w:r>
      <w:r w:rsidRPr="00841021" w:rsidR="00311BBC">
        <w:rPr>
          <w:rFonts w:ascii="Book Antiqua" w:hAnsi="Book Antiqua"/>
          <w:bCs/>
          <w:sz w:val="22"/>
          <w:szCs w:val="22"/>
        </w:rPr>
        <w:t xml:space="preserve">od </w:t>
      </w:r>
      <w:r w:rsidRPr="00841021" w:rsidR="00473E18">
        <w:rPr>
          <w:rFonts w:ascii="Book Antiqua" w:hAnsi="Book Antiqua"/>
          <w:bCs/>
          <w:sz w:val="22"/>
          <w:szCs w:val="22"/>
        </w:rPr>
        <w:t xml:space="preserve"> 1</w:t>
      </w:r>
      <w:r w:rsidRPr="00841021" w:rsidR="003761B1">
        <w:rPr>
          <w:rFonts w:ascii="Book Antiqua" w:hAnsi="Book Antiqua"/>
          <w:bCs/>
          <w:sz w:val="22"/>
          <w:szCs w:val="22"/>
        </w:rPr>
        <w:t xml:space="preserve">. </w:t>
      </w:r>
      <w:r w:rsidR="00ED03D7">
        <w:rPr>
          <w:rFonts w:ascii="Book Antiqua" w:hAnsi="Book Antiqua"/>
          <w:bCs/>
          <w:sz w:val="22"/>
          <w:szCs w:val="22"/>
        </w:rPr>
        <w:t>marca 2024</w:t>
      </w:r>
      <w:r w:rsidRPr="00841021" w:rsidR="00473E18">
        <w:rPr>
          <w:rFonts w:ascii="Book Antiqua" w:hAnsi="Book Antiqua"/>
          <w:bCs/>
          <w:sz w:val="22"/>
          <w:szCs w:val="22"/>
        </w:rPr>
        <w:t>.</w:t>
      </w:r>
    </w:p>
    <w:p w:rsidR="00706F69" w:rsidRPr="00841021" w:rsidP="00696780">
      <w:pPr>
        <w:pStyle w:val="NormalWeb"/>
        <w:spacing w:before="120" w:beforeAutospacing="0" w:after="0" w:afterAutospacing="0" w:line="276" w:lineRule="auto"/>
        <w:jc w:val="both"/>
        <w:rPr>
          <w:rFonts w:ascii="Book Antiqua" w:hAnsi="Book Antiqua"/>
          <w:b/>
          <w:bCs/>
          <w:sz w:val="22"/>
          <w:szCs w:val="22"/>
        </w:rPr>
      </w:pPr>
    </w:p>
    <w:p w:rsidR="004122DC" w:rsidRPr="00841021" w:rsidP="004122DC">
      <w:pPr>
        <w:pStyle w:val="NormalWeb"/>
        <w:spacing w:before="120" w:beforeAutospacing="0" w:after="0" w:afterAutospacing="0" w:line="276" w:lineRule="auto"/>
        <w:jc w:val="center"/>
        <w:rPr>
          <w:rFonts w:ascii="Book Antiqua" w:hAnsi="Book Antiqua"/>
          <w:sz w:val="22"/>
          <w:szCs w:val="22"/>
        </w:rPr>
      </w:pPr>
      <w:r w:rsidRPr="00841021" w:rsidR="00AA4420">
        <w:rPr>
          <w:rFonts w:ascii="Book Antiqua" w:hAnsi="Book Antiqua"/>
          <w:b/>
          <w:bCs/>
          <w:caps/>
          <w:spacing w:val="30"/>
          <w:sz w:val="22"/>
          <w:szCs w:val="22"/>
        </w:rPr>
        <w:br w:type="page"/>
      </w:r>
      <w:r w:rsidRPr="00841021">
        <w:rPr>
          <w:rFonts w:ascii="Book Antiqua" w:hAnsi="Book Antiqua"/>
          <w:b/>
          <w:bCs/>
          <w:caps/>
          <w:spacing w:val="30"/>
          <w:sz w:val="22"/>
          <w:szCs w:val="22"/>
        </w:rPr>
        <w:t>DOLOŽKA ZLUČITEĽNOSTI</w:t>
      </w:r>
    </w:p>
    <w:p w:rsidR="004122DC" w:rsidRPr="00841021" w:rsidP="004122DC">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b/>
          <w:bCs/>
          <w:sz w:val="22"/>
          <w:szCs w:val="22"/>
        </w:rPr>
        <w:t>návrhu zákona</w:t>
      </w:r>
      <w:r w:rsidRPr="00841021">
        <w:rPr>
          <w:rFonts w:ascii="Book Antiqua" w:hAnsi="Book Antiqua"/>
          <w:sz w:val="22"/>
          <w:szCs w:val="22"/>
        </w:rPr>
        <w:t xml:space="preserve"> </w:t>
      </w:r>
      <w:r w:rsidRPr="00841021">
        <w:rPr>
          <w:rFonts w:ascii="Book Antiqua" w:hAnsi="Book Antiqua"/>
          <w:b/>
          <w:bCs/>
          <w:sz w:val="22"/>
          <w:szCs w:val="22"/>
        </w:rPr>
        <w:t>s právom Európskej únie</w:t>
      </w:r>
    </w:p>
    <w:p w:rsidR="004122DC" w:rsidRPr="00841021" w:rsidP="004122DC">
      <w:pPr>
        <w:pStyle w:val="NormalWeb"/>
        <w:spacing w:before="120" w:beforeAutospacing="0" w:after="0" w:afterAutospacing="0" w:line="276" w:lineRule="auto"/>
        <w:jc w:val="both"/>
        <w:rPr>
          <w:rFonts w:ascii="Book Antiqua" w:hAnsi="Book Antiqua"/>
          <w:sz w:val="22"/>
          <w:szCs w:val="22"/>
        </w:rPr>
      </w:pPr>
      <w:r w:rsidRPr="00841021">
        <w:rPr>
          <w:rFonts w:ascii="Book Antiqua" w:hAnsi="Book Antiqua"/>
          <w:sz w:val="22"/>
          <w:szCs w:val="22"/>
        </w:rPr>
        <w:t> </w:t>
      </w:r>
    </w:p>
    <w:p w:rsidR="004122DC" w:rsidRPr="00841021" w:rsidP="004122DC">
      <w:pPr>
        <w:pStyle w:val="NormalWeb"/>
        <w:numPr>
          <w:ilvl w:val="0"/>
          <w:numId w:val="6"/>
        </w:numPr>
        <w:spacing w:before="120" w:beforeAutospacing="0" w:after="0" w:afterAutospacing="0" w:line="276" w:lineRule="auto"/>
        <w:ind w:left="426"/>
        <w:jc w:val="both"/>
        <w:rPr>
          <w:rFonts w:ascii="Book Antiqua" w:hAnsi="Book Antiqua"/>
          <w:sz w:val="22"/>
          <w:szCs w:val="22"/>
        </w:rPr>
      </w:pPr>
      <w:r w:rsidRPr="00841021">
        <w:rPr>
          <w:rFonts w:ascii="Book Antiqua" w:hAnsi="Book Antiqua"/>
          <w:b/>
          <w:bCs/>
          <w:sz w:val="22"/>
          <w:szCs w:val="22"/>
        </w:rPr>
        <w:t>Navrhovateľ zákona:</w:t>
      </w:r>
      <w:r w:rsidRPr="00841021">
        <w:rPr>
          <w:rFonts w:ascii="Book Antiqua" w:hAnsi="Book Antiqua"/>
          <w:sz w:val="22"/>
          <w:szCs w:val="22"/>
        </w:rPr>
        <w:t xml:space="preserve"> </w:t>
      </w:r>
      <w:r w:rsidR="00996040">
        <w:rPr>
          <w:rFonts w:ascii="Book Antiqua" w:hAnsi="Book Antiqua"/>
          <w:sz w:val="22"/>
          <w:szCs w:val="22"/>
        </w:rPr>
        <w:t>skupina poslancov</w:t>
      </w:r>
      <w:r w:rsidRPr="00841021">
        <w:rPr>
          <w:rFonts w:ascii="Book Antiqua" w:hAnsi="Book Antiqua"/>
          <w:sz w:val="22"/>
          <w:szCs w:val="22"/>
        </w:rPr>
        <w:t xml:space="preserve"> Národnej rady Slovenskej republiky</w:t>
      </w:r>
    </w:p>
    <w:p w:rsidR="004122DC" w:rsidRPr="00841021" w:rsidP="004122DC">
      <w:pPr>
        <w:pStyle w:val="NormalWeb"/>
        <w:spacing w:before="120" w:beforeAutospacing="0" w:after="0" w:afterAutospacing="0" w:line="276" w:lineRule="auto"/>
        <w:jc w:val="both"/>
        <w:rPr>
          <w:rFonts w:ascii="Book Antiqua" w:hAnsi="Book Antiqua"/>
          <w:sz w:val="22"/>
          <w:szCs w:val="22"/>
        </w:rPr>
      </w:pPr>
      <w:r w:rsidRPr="00841021">
        <w:rPr>
          <w:rFonts w:ascii="Book Antiqua" w:hAnsi="Book Antiqua"/>
          <w:sz w:val="22"/>
          <w:szCs w:val="22"/>
        </w:rPr>
        <w:t> </w:t>
      </w:r>
    </w:p>
    <w:p w:rsidR="004122DC" w:rsidRPr="00841021" w:rsidP="004122DC">
      <w:pPr>
        <w:pStyle w:val="NormalWeb"/>
        <w:numPr>
          <w:ilvl w:val="0"/>
          <w:numId w:val="6"/>
        </w:numPr>
        <w:spacing w:before="120" w:beforeAutospacing="0" w:after="0" w:afterAutospacing="0" w:line="276" w:lineRule="auto"/>
        <w:ind w:left="426"/>
        <w:jc w:val="both"/>
        <w:rPr>
          <w:rFonts w:ascii="Book Antiqua" w:hAnsi="Book Antiqua"/>
          <w:bCs/>
          <w:sz w:val="22"/>
          <w:szCs w:val="22"/>
        </w:rPr>
      </w:pPr>
      <w:r w:rsidRPr="00841021">
        <w:rPr>
          <w:rFonts w:ascii="Book Antiqua" w:hAnsi="Book Antiqua"/>
          <w:b/>
          <w:bCs/>
          <w:sz w:val="22"/>
          <w:szCs w:val="22"/>
        </w:rPr>
        <w:t>Názov návrhu zákona</w:t>
      </w:r>
      <w:r w:rsidRPr="00841021">
        <w:rPr>
          <w:rFonts w:ascii="Book Antiqua" w:hAnsi="Book Antiqua"/>
          <w:bCs/>
          <w:sz w:val="22"/>
          <w:szCs w:val="22"/>
        </w:rPr>
        <w:t xml:space="preserve">: návrh </w:t>
      </w:r>
      <w:r w:rsidRPr="00841021">
        <w:rPr>
          <w:rFonts w:ascii="Book Antiqua" w:hAnsi="Book Antiqua"/>
          <w:sz w:val="22"/>
          <w:szCs w:val="22"/>
        </w:rPr>
        <w:t xml:space="preserve">zákona, </w:t>
      </w:r>
      <w:r w:rsidRPr="00841021" w:rsidR="002F2A2F">
        <w:rPr>
          <w:rFonts w:ascii="Book Antiqua" w:hAnsi="Book Antiqua"/>
          <w:bCs/>
          <w:color w:val="000000"/>
          <w:sz w:val="22"/>
          <w:szCs w:val="22"/>
        </w:rPr>
        <w:t>ktorým sa  dopĺňa zákon č. 301/2005 Z. z. Trestný poriadok v znení neskorších predpisov</w:t>
      </w:r>
    </w:p>
    <w:p w:rsidR="004122DC" w:rsidRPr="00841021" w:rsidP="004122DC">
      <w:pPr>
        <w:pStyle w:val="NormalWeb"/>
        <w:spacing w:before="120" w:beforeAutospacing="0" w:after="0" w:afterAutospacing="0" w:line="276" w:lineRule="auto"/>
        <w:jc w:val="both"/>
        <w:rPr>
          <w:rFonts w:ascii="Book Antiqua" w:hAnsi="Book Antiqua"/>
          <w:bCs/>
          <w:sz w:val="22"/>
          <w:szCs w:val="22"/>
        </w:rPr>
      </w:pPr>
    </w:p>
    <w:p w:rsidR="004122DC" w:rsidRPr="00841021" w:rsidP="004122DC">
      <w:pPr>
        <w:pStyle w:val="NormalWeb"/>
        <w:spacing w:before="120" w:beforeAutospacing="0" w:after="0" w:afterAutospacing="0" w:line="276" w:lineRule="auto"/>
        <w:jc w:val="both"/>
        <w:rPr>
          <w:rFonts w:ascii="Book Antiqua" w:hAnsi="Book Antiqua"/>
          <w:b/>
          <w:bCs/>
          <w:sz w:val="22"/>
          <w:szCs w:val="22"/>
        </w:rPr>
      </w:pPr>
      <w:r w:rsidRPr="00841021">
        <w:rPr>
          <w:rFonts w:ascii="Book Antiqua" w:hAnsi="Book Antiqua"/>
          <w:b/>
          <w:bCs/>
          <w:sz w:val="22"/>
          <w:szCs w:val="22"/>
        </w:rPr>
        <w:t>3. Predmet návrhu zákona:</w:t>
      </w:r>
    </w:p>
    <w:p w:rsidR="004122DC" w:rsidRPr="00841021" w:rsidP="004122DC">
      <w:pPr>
        <w:pStyle w:val="NormalWeb"/>
        <w:numPr>
          <w:ilvl w:val="0"/>
          <w:numId w:val="5"/>
        </w:numPr>
        <w:spacing w:before="120" w:beforeAutospacing="0" w:after="0" w:afterAutospacing="0" w:line="276" w:lineRule="auto"/>
        <w:jc w:val="both"/>
        <w:rPr>
          <w:rFonts w:ascii="Book Antiqua" w:hAnsi="Book Antiqua"/>
          <w:bCs/>
          <w:sz w:val="22"/>
          <w:szCs w:val="22"/>
        </w:rPr>
      </w:pPr>
      <w:r w:rsidRPr="00841021">
        <w:rPr>
          <w:rFonts w:ascii="Book Antiqua" w:hAnsi="Book Antiqua"/>
          <w:bCs/>
          <w:sz w:val="22"/>
          <w:szCs w:val="22"/>
        </w:rPr>
        <w:t>nie je upravený v primárnom práve Európskej únie,</w:t>
      </w:r>
    </w:p>
    <w:p w:rsidR="004122DC" w:rsidRPr="00841021" w:rsidP="004122DC">
      <w:pPr>
        <w:pStyle w:val="NormalWeb"/>
        <w:numPr>
          <w:ilvl w:val="0"/>
          <w:numId w:val="5"/>
        </w:numPr>
        <w:spacing w:before="120" w:beforeAutospacing="0" w:after="0" w:afterAutospacing="0" w:line="276" w:lineRule="auto"/>
        <w:jc w:val="both"/>
        <w:rPr>
          <w:rFonts w:ascii="Book Antiqua" w:hAnsi="Book Antiqua"/>
          <w:bCs/>
          <w:sz w:val="22"/>
          <w:szCs w:val="22"/>
        </w:rPr>
      </w:pPr>
      <w:r w:rsidRPr="00841021">
        <w:rPr>
          <w:rFonts w:ascii="Book Antiqua" w:hAnsi="Book Antiqua"/>
          <w:bCs/>
          <w:sz w:val="22"/>
          <w:szCs w:val="22"/>
        </w:rPr>
        <w:t>nie je upravený v sekundárnom práve Európskej únie</w:t>
      </w:r>
      <w:r w:rsidRPr="00841021">
        <w:rPr>
          <w:rFonts w:ascii="Book Antiqua" w:hAnsi="Book Antiqua"/>
          <w:bCs/>
          <w:color w:val="000000"/>
          <w:sz w:val="22"/>
          <w:szCs w:val="22"/>
        </w:rPr>
        <w:t>,</w:t>
      </w:r>
    </w:p>
    <w:p w:rsidR="004122DC" w:rsidRPr="00841021" w:rsidP="004122DC">
      <w:pPr>
        <w:pStyle w:val="NormalWeb"/>
        <w:numPr>
          <w:ilvl w:val="0"/>
          <w:numId w:val="5"/>
        </w:numPr>
        <w:spacing w:before="120" w:beforeAutospacing="0" w:after="0" w:afterAutospacing="0" w:line="276" w:lineRule="auto"/>
        <w:jc w:val="both"/>
        <w:rPr>
          <w:rFonts w:ascii="Book Antiqua" w:hAnsi="Book Antiqua"/>
          <w:bCs/>
          <w:sz w:val="22"/>
          <w:szCs w:val="22"/>
        </w:rPr>
      </w:pPr>
      <w:r w:rsidRPr="00841021">
        <w:rPr>
          <w:rFonts w:ascii="Book Antiqua" w:hAnsi="Book Antiqua"/>
          <w:bCs/>
          <w:sz w:val="22"/>
          <w:szCs w:val="22"/>
        </w:rPr>
        <w:t>nie je obsiahnutý v judikatúre Súdneho dvora Európskej únie.</w:t>
      </w:r>
    </w:p>
    <w:p w:rsidR="004122DC" w:rsidRPr="00841021" w:rsidP="004122DC">
      <w:pPr>
        <w:pStyle w:val="NormalWeb"/>
        <w:spacing w:before="120" w:beforeAutospacing="0" w:after="0" w:afterAutospacing="0" w:line="300" w:lineRule="exact"/>
        <w:jc w:val="both"/>
        <w:rPr>
          <w:rFonts w:ascii="Book Antiqua" w:hAnsi="Book Antiqua"/>
          <w:b/>
          <w:bCs/>
          <w:sz w:val="22"/>
          <w:szCs w:val="22"/>
        </w:rPr>
      </w:pPr>
    </w:p>
    <w:p w:rsidR="00E73FE8" w:rsidRPr="00841021" w:rsidP="004122DC">
      <w:pPr>
        <w:pStyle w:val="NormalWeb"/>
        <w:spacing w:before="120" w:beforeAutospacing="0" w:after="0" w:afterAutospacing="0" w:line="276" w:lineRule="auto"/>
        <w:jc w:val="both"/>
        <w:rPr>
          <w:rFonts w:ascii="Book Antiqua" w:hAnsi="Book Antiqua"/>
          <w:sz w:val="22"/>
          <w:szCs w:val="22"/>
        </w:rPr>
      </w:pPr>
      <w:r w:rsidRPr="00841021" w:rsidR="004122DC">
        <w:rPr>
          <w:rFonts w:ascii="Book Antiqua" w:hAnsi="Book Antiqua"/>
          <w:b/>
          <w:bCs/>
          <w:color w:val="000000"/>
          <w:sz w:val="22"/>
          <w:szCs w:val="22"/>
        </w:rPr>
        <w:t>Vzhľadom</w:t>
      </w:r>
      <w:r w:rsidRPr="00841021" w:rsidR="004122DC">
        <w:rPr>
          <w:rFonts w:ascii="Book Antiqua" w:hAnsi="Book Antiqua"/>
          <w:b/>
          <w:bCs/>
          <w:color w:val="000000"/>
          <w:spacing w:val="29"/>
          <w:sz w:val="22"/>
          <w:szCs w:val="22"/>
        </w:rPr>
        <w:t xml:space="preserve"> </w:t>
      </w:r>
      <w:r w:rsidRPr="00841021" w:rsidR="004122DC">
        <w:rPr>
          <w:rFonts w:ascii="Book Antiqua" w:hAnsi="Book Antiqua"/>
          <w:b/>
          <w:bCs/>
          <w:color w:val="000000"/>
          <w:sz w:val="22"/>
          <w:szCs w:val="22"/>
        </w:rPr>
        <w:t>na</w:t>
      </w:r>
      <w:r w:rsidRPr="00841021" w:rsidR="004122DC">
        <w:rPr>
          <w:rFonts w:ascii="Book Antiqua" w:hAnsi="Book Antiqua"/>
          <w:b/>
          <w:bCs/>
          <w:color w:val="000000"/>
          <w:spacing w:val="29"/>
          <w:sz w:val="22"/>
          <w:szCs w:val="22"/>
        </w:rPr>
        <w:t xml:space="preserve"> </w:t>
      </w:r>
      <w:r w:rsidRPr="00841021" w:rsidR="004122DC">
        <w:rPr>
          <w:rFonts w:ascii="Book Antiqua" w:hAnsi="Book Antiqua"/>
          <w:b/>
          <w:bCs/>
          <w:color w:val="000000"/>
          <w:sz w:val="22"/>
          <w:szCs w:val="22"/>
        </w:rPr>
        <w:t>to,</w:t>
      </w:r>
      <w:r w:rsidRPr="00841021" w:rsidR="004122DC">
        <w:rPr>
          <w:rFonts w:ascii="Book Antiqua" w:hAnsi="Book Antiqua"/>
          <w:b/>
          <w:bCs/>
          <w:color w:val="000000"/>
          <w:spacing w:val="29"/>
          <w:sz w:val="22"/>
          <w:szCs w:val="22"/>
        </w:rPr>
        <w:t xml:space="preserve"> </w:t>
      </w:r>
      <w:r w:rsidRPr="00841021" w:rsidR="004122DC">
        <w:rPr>
          <w:rFonts w:ascii="Book Antiqua" w:hAnsi="Book Antiqua"/>
          <w:b/>
          <w:bCs/>
          <w:color w:val="000000"/>
          <w:sz w:val="22"/>
          <w:szCs w:val="22"/>
        </w:rPr>
        <w:t>že</w:t>
      </w:r>
      <w:r w:rsidRPr="00841021" w:rsidR="004122DC">
        <w:rPr>
          <w:rFonts w:ascii="Book Antiqua" w:hAnsi="Book Antiqua"/>
          <w:b/>
          <w:bCs/>
          <w:color w:val="000000"/>
          <w:spacing w:val="29"/>
          <w:sz w:val="22"/>
          <w:szCs w:val="22"/>
        </w:rPr>
        <w:t xml:space="preserve"> </w:t>
      </w:r>
      <w:r w:rsidRPr="00841021" w:rsidR="004122DC">
        <w:rPr>
          <w:rFonts w:ascii="Book Antiqua" w:hAnsi="Book Antiqua"/>
          <w:b/>
          <w:bCs/>
          <w:color w:val="000000"/>
          <w:sz w:val="22"/>
          <w:szCs w:val="22"/>
        </w:rPr>
        <w:t>predmet</w:t>
      </w:r>
      <w:r w:rsidRPr="00841021" w:rsidR="004122DC">
        <w:rPr>
          <w:rFonts w:ascii="Book Antiqua" w:hAnsi="Book Antiqua"/>
          <w:b/>
          <w:bCs/>
          <w:color w:val="000000"/>
          <w:spacing w:val="29"/>
          <w:sz w:val="22"/>
          <w:szCs w:val="22"/>
        </w:rPr>
        <w:t xml:space="preserve"> </w:t>
      </w:r>
      <w:r w:rsidRPr="00841021" w:rsidR="004122DC">
        <w:rPr>
          <w:rFonts w:ascii="Book Antiqua" w:hAnsi="Book Antiqua"/>
          <w:b/>
          <w:bCs/>
          <w:color w:val="000000"/>
          <w:sz w:val="22"/>
          <w:szCs w:val="22"/>
        </w:rPr>
        <w:t>návrhu</w:t>
      </w:r>
      <w:r w:rsidRPr="00841021" w:rsidR="004122DC">
        <w:rPr>
          <w:rFonts w:ascii="Book Antiqua" w:hAnsi="Book Antiqua"/>
          <w:b/>
          <w:bCs/>
          <w:color w:val="000000"/>
          <w:spacing w:val="29"/>
          <w:sz w:val="22"/>
          <w:szCs w:val="22"/>
        </w:rPr>
        <w:t xml:space="preserve"> </w:t>
      </w:r>
      <w:r w:rsidRPr="00841021" w:rsidR="004122DC">
        <w:rPr>
          <w:rFonts w:ascii="Book Antiqua" w:hAnsi="Book Antiqua"/>
          <w:b/>
          <w:bCs/>
          <w:color w:val="000000"/>
          <w:sz w:val="22"/>
          <w:szCs w:val="22"/>
        </w:rPr>
        <w:t>zákona</w:t>
      </w:r>
      <w:r w:rsidRPr="00841021" w:rsidR="004122DC">
        <w:rPr>
          <w:rFonts w:ascii="Book Antiqua" w:hAnsi="Book Antiqua"/>
          <w:b/>
          <w:bCs/>
          <w:color w:val="000000"/>
          <w:spacing w:val="29"/>
          <w:sz w:val="22"/>
          <w:szCs w:val="22"/>
        </w:rPr>
        <w:t xml:space="preserve"> </w:t>
      </w:r>
      <w:r w:rsidRPr="00841021" w:rsidR="004122DC">
        <w:rPr>
          <w:rFonts w:ascii="Book Antiqua" w:hAnsi="Book Antiqua"/>
          <w:b/>
          <w:bCs/>
          <w:color w:val="000000"/>
          <w:sz w:val="22"/>
          <w:szCs w:val="22"/>
        </w:rPr>
        <w:t>nie</w:t>
      </w:r>
      <w:r w:rsidRPr="00841021" w:rsidR="004122DC">
        <w:rPr>
          <w:rFonts w:ascii="Book Antiqua" w:hAnsi="Book Antiqua"/>
          <w:b/>
          <w:bCs/>
          <w:color w:val="000000"/>
          <w:spacing w:val="29"/>
          <w:sz w:val="22"/>
          <w:szCs w:val="22"/>
        </w:rPr>
        <w:t xml:space="preserve"> </w:t>
      </w:r>
      <w:r w:rsidRPr="00841021" w:rsidR="004122DC">
        <w:rPr>
          <w:rFonts w:ascii="Book Antiqua" w:hAnsi="Book Antiqua"/>
          <w:b/>
          <w:bCs/>
          <w:color w:val="000000"/>
          <w:sz w:val="22"/>
          <w:szCs w:val="22"/>
        </w:rPr>
        <w:t>je</w:t>
      </w:r>
      <w:r w:rsidRPr="00841021" w:rsidR="004122DC">
        <w:rPr>
          <w:rFonts w:ascii="Book Antiqua" w:hAnsi="Book Antiqua"/>
          <w:b/>
          <w:bCs/>
          <w:color w:val="000000"/>
          <w:spacing w:val="29"/>
          <w:sz w:val="22"/>
          <w:szCs w:val="22"/>
        </w:rPr>
        <w:t xml:space="preserve"> </w:t>
      </w:r>
      <w:r w:rsidRPr="00841021" w:rsidR="004122DC">
        <w:rPr>
          <w:rFonts w:ascii="Book Antiqua" w:hAnsi="Book Antiqua"/>
          <w:b/>
          <w:bCs/>
          <w:color w:val="000000"/>
          <w:sz w:val="22"/>
          <w:szCs w:val="22"/>
        </w:rPr>
        <w:t>upravený</w:t>
      </w:r>
      <w:r w:rsidRPr="00841021" w:rsidR="004122DC">
        <w:rPr>
          <w:rFonts w:ascii="Book Antiqua" w:hAnsi="Book Antiqua"/>
          <w:b/>
          <w:bCs/>
          <w:color w:val="000000"/>
          <w:spacing w:val="29"/>
          <w:sz w:val="22"/>
          <w:szCs w:val="22"/>
        </w:rPr>
        <w:t xml:space="preserve"> </w:t>
      </w:r>
      <w:r w:rsidRPr="00841021" w:rsidR="004122DC">
        <w:rPr>
          <w:rFonts w:ascii="Book Antiqua" w:hAnsi="Book Antiqua"/>
          <w:b/>
          <w:bCs/>
          <w:color w:val="000000"/>
          <w:sz w:val="22"/>
          <w:szCs w:val="22"/>
        </w:rPr>
        <w:t>v práve</w:t>
      </w:r>
      <w:r w:rsidRPr="00841021" w:rsidR="004122DC">
        <w:rPr>
          <w:rFonts w:ascii="Book Antiqua" w:hAnsi="Book Antiqua"/>
          <w:b/>
          <w:bCs/>
          <w:color w:val="000000"/>
          <w:spacing w:val="29"/>
          <w:sz w:val="22"/>
          <w:szCs w:val="22"/>
        </w:rPr>
        <w:t xml:space="preserve"> </w:t>
      </w:r>
      <w:r w:rsidRPr="00841021" w:rsidR="004122DC">
        <w:rPr>
          <w:rFonts w:ascii="Book Antiqua" w:hAnsi="Book Antiqua"/>
          <w:b/>
          <w:bCs/>
          <w:color w:val="000000"/>
          <w:sz w:val="22"/>
          <w:szCs w:val="22"/>
        </w:rPr>
        <w:t>Európskej</w:t>
      </w:r>
      <w:r w:rsidRPr="00841021" w:rsidR="004122DC">
        <w:rPr>
          <w:rFonts w:ascii="Book Antiqua" w:hAnsi="Book Antiqua"/>
          <w:b/>
          <w:bCs/>
          <w:color w:val="000000"/>
          <w:spacing w:val="29"/>
          <w:sz w:val="22"/>
          <w:szCs w:val="22"/>
        </w:rPr>
        <w:t xml:space="preserve"> </w:t>
      </w:r>
      <w:r w:rsidRPr="00841021" w:rsidR="004122DC">
        <w:rPr>
          <w:rFonts w:ascii="Book Antiqua" w:hAnsi="Book Antiqua"/>
          <w:b/>
          <w:bCs/>
          <w:color w:val="000000"/>
          <w:sz w:val="22"/>
          <w:szCs w:val="22"/>
        </w:rPr>
        <w:t>únie,</w:t>
      </w:r>
      <w:r w:rsidRPr="00841021" w:rsidR="004122DC">
        <w:rPr>
          <w:rFonts w:ascii="Book Antiqua" w:hAnsi="Book Antiqua"/>
          <w:b/>
          <w:bCs/>
          <w:color w:val="000000"/>
          <w:spacing w:val="29"/>
          <w:sz w:val="22"/>
          <w:szCs w:val="22"/>
        </w:rPr>
        <w:t xml:space="preserve"> </w:t>
      </w:r>
      <w:r w:rsidRPr="00841021" w:rsidR="004122DC">
        <w:rPr>
          <w:rFonts w:ascii="Book Antiqua" w:hAnsi="Book Antiqua"/>
          <w:b/>
          <w:bCs/>
          <w:color w:val="000000"/>
          <w:sz w:val="22"/>
          <w:szCs w:val="22"/>
        </w:rPr>
        <w:t>je bezpredmetné vyjadrovať sa k bodom 4. a 5.</w:t>
      </w:r>
    </w:p>
    <w:p w:rsidR="007C2704" w:rsidRPr="00841021" w:rsidP="000F6F50">
      <w:pPr>
        <w:pStyle w:val="NormalWeb"/>
        <w:spacing w:before="120" w:beforeAutospacing="0" w:after="0" w:afterAutospacing="0" w:line="276" w:lineRule="auto"/>
        <w:jc w:val="both"/>
        <w:rPr>
          <w:rFonts w:ascii="Book Antiqua" w:hAnsi="Book Antiqua"/>
          <w:b/>
          <w:bCs/>
          <w:sz w:val="22"/>
          <w:szCs w:val="22"/>
        </w:rPr>
      </w:pPr>
    </w:p>
    <w:p w:rsidR="007C2704" w:rsidRPr="00841021" w:rsidP="00696780">
      <w:pPr>
        <w:pStyle w:val="NormalWeb"/>
        <w:spacing w:before="120" w:beforeAutospacing="0" w:after="0" w:afterAutospacing="0" w:line="276" w:lineRule="auto"/>
        <w:rPr>
          <w:rFonts w:ascii="Book Antiqua" w:hAnsi="Book Antiqua"/>
          <w:sz w:val="22"/>
          <w:szCs w:val="22"/>
        </w:rPr>
      </w:pPr>
    </w:p>
    <w:p w:rsidR="007C2704" w:rsidRPr="00841021" w:rsidP="00696780">
      <w:pPr>
        <w:pStyle w:val="NormalWeb"/>
        <w:spacing w:before="120" w:beforeAutospacing="0" w:after="0" w:afterAutospacing="0" w:line="276" w:lineRule="auto"/>
        <w:rPr>
          <w:rFonts w:ascii="Book Antiqua" w:hAnsi="Book Antiqua"/>
          <w:sz w:val="22"/>
          <w:szCs w:val="22"/>
        </w:rPr>
      </w:pPr>
    </w:p>
    <w:p w:rsidR="007C2704" w:rsidRPr="00841021" w:rsidP="00696780">
      <w:pPr>
        <w:pStyle w:val="NormalWeb"/>
        <w:spacing w:before="120" w:beforeAutospacing="0" w:after="0" w:afterAutospacing="0" w:line="276" w:lineRule="auto"/>
        <w:rPr>
          <w:rFonts w:ascii="Book Antiqua" w:hAnsi="Book Antiqua"/>
          <w:sz w:val="22"/>
          <w:szCs w:val="22"/>
        </w:rPr>
      </w:pPr>
    </w:p>
    <w:p w:rsidR="007C2704" w:rsidRPr="00841021" w:rsidP="00696780">
      <w:pPr>
        <w:pStyle w:val="NormalWeb"/>
        <w:spacing w:before="120" w:beforeAutospacing="0" w:after="0" w:afterAutospacing="0" w:line="276" w:lineRule="auto"/>
        <w:rPr>
          <w:rFonts w:ascii="Book Antiqua" w:hAnsi="Book Antiqua"/>
          <w:sz w:val="22"/>
          <w:szCs w:val="22"/>
        </w:rPr>
      </w:pPr>
    </w:p>
    <w:p w:rsidR="002F2A2F" w:rsidRPr="00841021"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RPr="00841021"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RPr="00841021"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RPr="00841021"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RPr="00841021"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RPr="00841021"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RPr="00841021"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RPr="00841021"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RPr="00841021"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RPr="00841021"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RPr="00841021"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RPr="00841021"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RPr="00841021"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7C2704" w:rsidRPr="00841021" w:rsidP="00125657">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b/>
          <w:bCs/>
          <w:caps/>
          <w:color w:val="000000"/>
          <w:spacing w:val="30"/>
          <w:sz w:val="22"/>
          <w:szCs w:val="22"/>
        </w:rPr>
        <w:t>Doložka</w:t>
      </w:r>
    </w:p>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b/>
          <w:bCs/>
          <w:color w:val="000000"/>
          <w:sz w:val="22"/>
          <w:szCs w:val="22"/>
        </w:rPr>
        <w:t>vybraných vplyvov</w:t>
      </w:r>
    </w:p>
    <w:p w:rsidR="007C2704" w:rsidRPr="00841021" w:rsidP="00696780">
      <w:pPr>
        <w:pStyle w:val="NormalWeb"/>
        <w:spacing w:before="120" w:beforeAutospacing="0" w:after="0" w:afterAutospacing="0" w:line="276" w:lineRule="auto"/>
        <w:rPr>
          <w:rFonts w:ascii="Book Antiqua" w:hAnsi="Book Antiqua"/>
          <w:sz w:val="22"/>
          <w:szCs w:val="22"/>
        </w:rPr>
      </w:pPr>
      <w:r w:rsidRPr="00841021">
        <w:rPr>
          <w:rFonts w:ascii="Book Antiqua" w:hAnsi="Book Antiqua"/>
          <w:color w:val="000000"/>
          <w:sz w:val="22"/>
          <w:szCs w:val="22"/>
        </w:rPr>
        <w:t> </w:t>
      </w:r>
    </w:p>
    <w:p w:rsidR="007C2704" w:rsidRPr="00841021" w:rsidP="00696780">
      <w:pPr>
        <w:spacing w:before="120" w:line="276" w:lineRule="auto"/>
        <w:jc w:val="both"/>
        <w:rPr>
          <w:rFonts w:ascii="Book Antiqua" w:hAnsi="Book Antiqua"/>
          <w:sz w:val="22"/>
          <w:szCs w:val="22"/>
        </w:rPr>
      </w:pPr>
      <w:r w:rsidRPr="00841021">
        <w:rPr>
          <w:rFonts w:ascii="Book Antiqua" w:hAnsi="Book Antiqua"/>
          <w:b/>
          <w:bCs/>
          <w:color w:val="000000"/>
          <w:sz w:val="22"/>
          <w:szCs w:val="22"/>
        </w:rPr>
        <w:t xml:space="preserve">A.1. Názov materiálu: </w:t>
      </w:r>
      <w:r w:rsidRPr="00841021" w:rsidR="00E4766B">
        <w:rPr>
          <w:rFonts w:ascii="Book Antiqua" w:hAnsi="Book Antiqua"/>
          <w:bCs/>
          <w:sz w:val="22"/>
          <w:szCs w:val="22"/>
        </w:rPr>
        <w:t xml:space="preserve">návrh zákona, </w:t>
      </w:r>
      <w:r w:rsidRPr="00841021" w:rsidR="002F2A2F">
        <w:rPr>
          <w:rFonts w:ascii="Book Antiqua" w:hAnsi="Book Antiqua"/>
          <w:bCs/>
          <w:color w:val="000000"/>
          <w:sz w:val="22"/>
          <w:szCs w:val="22"/>
        </w:rPr>
        <w:t>ktorým sa  dopĺňa zákon č. 301/2005 Z. z. Trestný poriadok v znení neskorších predpisov</w:t>
      </w:r>
    </w:p>
    <w:p w:rsidR="00423C63" w:rsidRPr="00841021" w:rsidP="00696780">
      <w:pPr>
        <w:pStyle w:val="NormalWeb"/>
        <w:spacing w:before="120" w:beforeAutospacing="0" w:after="0" w:afterAutospacing="0" w:line="276" w:lineRule="auto"/>
        <w:jc w:val="both"/>
        <w:rPr>
          <w:rFonts w:ascii="Book Antiqua" w:hAnsi="Book Antiqua"/>
          <w:b/>
          <w:bCs/>
          <w:color w:val="000000"/>
          <w:sz w:val="22"/>
          <w:szCs w:val="22"/>
        </w:rPr>
      </w:pPr>
    </w:p>
    <w:p w:rsidR="007C2704" w:rsidRPr="008636AC" w:rsidP="00696780">
      <w:pPr>
        <w:pStyle w:val="NormalWeb"/>
        <w:spacing w:before="120" w:beforeAutospacing="0" w:after="0" w:afterAutospacing="0" w:line="276" w:lineRule="auto"/>
        <w:jc w:val="both"/>
        <w:rPr>
          <w:rFonts w:ascii="Book Antiqua" w:hAnsi="Book Antiqua"/>
          <w:sz w:val="22"/>
          <w:szCs w:val="22"/>
        </w:rPr>
      </w:pPr>
      <w:r w:rsidRPr="00841021">
        <w:rPr>
          <w:rFonts w:ascii="Book Antiqua" w:hAnsi="Book Antiqua"/>
          <w:b/>
          <w:bCs/>
          <w:color w:val="000000"/>
          <w:sz w:val="22"/>
          <w:szCs w:val="22"/>
        </w:rPr>
        <w:t>Termín začatia a ukončenia PPK:</w:t>
      </w:r>
      <w:r w:rsidRPr="00841021">
        <w:rPr>
          <w:rFonts w:ascii="Book Antiqua" w:hAnsi="Book Antiqua"/>
          <w:color w:val="000000"/>
          <w:sz w:val="22"/>
          <w:szCs w:val="22"/>
        </w:rPr>
        <w:t xml:space="preserve"> </w:t>
      </w:r>
      <w:r w:rsidRPr="008636AC">
        <w:rPr>
          <w:rFonts w:ascii="Book Antiqua" w:hAnsi="Book Antiqua"/>
          <w:color w:val="000000"/>
          <w:sz w:val="22"/>
          <w:szCs w:val="22"/>
        </w:rPr>
        <w:t>bezpredmetné</w:t>
      </w:r>
    </w:p>
    <w:p w:rsidR="007C2704" w:rsidRPr="00841021" w:rsidP="00696780">
      <w:pPr>
        <w:pStyle w:val="NormalWeb"/>
        <w:spacing w:before="120" w:beforeAutospacing="0" w:after="0" w:afterAutospacing="0" w:line="276" w:lineRule="auto"/>
        <w:jc w:val="both"/>
        <w:rPr>
          <w:rFonts w:ascii="Book Antiqua" w:hAnsi="Book Antiqua"/>
          <w:sz w:val="22"/>
          <w:szCs w:val="22"/>
        </w:rPr>
      </w:pPr>
    </w:p>
    <w:p w:rsidR="007C2704" w:rsidRPr="00841021" w:rsidP="00696780">
      <w:pPr>
        <w:pStyle w:val="NormalWeb"/>
        <w:spacing w:before="120" w:beforeAutospacing="0" w:after="0" w:afterAutospacing="0" w:line="276" w:lineRule="auto"/>
        <w:jc w:val="both"/>
        <w:rPr>
          <w:rFonts w:ascii="Book Antiqua" w:hAnsi="Book Antiqua"/>
          <w:sz w:val="22"/>
          <w:szCs w:val="22"/>
        </w:rPr>
      </w:pPr>
      <w:r w:rsidRPr="00841021">
        <w:rPr>
          <w:rFonts w:ascii="Book Antiqua" w:hAnsi="Book Antiqua"/>
          <w:b/>
          <w:bCs/>
          <w:color w:val="000000"/>
          <w:sz w:val="22"/>
          <w:szCs w:val="22"/>
        </w:rPr>
        <w:t>A.2. Vplyvy:</w:t>
      </w:r>
    </w:p>
    <w:tbl>
      <w:tblPr>
        <w:tblStyle w:val="TableNormal"/>
        <w:tblW w:w="5000" w:type="pct"/>
        <w:tblCellMar>
          <w:left w:w="0" w:type="dxa"/>
          <w:right w:w="0" w:type="dxa"/>
        </w:tblCellMar>
        <w:tblLook w:val="0000"/>
      </w:tblPr>
      <w:tblGrid>
        <w:gridCol w:w="5518"/>
        <w:gridCol w:w="1192"/>
        <w:gridCol w:w="1181"/>
        <w:gridCol w:w="1197"/>
      </w:tblGrid>
      <w:tr w:rsidTr="00D66F7C">
        <w:tblPrEx>
          <w:tblW w:w="5000" w:type="pct"/>
          <w:tblCellMar>
            <w:left w:w="0" w:type="dxa"/>
            <w:right w:w="0" w:type="dxa"/>
          </w:tblCellMar>
          <w:tblLook w:val="0000"/>
        </w:tblPrEx>
        <w:tc>
          <w:tcPr>
            <w:tcW w:w="5518"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rPr>
                <w:rFonts w:ascii="Book Antiqua" w:hAnsi="Book Antiqua"/>
                <w:sz w:val="22"/>
                <w:szCs w:val="22"/>
              </w:rPr>
            </w:pPr>
            <w:r w:rsidRPr="00841021">
              <w:rPr>
                <w:rFonts w:ascii="Book Antiqua" w:hAnsi="Book Antiqua"/>
                <w:color w:val="000000"/>
                <w:sz w:val="22"/>
                <w:szCs w:val="22"/>
              </w:rPr>
              <w:t> </w:t>
            </w:r>
          </w:p>
        </w:tc>
        <w:tc>
          <w:tcPr>
            <w:tcW w:w="1192"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color w:val="000000"/>
                <w:sz w:val="22"/>
                <w:szCs w:val="22"/>
              </w:rPr>
              <w:t> Pozitívne </w:t>
            </w:r>
          </w:p>
        </w:tc>
        <w:tc>
          <w:tcPr>
            <w:tcW w:w="1181"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color w:val="000000"/>
                <w:sz w:val="22"/>
                <w:szCs w:val="22"/>
              </w:rPr>
              <w:t> Žiadne </w:t>
            </w:r>
          </w:p>
        </w:tc>
        <w:tc>
          <w:tcPr>
            <w:tcW w:w="1197"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color w:val="000000"/>
                <w:sz w:val="22"/>
                <w:szCs w:val="22"/>
              </w:rPr>
              <w:t> Negatívne </w:t>
            </w:r>
          </w:p>
        </w:tc>
      </w:tr>
      <w:tr w:rsidTr="00D66F7C">
        <w:tblPrEx>
          <w:tblW w:w="5000" w:type="pct"/>
          <w:tblCellMar>
            <w:left w:w="0" w:type="dxa"/>
            <w:right w:w="0" w:type="dxa"/>
          </w:tblCellMar>
          <w:tblLook w:val="0000"/>
        </w:tblPrEx>
        <w:tc>
          <w:tcPr>
            <w:tcW w:w="5518"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rPr>
                <w:rFonts w:ascii="Book Antiqua" w:hAnsi="Book Antiqua"/>
                <w:sz w:val="22"/>
                <w:szCs w:val="22"/>
              </w:rPr>
            </w:pPr>
            <w:r w:rsidRPr="00841021">
              <w:rPr>
                <w:rFonts w:ascii="Book Antiqua" w:hAnsi="Book Antiqua"/>
                <w:color w:val="000000"/>
                <w:sz w:val="22"/>
                <w:szCs w:val="22"/>
              </w:rPr>
              <w:t>1. Vplyvy na rozpočet verejnej správy</w:t>
            </w:r>
          </w:p>
        </w:tc>
        <w:tc>
          <w:tcPr>
            <w:tcW w:w="1192"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sidR="00E4766B">
              <w:rPr>
                <w:rFonts w:ascii="Book Antiqua" w:hAnsi="Book Antiqua"/>
                <w:sz w:val="22"/>
                <w:szCs w:val="22"/>
              </w:rPr>
              <w:t>x</w:t>
            </w:r>
          </w:p>
        </w:tc>
        <w:tc>
          <w:tcPr>
            <w:tcW w:w="1197"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p>
        </w:tc>
      </w:tr>
      <w:tr w:rsidTr="00D66F7C">
        <w:tblPrEx>
          <w:tblW w:w="5000" w:type="pct"/>
          <w:tblCellMar>
            <w:left w:w="0" w:type="dxa"/>
            <w:right w:w="0" w:type="dxa"/>
          </w:tblCellMar>
          <w:tblLook w:val="0000"/>
        </w:tblPrEx>
        <w:tc>
          <w:tcPr>
            <w:tcW w:w="5518"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rPr>
                <w:rFonts w:ascii="Book Antiqua" w:hAnsi="Book Antiqua"/>
                <w:sz w:val="22"/>
                <w:szCs w:val="22"/>
              </w:rPr>
            </w:pPr>
            <w:r w:rsidRPr="00841021">
              <w:rPr>
                <w:rFonts w:ascii="Book Antiqua" w:hAnsi="Book Antiqua"/>
                <w:color w:val="000000"/>
                <w:sz w:val="22"/>
                <w:szCs w:val="22"/>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sidR="00690D50">
              <w:rPr>
                <w:rFonts w:ascii="Book Antiqua" w:hAnsi="Book Antiqua"/>
                <w:sz w:val="22"/>
                <w:szCs w:val="22"/>
              </w:rPr>
              <w:t>x</w:t>
            </w:r>
          </w:p>
        </w:tc>
        <w:tc>
          <w:tcPr>
            <w:tcW w:w="1197"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p>
        </w:tc>
      </w:tr>
      <w:tr w:rsidTr="00D66F7C">
        <w:tblPrEx>
          <w:tblW w:w="5000" w:type="pct"/>
          <w:tblCellMar>
            <w:left w:w="0" w:type="dxa"/>
            <w:right w:w="0" w:type="dxa"/>
          </w:tblCellMar>
          <w:tblLook w:val="0000"/>
        </w:tblPrEx>
        <w:tc>
          <w:tcPr>
            <w:tcW w:w="5518"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rPr>
                <w:rFonts w:ascii="Book Antiqua" w:hAnsi="Book Antiqua"/>
                <w:sz w:val="22"/>
                <w:szCs w:val="22"/>
              </w:rPr>
            </w:pPr>
            <w:r w:rsidRPr="00841021">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rPr>
                <w:rFonts w:ascii="Book Antiqua" w:hAnsi="Book Antiqua"/>
                <w:sz w:val="22"/>
                <w:szCs w:val="22"/>
              </w:rPr>
            </w:pPr>
            <w:r w:rsidRPr="00841021">
              <w:rPr>
                <w:rFonts w:ascii="Book Antiqua" w:hAnsi="Book Antiqua"/>
                <w:color w:val="000000"/>
                <w:sz w:val="22"/>
                <w:szCs w:val="22"/>
              </w:rPr>
              <w:t> </w:t>
            </w:r>
          </w:p>
        </w:tc>
      </w:tr>
      <w:tr w:rsidTr="00D66F7C">
        <w:tblPrEx>
          <w:tblW w:w="5000" w:type="pct"/>
          <w:tblCellMar>
            <w:left w:w="0" w:type="dxa"/>
            <w:right w:w="0" w:type="dxa"/>
          </w:tblCellMar>
          <w:tblLook w:val="0000"/>
        </w:tblPrEx>
        <w:tc>
          <w:tcPr>
            <w:tcW w:w="5518"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rPr>
                <w:rFonts w:ascii="Book Antiqua" w:hAnsi="Book Antiqua"/>
                <w:sz w:val="22"/>
                <w:szCs w:val="22"/>
              </w:rPr>
            </w:pPr>
            <w:r w:rsidRPr="00841021">
              <w:rPr>
                <w:rFonts w:ascii="Book Antiqua" w:hAnsi="Book Antiqua"/>
                <w:color w:val="000000"/>
                <w:sz w:val="22"/>
                <w:szCs w:val="22"/>
              </w:rPr>
              <w:t>– vplyvy na hospodárenie obyvateľstva,</w:t>
            </w:r>
          </w:p>
        </w:tc>
        <w:tc>
          <w:tcPr>
            <w:tcW w:w="1192"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sidR="00E4766B">
              <w:rPr>
                <w:rFonts w:ascii="Book Antiqua" w:hAnsi="Book Antiqua"/>
                <w:sz w:val="22"/>
                <w:szCs w:val="22"/>
              </w:rPr>
              <w:t>x</w:t>
            </w:r>
          </w:p>
        </w:tc>
        <w:tc>
          <w:tcPr>
            <w:tcW w:w="1197"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color w:val="000000"/>
                <w:sz w:val="22"/>
                <w:szCs w:val="22"/>
              </w:rPr>
              <w:t> </w:t>
            </w:r>
          </w:p>
        </w:tc>
      </w:tr>
      <w:tr w:rsidTr="00D66F7C">
        <w:tblPrEx>
          <w:tblW w:w="5000" w:type="pct"/>
          <w:tblCellMar>
            <w:left w:w="0" w:type="dxa"/>
            <w:right w:w="0" w:type="dxa"/>
          </w:tblCellMar>
          <w:tblLook w:val="0000"/>
        </w:tblPrEx>
        <w:tc>
          <w:tcPr>
            <w:tcW w:w="5518"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rPr>
                <w:rFonts w:ascii="Book Antiqua" w:hAnsi="Book Antiqua"/>
                <w:sz w:val="22"/>
                <w:szCs w:val="22"/>
              </w:rPr>
            </w:pPr>
            <w:r w:rsidRPr="00841021">
              <w:rPr>
                <w:rFonts w:ascii="Book Antiqua" w:hAnsi="Book Antiqua"/>
                <w:color w:val="000000"/>
                <w:sz w:val="22"/>
                <w:szCs w:val="22"/>
              </w:rPr>
              <w:t>– sociálnu exklúziu,</w:t>
            </w:r>
          </w:p>
        </w:tc>
        <w:tc>
          <w:tcPr>
            <w:tcW w:w="1192"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color w:val="000000"/>
                <w:sz w:val="22"/>
                <w:szCs w:val="22"/>
              </w:rPr>
              <w:t>x</w:t>
            </w:r>
          </w:p>
        </w:tc>
        <w:tc>
          <w:tcPr>
            <w:tcW w:w="1197"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color w:val="000000"/>
                <w:sz w:val="22"/>
                <w:szCs w:val="22"/>
              </w:rPr>
              <w:t> </w:t>
            </w:r>
          </w:p>
        </w:tc>
      </w:tr>
      <w:tr w:rsidTr="00D66F7C">
        <w:tblPrEx>
          <w:tblW w:w="5000" w:type="pct"/>
          <w:tblCellMar>
            <w:left w:w="0" w:type="dxa"/>
            <w:right w:w="0" w:type="dxa"/>
          </w:tblCellMar>
          <w:tblLook w:val="0000"/>
        </w:tblPrEx>
        <w:tc>
          <w:tcPr>
            <w:tcW w:w="5518"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rPr>
                <w:rFonts w:ascii="Book Antiqua" w:hAnsi="Book Antiqua"/>
                <w:sz w:val="22"/>
                <w:szCs w:val="22"/>
              </w:rPr>
            </w:pPr>
            <w:r w:rsidRPr="00841021">
              <w:rPr>
                <w:rFonts w:ascii="Book Antiqua" w:hAnsi="Book Antiqua"/>
                <w:color w:val="000000"/>
                <w:sz w:val="22"/>
                <w:szCs w:val="22"/>
              </w:rPr>
              <w:t>– rovnosť príležitostí a rodovú rovnosť a vplyvy na zamestnanosť</w:t>
            </w:r>
          </w:p>
        </w:tc>
        <w:tc>
          <w:tcPr>
            <w:tcW w:w="1192"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sz w:val="22"/>
                <w:szCs w:val="22"/>
              </w:rPr>
              <w:t>x</w:t>
            </w:r>
          </w:p>
        </w:tc>
        <w:tc>
          <w:tcPr>
            <w:tcW w:w="1197"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color w:val="000000"/>
                <w:sz w:val="22"/>
                <w:szCs w:val="22"/>
              </w:rPr>
              <w:t> </w:t>
            </w:r>
          </w:p>
        </w:tc>
      </w:tr>
      <w:tr w:rsidTr="00D66F7C">
        <w:tblPrEx>
          <w:tblW w:w="5000" w:type="pct"/>
          <w:tblCellMar>
            <w:left w:w="0" w:type="dxa"/>
            <w:right w:w="0" w:type="dxa"/>
          </w:tblCellMar>
          <w:tblLook w:val="0000"/>
        </w:tblPrEx>
        <w:tc>
          <w:tcPr>
            <w:tcW w:w="5518"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rPr>
                <w:rFonts w:ascii="Book Antiqua" w:hAnsi="Book Antiqua"/>
                <w:sz w:val="22"/>
                <w:szCs w:val="22"/>
              </w:rPr>
            </w:pPr>
            <w:r w:rsidRPr="00841021">
              <w:rPr>
                <w:rFonts w:ascii="Book Antiqua" w:hAnsi="Book Antiqua"/>
                <w:color w:val="000000"/>
                <w:sz w:val="22"/>
                <w:szCs w:val="22"/>
              </w:rPr>
              <w:t>4. Vplyvy na životné prostredie</w:t>
            </w:r>
          </w:p>
        </w:tc>
        <w:tc>
          <w:tcPr>
            <w:tcW w:w="1192"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color w:val="000000"/>
                <w:sz w:val="22"/>
                <w:szCs w:val="22"/>
              </w:rPr>
              <w:t>x</w:t>
            </w:r>
          </w:p>
        </w:tc>
        <w:tc>
          <w:tcPr>
            <w:tcW w:w="1197"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color w:val="000000"/>
                <w:sz w:val="22"/>
                <w:szCs w:val="22"/>
              </w:rPr>
              <w:t> </w:t>
            </w:r>
          </w:p>
        </w:tc>
      </w:tr>
      <w:tr w:rsidTr="00D66F7C">
        <w:tblPrEx>
          <w:tblW w:w="5000" w:type="pct"/>
          <w:tblCellMar>
            <w:left w:w="0" w:type="dxa"/>
            <w:right w:w="0" w:type="dxa"/>
          </w:tblCellMar>
          <w:tblLook w:val="0000"/>
        </w:tblPrEx>
        <w:tc>
          <w:tcPr>
            <w:tcW w:w="5518"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rPr>
                <w:rFonts w:ascii="Book Antiqua" w:hAnsi="Book Antiqua"/>
                <w:sz w:val="22"/>
                <w:szCs w:val="22"/>
              </w:rPr>
            </w:pPr>
            <w:r w:rsidRPr="00841021">
              <w:rPr>
                <w:rFonts w:ascii="Book Antiqua" w:hAnsi="Book Antiqua"/>
                <w:color w:val="000000"/>
                <w:sz w:val="22"/>
                <w:szCs w:val="22"/>
              </w:rPr>
              <w:t>5. Vplyvy na informatizáciu spoločnosti</w:t>
            </w:r>
          </w:p>
        </w:tc>
        <w:tc>
          <w:tcPr>
            <w:tcW w:w="1192"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sidR="009F4A5D">
              <w:rPr>
                <w:rFonts w:ascii="Book Antiqua" w:hAnsi="Book Antiqua"/>
                <w:sz w:val="22"/>
                <w:szCs w:val="22"/>
              </w:rPr>
              <w:t>x</w:t>
            </w:r>
          </w:p>
        </w:tc>
        <w:tc>
          <w:tcPr>
            <w:tcW w:w="1197"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color w:val="000000"/>
                <w:sz w:val="22"/>
                <w:szCs w:val="22"/>
              </w:rPr>
              <w:t> </w:t>
            </w:r>
          </w:p>
        </w:tc>
      </w:tr>
      <w:tr w:rsidTr="00D66F7C">
        <w:tblPrEx>
          <w:tblW w:w="5000" w:type="pct"/>
          <w:tblCellMar>
            <w:left w:w="0" w:type="dxa"/>
            <w:right w:w="0" w:type="dxa"/>
          </w:tblCellMar>
          <w:tblLook w:val="0000"/>
        </w:tblPrEx>
        <w:tc>
          <w:tcPr>
            <w:tcW w:w="5518" w:type="dxa"/>
            <w:tcBorders>
              <w:top w:val="single" w:sz="6" w:space="0" w:color="000000"/>
              <w:left w:val="single" w:sz="6" w:space="0" w:color="000000"/>
              <w:bottom w:val="single" w:sz="6" w:space="0" w:color="000000"/>
              <w:right w:val="single" w:sz="6" w:space="0" w:color="000000"/>
            </w:tcBorders>
            <w:vAlign w:val="center"/>
          </w:tcPr>
          <w:p w:rsidR="00D66F7C" w:rsidRPr="00841021" w:rsidP="00696780">
            <w:pPr>
              <w:pStyle w:val="NormalWeb"/>
              <w:spacing w:before="120" w:beforeAutospacing="0" w:after="0" w:afterAutospacing="0" w:line="276" w:lineRule="auto"/>
              <w:rPr>
                <w:rFonts w:ascii="Book Antiqua" w:hAnsi="Book Antiqua"/>
                <w:color w:val="000000"/>
                <w:sz w:val="22"/>
                <w:szCs w:val="22"/>
              </w:rPr>
            </w:pPr>
            <w:r>
              <w:rPr>
                <w:rFonts w:ascii="Book Antiqua" w:hAnsi="Book Antiqua"/>
                <w:color w:val="000000"/>
                <w:sz w:val="22"/>
                <w:szCs w:val="22"/>
              </w:rPr>
              <w:t>6. Vplyv na manželstvo, rodičovstvo, rodinu a deti</w:t>
            </w:r>
          </w:p>
        </w:tc>
        <w:tc>
          <w:tcPr>
            <w:tcW w:w="1192" w:type="dxa"/>
            <w:tcBorders>
              <w:top w:val="single" w:sz="6" w:space="0" w:color="000000"/>
              <w:left w:val="single" w:sz="6" w:space="0" w:color="000000"/>
              <w:bottom w:val="single" w:sz="6" w:space="0" w:color="000000"/>
              <w:right w:val="single" w:sz="6" w:space="0" w:color="000000"/>
            </w:tcBorders>
            <w:vAlign w:val="center"/>
          </w:tcPr>
          <w:p w:rsidR="00D66F7C" w:rsidRPr="00841021" w:rsidP="00696780">
            <w:pPr>
              <w:pStyle w:val="NormalWeb"/>
              <w:spacing w:before="120" w:beforeAutospacing="0" w:after="0" w:afterAutospacing="0" w:line="276" w:lineRule="auto"/>
              <w:jc w:val="center"/>
              <w:rPr>
                <w:rFonts w:ascii="Book Antiqua" w:hAnsi="Book Antiqua"/>
                <w:color w:val="000000"/>
                <w:sz w:val="22"/>
                <w:szCs w:val="22"/>
              </w:rPr>
            </w:pPr>
          </w:p>
        </w:tc>
        <w:tc>
          <w:tcPr>
            <w:tcW w:w="1181" w:type="dxa"/>
            <w:tcBorders>
              <w:top w:val="single" w:sz="6" w:space="0" w:color="000000"/>
              <w:left w:val="single" w:sz="6" w:space="0" w:color="000000"/>
              <w:bottom w:val="single" w:sz="6" w:space="0" w:color="000000"/>
              <w:right w:val="single" w:sz="6" w:space="0" w:color="000000"/>
            </w:tcBorders>
            <w:vAlign w:val="center"/>
          </w:tcPr>
          <w:p w:rsidR="00D66F7C" w:rsidRPr="00841021" w:rsidP="00696780">
            <w:pPr>
              <w:pStyle w:val="NormalWeb"/>
              <w:spacing w:before="120" w:beforeAutospacing="0" w:after="0" w:afterAutospacing="0" w:line="276" w:lineRule="auto"/>
              <w:jc w:val="center"/>
              <w:rPr>
                <w:rFonts w:ascii="Book Antiqua" w:hAnsi="Book Antiqua"/>
                <w:sz w:val="22"/>
                <w:szCs w:val="22"/>
              </w:rPr>
            </w:pPr>
            <w:r>
              <w:rPr>
                <w:rFonts w:ascii="Book Antiqua" w:hAnsi="Book Antiqua"/>
                <w:sz w:val="22"/>
                <w:szCs w:val="22"/>
              </w:rPr>
              <w:t>x</w:t>
            </w:r>
          </w:p>
        </w:tc>
        <w:tc>
          <w:tcPr>
            <w:tcW w:w="1197" w:type="dxa"/>
            <w:tcBorders>
              <w:top w:val="single" w:sz="6" w:space="0" w:color="000000"/>
              <w:left w:val="single" w:sz="6" w:space="0" w:color="000000"/>
              <w:bottom w:val="single" w:sz="6" w:space="0" w:color="000000"/>
              <w:right w:val="single" w:sz="6" w:space="0" w:color="000000"/>
            </w:tcBorders>
            <w:vAlign w:val="center"/>
          </w:tcPr>
          <w:p w:rsidR="00D66F7C" w:rsidRPr="00841021" w:rsidP="00696780">
            <w:pPr>
              <w:pStyle w:val="NormalWeb"/>
              <w:spacing w:before="120" w:beforeAutospacing="0" w:after="0" w:afterAutospacing="0" w:line="276" w:lineRule="auto"/>
              <w:jc w:val="center"/>
              <w:rPr>
                <w:rFonts w:ascii="Book Antiqua" w:hAnsi="Book Antiqua"/>
                <w:color w:val="000000"/>
                <w:sz w:val="22"/>
                <w:szCs w:val="22"/>
              </w:rPr>
            </w:pPr>
          </w:p>
        </w:tc>
      </w:tr>
      <w:tr w:rsidTr="00D66F7C">
        <w:tblPrEx>
          <w:tblW w:w="5000" w:type="pct"/>
          <w:tblCellMar>
            <w:left w:w="0" w:type="dxa"/>
            <w:right w:w="0" w:type="dxa"/>
          </w:tblCellMar>
          <w:tblLook w:val="0000"/>
        </w:tblPrEx>
        <w:tc>
          <w:tcPr>
            <w:tcW w:w="5518" w:type="dxa"/>
            <w:tcBorders>
              <w:top w:val="single" w:sz="6" w:space="0" w:color="000000"/>
              <w:left w:val="single" w:sz="6" w:space="0" w:color="000000"/>
              <w:bottom w:val="single" w:sz="6" w:space="0" w:color="000000"/>
              <w:right w:val="single" w:sz="6" w:space="0" w:color="000000"/>
            </w:tcBorders>
            <w:vAlign w:val="center"/>
          </w:tcPr>
          <w:p w:rsidR="00D66F7C" w:rsidRPr="00841021" w:rsidP="00696780">
            <w:pPr>
              <w:pStyle w:val="NormalWeb"/>
              <w:spacing w:before="120" w:beforeAutospacing="0" w:after="0" w:afterAutospacing="0" w:line="276" w:lineRule="auto"/>
              <w:rPr>
                <w:rFonts w:ascii="Book Antiqua" w:hAnsi="Book Antiqua"/>
                <w:color w:val="000000"/>
                <w:sz w:val="22"/>
                <w:szCs w:val="22"/>
              </w:rPr>
            </w:pPr>
            <w:r>
              <w:rPr>
                <w:rFonts w:ascii="Book Antiqua" w:hAnsi="Book Antiqua"/>
                <w:color w:val="000000"/>
                <w:sz w:val="22"/>
                <w:szCs w:val="22"/>
              </w:rPr>
              <w:t>7. Vplyv na služby verejnej správy pre občana</w:t>
            </w:r>
          </w:p>
        </w:tc>
        <w:tc>
          <w:tcPr>
            <w:tcW w:w="1192" w:type="dxa"/>
            <w:tcBorders>
              <w:top w:val="single" w:sz="6" w:space="0" w:color="000000"/>
              <w:left w:val="single" w:sz="6" w:space="0" w:color="000000"/>
              <w:bottom w:val="single" w:sz="6" w:space="0" w:color="000000"/>
              <w:right w:val="single" w:sz="6" w:space="0" w:color="000000"/>
            </w:tcBorders>
            <w:vAlign w:val="center"/>
          </w:tcPr>
          <w:p w:rsidR="00D66F7C" w:rsidRPr="00841021" w:rsidP="00696780">
            <w:pPr>
              <w:pStyle w:val="NormalWeb"/>
              <w:spacing w:before="120" w:beforeAutospacing="0" w:after="0" w:afterAutospacing="0" w:line="276" w:lineRule="auto"/>
              <w:jc w:val="center"/>
              <w:rPr>
                <w:rFonts w:ascii="Book Antiqua" w:hAnsi="Book Antiqua"/>
                <w:color w:val="000000"/>
                <w:sz w:val="22"/>
                <w:szCs w:val="22"/>
              </w:rPr>
            </w:pPr>
          </w:p>
        </w:tc>
        <w:tc>
          <w:tcPr>
            <w:tcW w:w="1181" w:type="dxa"/>
            <w:tcBorders>
              <w:top w:val="single" w:sz="6" w:space="0" w:color="000000"/>
              <w:left w:val="single" w:sz="6" w:space="0" w:color="000000"/>
              <w:bottom w:val="single" w:sz="6" w:space="0" w:color="000000"/>
              <w:right w:val="single" w:sz="6" w:space="0" w:color="000000"/>
            </w:tcBorders>
            <w:vAlign w:val="center"/>
          </w:tcPr>
          <w:p w:rsidR="00D66F7C" w:rsidRPr="00841021" w:rsidP="00696780">
            <w:pPr>
              <w:pStyle w:val="NormalWeb"/>
              <w:spacing w:before="120" w:beforeAutospacing="0" w:after="0" w:afterAutospacing="0" w:line="276" w:lineRule="auto"/>
              <w:jc w:val="center"/>
              <w:rPr>
                <w:rFonts w:ascii="Book Antiqua" w:hAnsi="Book Antiqua"/>
                <w:sz w:val="22"/>
                <w:szCs w:val="22"/>
              </w:rPr>
            </w:pPr>
            <w:r>
              <w:rPr>
                <w:rFonts w:ascii="Book Antiqua" w:hAnsi="Book Antiqua"/>
                <w:sz w:val="22"/>
                <w:szCs w:val="22"/>
              </w:rPr>
              <w:t>x</w:t>
            </w:r>
          </w:p>
        </w:tc>
        <w:tc>
          <w:tcPr>
            <w:tcW w:w="1197" w:type="dxa"/>
            <w:tcBorders>
              <w:top w:val="single" w:sz="6" w:space="0" w:color="000000"/>
              <w:left w:val="single" w:sz="6" w:space="0" w:color="000000"/>
              <w:bottom w:val="single" w:sz="6" w:space="0" w:color="000000"/>
              <w:right w:val="single" w:sz="6" w:space="0" w:color="000000"/>
            </w:tcBorders>
            <w:vAlign w:val="center"/>
          </w:tcPr>
          <w:p w:rsidR="00D66F7C" w:rsidRPr="00841021" w:rsidP="00696780">
            <w:pPr>
              <w:pStyle w:val="NormalWeb"/>
              <w:spacing w:before="120" w:beforeAutospacing="0" w:after="0" w:afterAutospacing="0" w:line="276" w:lineRule="auto"/>
              <w:jc w:val="center"/>
              <w:rPr>
                <w:rFonts w:ascii="Book Antiqua" w:hAnsi="Book Antiqua"/>
                <w:color w:val="000000"/>
                <w:sz w:val="22"/>
                <w:szCs w:val="22"/>
              </w:rPr>
            </w:pPr>
          </w:p>
        </w:tc>
      </w:tr>
    </w:tbl>
    <w:p w:rsidR="007C2704" w:rsidRPr="00841021" w:rsidP="00696780">
      <w:pPr>
        <w:pStyle w:val="NormalWeb"/>
        <w:spacing w:before="120" w:beforeAutospacing="0" w:after="0" w:afterAutospacing="0" w:line="276" w:lineRule="auto"/>
        <w:rPr>
          <w:rFonts w:ascii="Book Antiqua" w:hAnsi="Book Antiqua"/>
          <w:sz w:val="22"/>
          <w:szCs w:val="22"/>
        </w:rPr>
      </w:pPr>
      <w:r w:rsidRPr="00841021">
        <w:rPr>
          <w:rFonts w:ascii="Book Antiqua" w:hAnsi="Book Antiqua"/>
          <w:color w:val="000000"/>
          <w:sz w:val="22"/>
          <w:szCs w:val="22"/>
        </w:rPr>
        <w:t> </w:t>
      </w:r>
    </w:p>
    <w:p w:rsidR="007C2704" w:rsidRPr="00841021" w:rsidP="00696780">
      <w:pPr>
        <w:pStyle w:val="NormalWeb"/>
        <w:spacing w:before="120" w:beforeAutospacing="0" w:after="0" w:afterAutospacing="0" w:line="276" w:lineRule="auto"/>
        <w:jc w:val="both"/>
        <w:rPr>
          <w:rFonts w:ascii="Book Antiqua" w:hAnsi="Book Antiqua"/>
          <w:sz w:val="22"/>
          <w:szCs w:val="22"/>
        </w:rPr>
      </w:pPr>
      <w:r w:rsidRPr="00841021">
        <w:rPr>
          <w:rFonts w:ascii="Book Antiqua" w:hAnsi="Book Antiqua"/>
          <w:b/>
          <w:bCs/>
          <w:color w:val="000000"/>
          <w:sz w:val="22"/>
          <w:szCs w:val="22"/>
        </w:rPr>
        <w:t>A.3. Poznámky</w:t>
      </w:r>
    </w:p>
    <w:p w:rsidR="00815EDB" w:rsidRPr="008636AC" w:rsidP="00696780">
      <w:pPr>
        <w:pStyle w:val="NormalWeb"/>
        <w:spacing w:before="120" w:beforeAutospacing="0" w:after="0" w:afterAutospacing="0" w:line="276" w:lineRule="auto"/>
        <w:jc w:val="both"/>
        <w:rPr>
          <w:rFonts w:ascii="Book Antiqua" w:hAnsi="Book Antiqua"/>
          <w:iCs/>
          <w:sz w:val="22"/>
          <w:szCs w:val="22"/>
        </w:rPr>
      </w:pPr>
      <w:r w:rsidRPr="008636AC" w:rsidR="00E4766B">
        <w:rPr>
          <w:rFonts w:ascii="Book Antiqua" w:hAnsi="Book Antiqua"/>
          <w:bCs/>
          <w:iCs/>
          <w:color w:val="000000"/>
          <w:sz w:val="22"/>
          <w:szCs w:val="22"/>
        </w:rPr>
        <w:t xml:space="preserve">Predkladaný návrh zákona </w:t>
      </w:r>
      <w:r w:rsidRPr="008636AC" w:rsidR="00E4766B">
        <w:rPr>
          <w:rFonts w:ascii="Book Antiqua" w:hAnsi="Book Antiqua"/>
          <w:iCs/>
          <w:sz w:val="22"/>
          <w:szCs w:val="22"/>
        </w:rPr>
        <w:t>nemá vplyv na rozpočet verejnej s</w:t>
      </w:r>
      <w:r w:rsidRPr="008636AC" w:rsidR="002F2A2F">
        <w:rPr>
          <w:rFonts w:ascii="Book Antiqua" w:hAnsi="Book Antiqua"/>
          <w:iCs/>
          <w:sz w:val="22"/>
          <w:szCs w:val="22"/>
        </w:rPr>
        <w:t xml:space="preserve">právy ani </w:t>
      </w:r>
      <w:r w:rsidRPr="008636AC" w:rsidR="00E4766B">
        <w:rPr>
          <w:rFonts w:ascii="Book Antiqua" w:hAnsi="Book Antiqua"/>
          <w:iCs/>
          <w:sz w:val="22"/>
          <w:szCs w:val="22"/>
        </w:rPr>
        <w:t>na podnikateľské prostredie. Návrh zákona nemá vplyv na životné prostredie ani na informatizáciu spoločnosti a nevyvoláva žiadne sociálne vplyvy.</w:t>
      </w:r>
    </w:p>
    <w:p w:rsidR="00E4766B" w:rsidRPr="00841021" w:rsidP="00696780">
      <w:pPr>
        <w:pStyle w:val="NormalWeb"/>
        <w:spacing w:before="120" w:beforeAutospacing="0" w:after="0" w:afterAutospacing="0" w:line="276" w:lineRule="auto"/>
        <w:jc w:val="both"/>
        <w:rPr>
          <w:rFonts w:ascii="Book Antiqua" w:hAnsi="Book Antiqua"/>
          <w:bCs/>
          <w:i/>
          <w:color w:val="000000"/>
          <w:sz w:val="22"/>
          <w:szCs w:val="22"/>
        </w:rPr>
      </w:pPr>
    </w:p>
    <w:p w:rsidR="007C2704" w:rsidRPr="00841021" w:rsidP="00696780">
      <w:pPr>
        <w:pStyle w:val="NormalWeb"/>
        <w:spacing w:before="120" w:beforeAutospacing="0" w:after="0" w:afterAutospacing="0" w:line="276" w:lineRule="auto"/>
        <w:jc w:val="both"/>
        <w:rPr>
          <w:rFonts w:ascii="Book Antiqua" w:hAnsi="Book Antiqua"/>
          <w:bCs/>
          <w:i/>
          <w:color w:val="000000"/>
          <w:sz w:val="22"/>
          <w:szCs w:val="22"/>
        </w:rPr>
      </w:pPr>
      <w:r w:rsidRPr="00841021">
        <w:rPr>
          <w:rFonts w:ascii="Book Antiqua" w:hAnsi="Book Antiqua"/>
          <w:b/>
          <w:bCs/>
          <w:color w:val="000000"/>
          <w:sz w:val="22"/>
          <w:szCs w:val="22"/>
        </w:rPr>
        <w:t>A.4. Alternatívne riešenia</w:t>
      </w:r>
    </w:p>
    <w:p w:rsidR="007C2704" w:rsidRPr="008636AC" w:rsidP="00696780">
      <w:pPr>
        <w:pStyle w:val="NormalWeb"/>
        <w:spacing w:before="120" w:beforeAutospacing="0" w:after="0" w:afterAutospacing="0" w:line="276" w:lineRule="auto"/>
        <w:jc w:val="both"/>
        <w:rPr>
          <w:rFonts w:ascii="Book Antiqua" w:hAnsi="Book Antiqua"/>
          <w:color w:val="000000"/>
          <w:sz w:val="22"/>
          <w:szCs w:val="22"/>
        </w:rPr>
      </w:pPr>
      <w:r w:rsidRPr="008636AC">
        <w:rPr>
          <w:rFonts w:ascii="Book Antiqua" w:hAnsi="Book Antiqua"/>
          <w:color w:val="000000"/>
          <w:sz w:val="22"/>
          <w:szCs w:val="22"/>
        </w:rPr>
        <w:t>bezpredmetné</w:t>
      </w:r>
    </w:p>
    <w:p w:rsidR="00423C63" w:rsidRPr="00841021" w:rsidP="00696780">
      <w:pPr>
        <w:pStyle w:val="NormalWeb"/>
        <w:spacing w:before="120" w:beforeAutospacing="0" w:after="0" w:afterAutospacing="0" w:line="276" w:lineRule="auto"/>
        <w:jc w:val="both"/>
        <w:rPr>
          <w:rFonts w:ascii="Book Antiqua" w:hAnsi="Book Antiqua"/>
          <w:b/>
          <w:bCs/>
          <w:color w:val="000000"/>
          <w:sz w:val="22"/>
          <w:szCs w:val="22"/>
        </w:rPr>
      </w:pPr>
    </w:p>
    <w:p w:rsidR="007C2704" w:rsidRPr="00841021" w:rsidP="00696780">
      <w:pPr>
        <w:pStyle w:val="NormalWeb"/>
        <w:spacing w:before="120" w:beforeAutospacing="0" w:after="0" w:afterAutospacing="0" w:line="276" w:lineRule="auto"/>
        <w:jc w:val="both"/>
        <w:rPr>
          <w:rFonts w:ascii="Book Antiqua" w:hAnsi="Book Antiqua"/>
          <w:sz w:val="22"/>
          <w:szCs w:val="22"/>
        </w:rPr>
      </w:pPr>
      <w:r w:rsidRPr="00841021">
        <w:rPr>
          <w:rFonts w:ascii="Book Antiqua" w:hAnsi="Book Antiqua"/>
          <w:b/>
          <w:bCs/>
          <w:color w:val="000000"/>
          <w:sz w:val="22"/>
          <w:szCs w:val="22"/>
        </w:rPr>
        <w:t>A.5. Stanovisko gestorov</w:t>
      </w:r>
    </w:p>
    <w:p w:rsidR="001B1849" w:rsidRPr="008636AC" w:rsidP="00815EDB">
      <w:pPr>
        <w:pStyle w:val="NormalWeb"/>
        <w:spacing w:before="120" w:beforeAutospacing="0" w:after="0" w:afterAutospacing="0" w:line="276" w:lineRule="auto"/>
        <w:jc w:val="both"/>
        <w:rPr>
          <w:rFonts w:ascii="Book Antiqua" w:hAnsi="Book Antiqua"/>
          <w:color w:val="000000"/>
          <w:sz w:val="22"/>
          <w:szCs w:val="22"/>
        </w:rPr>
      </w:pPr>
      <w:r w:rsidRPr="008636AC" w:rsidR="007C2704">
        <w:rPr>
          <w:rFonts w:ascii="Book Antiqua" w:hAnsi="Book Antiqua"/>
          <w:color w:val="000000"/>
          <w:sz w:val="22"/>
          <w:szCs w:val="22"/>
        </w:rPr>
        <w:t>Návrh zákona bol zaslaný na vyjadrenie Ministerstvu financií SR a stanovisko tohto ministerstva tvorí súčasť predkladaného materiálu.</w:t>
      </w:r>
    </w:p>
    <w:p w:rsidR="00A82C11" w:rsidRPr="008636AC" w:rsidP="00815EDB">
      <w:pPr>
        <w:pStyle w:val="NormalWeb"/>
        <w:spacing w:before="120" w:beforeAutospacing="0" w:after="0" w:afterAutospacing="0" w:line="276" w:lineRule="auto"/>
        <w:jc w:val="both"/>
        <w:rPr>
          <w:rFonts w:ascii="Book Antiqua" w:hAnsi="Book Antiqua"/>
          <w:sz w:val="22"/>
          <w:szCs w:val="22"/>
        </w:rPr>
      </w:pPr>
      <w:r w:rsidRPr="008636AC">
        <w:rPr>
          <w:rFonts w:ascii="Book Antiqua" w:hAnsi="Book Antiqua"/>
          <w:color w:val="000000"/>
          <w:sz w:val="22"/>
          <w:szCs w:val="22"/>
        </w:rPr>
        <w:t>Návrh zákona bol zaslaný na vyjadrenie Ministerstvu hospodárstva SR a stanovisko tohto ministerstva tvorí súčasť predkladaného materiálu.</w:t>
      </w:r>
    </w:p>
    <w:sectPr w:rsidSect="00421A64">
      <w:footerReference w:type="default" r:id="rI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20">
    <w:pPr>
      <w:pStyle w:val="Footer"/>
      <w:jc w:val="right"/>
    </w:pPr>
    <w:r>
      <w:fldChar w:fldCharType="begin"/>
    </w:r>
    <w:r>
      <w:instrText>PAGE   \* MERGEFORMAT</w:instrText>
    </w:r>
    <w:r>
      <w:fldChar w:fldCharType="separate"/>
    </w:r>
    <w:r w:rsidR="00F76068">
      <w:rPr>
        <w:noProof/>
      </w:rPr>
      <w:t>1</w:t>
    </w:r>
    <w:r>
      <w:fldChar w:fldCharType="end"/>
    </w:r>
  </w:p>
  <w:p w:rsidR="00AA442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A52EB"/>
    <w:multiLevelType w:val="hybridMultilevel"/>
    <w:tmpl w:val="752CB8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D4B065F"/>
    <w:multiLevelType w:val="hybridMultilevel"/>
    <w:tmpl w:val="41C6BF3C"/>
    <w:lvl w:ilvl="0">
      <w:start w:val="1"/>
      <w:numFmt w:val="low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24D113D1"/>
    <w:multiLevelType w:val="hybridMultilevel"/>
    <w:tmpl w:val="45D8BA8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1BC0474"/>
    <w:multiLevelType w:val="hybridMultilevel"/>
    <w:tmpl w:val="F362AAA6"/>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455639C9"/>
    <w:multiLevelType w:val="hybridMultilevel"/>
    <w:tmpl w:val="38F69CA4"/>
    <w:lvl w:ilvl="0">
      <w:start w:val="5"/>
      <w:numFmt w:val="decimal"/>
      <w:lvlText w:val="%1."/>
      <w:lvlJc w:val="left"/>
      <w:pPr>
        <w:tabs>
          <w:tab w:val="num" w:pos="341"/>
        </w:tabs>
        <w:ind w:left="341" w:hanging="284"/>
      </w:pPr>
      <w:rPr>
        <w:rFonts w:cs="Times New Roman"/>
        <w:b/>
        <w:i w:val="0"/>
      </w:rPr>
    </w:lvl>
    <w:lvl w:ilvl="1">
      <w:start w:val="6"/>
      <w:numFmt w:val="decimal"/>
      <w:lvlText w:val="%2."/>
      <w:lvlJc w:val="left"/>
      <w:pPr>
        <w:tabs>
          <w:tab w:val="num" w:pos="284"/>
        </w:tabs>
        <w:ind w:left="284" w:hanging="284"/>
      </w:pPr>
      <w:rPr>
        <w:rFonts w:cs="Times New Roman"/>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4C4D7151"/>
    <w:multiLevelType w:val="hybridMultilevel"/>
    <w:tmpl w:val="8C1A3B50"/>
    <w:lvl w:ilvl="0">
      <w:start w:val="1"/>
      <w:numFmt w:val="decimal"/>
      <w:lvlText w:val="%1."/>
      <w:lvlJc w:val="left"/>
      <w:pPr>
        <w:ind w:left="720" w:hanging="360"/>
      </w:pPr>
      <w:rPr>
        <w:rFonts w:cs="Times New Roman"/>
        <w:b/>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60060C7F"/>
    <w:multiLevelType w:val="hybridMultilevel"/>
    <w:tmpl w:val="3DAEB0C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Pr>
    </w:lvl>
    <w:lvl w:ilvl="3">
      <w:start w:val="4"/>
      <w:numFmt w:val="decimal"/>
      <w:lvlText w:val="%4."/>
      <w:lvlJc w:val="left"/>
      <w:pPr>
        <w:tabs>
          <w:tab w:val="num" w:pos="284"/>
        </w:tabs>
        <w:ind w:left="284" w:hanging="284"/>
      </w:pPr>
      <w:rPr>
        <w:rFonts w:cs="Times New Roman"/>
        <w:b/>
        <w:i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6CFB3903"/>
    <w:multiLevelType w:val="hybridMultilevel"/>
    <w:tmpl w:val="B62C5DD0"/>
    <w:lvl w:ilvl="0">
      <w:start w:val="7"/>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9">
    <w:nsid w:val="6EE87ACD"/>
    <w:multiLevelType w:val="hybridMultilevel"/>
    <w:tmpl w:val="AA3680E4"/>
    <w:lvl w:ilvl="0">
      <w:start w:val="1"/>
      <w:numFmt w:val="bullet"/>
      <w:lvlText w:val=""/>
      <w:lvlJc w:val="left"/>
      <w:pPr>
        <w:ind w:left="1428" w:hanging="360"/>
      </w:pPr>
      <w:rPr>
        <w:rFonts w:ascii="Wingdings" w:hAnsi="Wingdings"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lvlOverride w:ilvl="0"/>
    <w:lvlOverride w:ilvl="1"/>
    <w:lvlOverride w:ilvl="2">
      <w:startOverride w:val="2"/>
    </w:lvlOverride>
    <w:lvlOverride w:ilvl="3">
      <w:startOverride w:val="4"/>
    </w:lvlOverride>
    <w:lvlOverride w:ilvl="4"/>
    <w:lvlOverride w:ilvl="5"/>
    <w:lvlOverride w:ilvl="6"/>
    <w:lvlOverride w:ilvl="7"/>
    <w:lvlOverride w:ilvl="8"/>
  </w:num>
  <w:num w:numId="4">
    <w:abstractNumId w:val="4"/>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9"/>
  </w:num>
  <w:num w:numId="8">
    <w:abstractNumId w:val="2"/>
  </w:num>
  <w:num w:numId="9">
    <w:abstractNumId w:val="0"/>
  </w:num>
  <w:num w:numId="10">
    <w:abstractNumId w:val="7"/>
    <w:lvlOverride w:ilvl="0"/>
    <w:lvlOverride w:ilvl="1"/>
    <w:lvlOverride w:ilvl="2">
      <w:startOverride w:val="2"/>
    </w:lvlOverride>
    <w:lvlOverride w:ilvl="3">
      <w:startOverride w:val="4"/>
    </w:lvlOverride>
    <w:lvlOverride w:ilvl="4"/>
    <w:lvlOverride w:ilvl="5"/>
    <w:lvlOverride w:ilvl="6"/>
    <w:lvlOverride w:ilvl="7"/>
    <w:lvlOverride w:ilvl="8"/>
  </w:num>
  <w:num w:numId="11">
    <w:abstractNumId w:val="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SpellingErrors/>
  <w:hideGrammaticalErrors/>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B1849"/>
    <w:rsid w:val="00013412"/>
    <w:rsid w:val="00013790"/>
    <w:rsid w:val="000A3002"/>
    <w:rsid w:val="000A35F4"/>
    <w:rsid w:val="000A52FD"/>
    <w:rsid w:val="000D1A73"/>
    <w:rsid w:val="000D6E98"/>
    <w:rsid w:val="000E634B"/>
    <w:rsid w:val="000F0940"/>
    <w:rsid w:val="000F6F50"/>
    <w:rsid w:val="00105095"/>
    <w:rsid w:val="00125657"/>
    <w:rsid w:val="001847B2"/>
    <w:rsid w:val="001933C1"/>
    <w:rsid w:val="001B1849"/>
    <w:rsid w:val="001F7749"/>
    <w:rsid w:val="0020696C"/>
    <w:rsid w:val="00270D5E"/>
    <w:rsid w:val="0027580C"/>
    <w:rsid w:val="00276370"/>
    <w:rsid w:val="00277C1D"/>
    <w:rsid w:val="0029671C"/>
    <w:rsid w:val="002A1593"/>
    <w:rsid w:val="002B1B38"/>
    <w:rsid w:val="002B572C"/>
    <w:rsid w:val="002B7167"/>
    <w:rsid w:val="002F2A2F"/>
    <w:rsid w:val="002F3CE2"/>
    <w:rsid w:val="00311BBC"/>
    <w:rsid w:val="00330137"/>
    <w:rsid w:val="00333AA5"/>
    <w:rsid w:val="0036485E"/>
    <w:rsid w:val="003761B1"/>
    <w:rsid w:val="003B6A4C"/>
    <w:rsid w:val="003C3147"/>
    <w:rsid w:val="004122DC"/>
    <w:rsid w:val="00421A64"/>
    <w:rsid w:val="004221BC"/>
    <w:rsid w:val="00423C63"/>
    <w:rsid w:val="004264B2"/>
    <w:rsid w:val="004460BB"/>
    <w:rsid w:val="00457C72"/>
    <w:rsid w:val="00473E18"/>
    <w:rsid w:val="00474D57"/>
    <w:rsid w:val="00476E46"/>
    <w:rsid w:val="00484751"/>
    <w:rsid w:val="0049701A"/>
    <w:rsid w:val="004B5E17"/>
    <w:rsid w:val="004C7451"/>
    <w:rsid w:val="004F07C9"/>
    <w:rsid w:val="00510148"/>
    <w:rsid w:val="005134A2"/>
    <w:rsid w:val="0052044D"/>
    <w:rsid w:val="005324AB"/>
    <w:rsid w:val="00533875"/>
    <w:rsid w:val="00555043"/>
    <w:rsid w:val="00555548"/>
    <w:rsid w:val="00575F3B"/>
    <w:rsid w:val="005A2F8D"/>
    <w:rsid w:val="005A700E"/>
    <w:rsid w:val="005E0232"/>
    <w:rsid w:val="005F0314"/>
    <w:rsid w:val="00616F48"/>
    <w:rsid w:val="00626741"/>
    <w:rsid w:val="00635DDA"/>
    <w:rsid w:val="0063763F"/>
    <w:rsid w:val="00690D50"/>
    <w:rsid w:val="00691A3C"/>
    <w:rsid w:val="00696780"/>
    <w:rsid w:val="006B6627"/>
    <w:rsid w:val="00706F69"/>
    <w:rsid w:val="007170B3"/>
    <w:rsid w:val="00766307"/>
    <w:rsid w:val="007810BE"/>
    <w:rsid w:val="00790C8B"/>
    <w:rsid w:val="007A049D"/>
    <w:rsid w:val="007B30CF"/>
    <w:rsid w:val="007C035F"/>
    <w:rsid w:val="007C2704"/>
    <w:rsid w:val="00815EDB"/>
    <w:rsid w:val="008226C4"/>
    <w:rsid w:val="008274C0"/>
    <w:rsid w:val="00832E5A"/>
    <w:rsid w:val="00837BF6"/>
    <w:rsid w:val="00840385"/>
    <w:rsid w:val="00841021"/>
    <w:rsid w:val="008636AC"/>
    <w:rsid w:val="008949D7"/>
    <w:rsid w:val="008B275A"/>
    <w:rsid w:val="008B6550"/>
    <w:rsid w:val="008C40E0"/>
    <w:rsid w:val="00917299"/>
    <w:rsid w:val="00945881"/>
    <w:rsid w:val="00974559"/>
    <w:rsid w:val="00976220"/>
    <w:rsid w:val="0098087D"/>
    <w:rsid w:val="00990651"/>
    <w:rsid w:val="00996040"/>
    <w:rsid w:val="009D057B"/>
    <w:rsid w:val="009D5C96"/>
    <w:rsid w:val="009E4880"/>
    <w:rsid w:val="009F080A"/>
    <w:rsid w:val="009F4A5D"/>
    <w:rsid w:val="00A36B3B"/>
    <w:rsid w:val="00A403B6"/>
    <w:rsid w:val="00A60270"/>
    <w:rsid w:val="00A726BA"/>
    <w:rsid w:val="00A7396D"/>
    <w:rsid w:val="00A8027F"/>
    <w:rsid w:val="00A82C11"/>
    <w:rsid w:val="00A93934"/>
    <w:rsid w:val="00AA4420"/>
    <w:rsid w:val="00AC79CE"/>
    <w:rsid w:val="00AF4DFD"/>
    <w:rsid w:val="00AF7C1A"/>
    <w:rsid w:val="00B00A04"/>
    <w:rsid w:val="00B1662B"/>
    <w:rsid w:val="00B21950"/>
    <w:rsid w:val="00B32675"/>
    <w:rsid w:val="00B909E7"/>
    <w:rsid w:val="00B925DD"/>
    <w:rsid w:val="00B92E78"/>
    <w:rsid w:val="00BA27A0"/>
    <w:rsid w:val="00BC1F08"/>
    <w:rsid w:val="00BC24DA"/>
    <w:rsid w:val="00BD4528"/>
    <w:rsid w:val="00BE1D75"/>
    <w:rsid w:val="00BE2453"/>
    <w:rsid w:val="00BF53DB"/>
    <w:rsid w:val="00C06DA9"/>
    <w:rsid w:val="00C144DC"/>
    <w:rsid w:val="00C25688"/>
    <w:rsid w:val="00C336C0"/>
    <w:rsid w:val="00C35467"/>
    <w:rsid w:val="00C54C7C"/>
    <w:rsid w:val="00C73D4B"/>
    <w:rsid w:val="00C7401E"/>
    <w:rsid w:val="00C75FAC"/>
    <w:rsid w:val="00C91346"/>
    <w:rsid w:val="00C926F5"/>
    <w:rsid w:val="00CA3C4C"/>
    <w:rsid w:val="00D0414D"/>
    <w:rsid w:val="00D34483"/>
    <w:rsid w:val="00D41A81"/>
    <w:rsid w:val="00D66F7C"/>
    <w:rsid w:val="00D83D94"/>
    <w:rsid w:val="00D852B1"/>
    <w:rsid w:val="00DC57AE"/>
    <w:rsid w:val="00DC5E5E"/>
    <w:rsid w:val="00DF0FA5"/>
    <w:rsid w:val="00DF1D35"/>
    <w:rsid w:val="00E0387A"/>
    <w:rsid w:val="00E06317"/>
    <w:rsid w:val="00E1384D"/>
    <w:rsid w:val="00E157DD"/>
    <w:rsid w:val="00E17C58"/>
    <w:rsid w:val="00E4766B"/>
    <w:rsid w:val="00E5543F"/>
    <w:rsid w:val="00E73FE8"/>
    <w:rsid w:val="00E90F77"/>
    <w:rsid w:val="00E96CD8"/>
    <w:rsid w:val="00E96E00"/>
    <w:rsid w:val="00ED03D7"/>
    <w:rsid w:val="00EF696B"/>
    <w:rsid w:val="00F03989"/>
    <w:rsid w:val="00F12F0E"/>
    <w:rsid w:val="00F32920"/>
    <w:rsid w:val="00F51036"/>
    <w:rsid w:val="00F54AAE"/>
    <w:rsid w:val="00F737EC"/>
    <w:rsid w:val="00F76068"/>
    <w:rsid w:val="00F8338B"/>
    <w:rsid w:val="00F84932"/>
    <w:rsid w:val="00FA66AC"/>
    <w:rsid w:val="00FB25C0"/>
    <w:rsid w:val="00FC720B"/>
    <w:rsid w:val="00FF4F1B"/>
  </w:rsids>
  <m:mathPr>
    <m:mathFont m:val="Cambria Math"/>
    <m:smallFrac/>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1B1849"/>
    <w:rPr>
      <w:rFonts w:ascii="Times New Roman" w:eastAsia="Times New Roman" w:hAnsi="Times New Roman"/>
      <w:sz w:val="24"/>
      <w:szCs w:val="24"/>
      <w:lang w:val="sk-SK" w:eastAsia="sk-SK" w:bidi="ar-SA"/>
    </w:rPr>
  </w:style>
  <w:style w:type="paragraph" w:styleId="Heading1">
    <w:name w:val="heading 1"/>
    <w:basedOn w:val="Normal"/>
    <w:next w:val="Normal"/>
    <w:link w:val="Nadpis1Char"/>
    <w:qFormat/>
    <w:rsid w:val="001B1849"/>
    <w:pPr>
      <w:keepNext/>
      <w:autoSpaceDE w:val="0"/>
      <w:autoSpaceDN w:val="0"/>
      <w:adjustRightInd w:val="0"/>
      <w:jc w:val="center"/>
      <w:outlineLvl w:val="0"/>
    </w:pPr>
    <w:rPr>
      <w:rFonts w:ascii="Cambria" w:hAnsi="Cambria"/>
      <w:b/>
      <w:kern w:val="32"/>
      <w:sz w:val="3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link w:val="Heading1"/>
    <w:rsid w:val="001B1849"/>
    <w:rPr>
      <w:rFonts w:ascii="Cambria" w:eastAsia="Times New Roman" w:hAnsi="Cambria" w:cs="Times New Roman"/>
      <w:b/>
      <w:kern w:val="32"/>
      <w:sz w:val="32"/>
      <w:szCs w:val="20"/>
      <w:lang w:val="x-none" w:eastAsia="x-none"/>
    </w:rPr>
  </w:style>
  <w:style w:type="paragraph" w:styleId="NormalWeb">
    <w:name w:val="Normal (Web)"/>
    <w:basedOn w:val="Normal"/>
    <w:uiPriority w:val="99"/>
    <w:unhideWhenUsed/>
    <w:rsid w:val="001B1849"/>
    <w:pPr>
      <w:spacing w:before="100" w:beforeAutospacing="1" w:after="100" w:afterAutospacing="1"/>
    </w:pPr>
  </w:style>
  <w:style w:type="paragraph" w:styleId="FootnoteText">
    <w:name w:val="footnote text"/>
    <w:basedOn w:val="Normal"/>
    <w:link w:val="TextpoznmkypodiarouChar"/>
    <w:uiPriority w:val="99"/>
    <w:semiHidden/>
    <w:unhideWhenUsed/>
    <w:rsid w:val="007810BE"/>
    <w:rPr>
      <w:sz w:val="20"/>
      <w:szCs w:val="20"/>
    </w:rPr>
  </w:style>
  <w:style w:type="character" w:customStyle="1" w:styleId="TextpoznmkypodiarouChar">
    <w:name w:val="Text poznámky pod čiarou Char"/>
    <w:link w:val="FootnoteText"/>
    <w:uiPriority w:val="99"/>
    <w:semiHidden/>
    <w:rsid w:val="007810BE"/>
    <w:rPr>
      <w:rFonts w:ascii="Times New Roman" w:eastAsia="Times New Roman" w:hAnsi="Times New Roman" w:cs="Times New Roman"/>
      <w:sz w:val="20"/>
      <w:szCs w:val="20"/>
      <w:lang w:eastAsia="sk-SK"/>
    </w:rPr>
  </w:style>
  <w:style w:type="character" w:styleId="FootnoteReference">
    <w:name w:val="footnote reference"/>
    <w:uiPriority w:val="99"/>
    <w:semiHidden/>
    <w:unhideWhenUsed/>
    <w:rsid w:val="007810BE"/>
    <w:rPr>
      <w:vertAlign w:val="superscript"/>
    </w:rPr>
  </w:style>
  <w:style w:type="paragraph" w:styleId="Header">
    <w:name w:val="header"/>
    <w:basedOn w:val="Normal"/>
    <w:link w:val="HlavikaChar"/>
    <w:uiPriority w:val="99"/>
    <w:unhideWhenUsed/>
    <w:rsid w:val="00AA4420"/>
    <w:pPr>
      <w:tabs>
        <w:tab w:val="center" w:pos="4536"/>
        <w:tab w:val="right" w:pos="9072"/>
      </w:tabs>
    </w:pPr>
  </w:style>
  <w:style w:type="character" w:customStyle="1" w:styleId="HlavikaChar">
    <w:name w:val="Hlavička Char"/>
    <w:link w:val="Header"/>
    <w:uiPriority w:val="99"/>
    <w:rsid w:val="00AA4420"/>
    <w:rPr>
      <w:rFonts w:ascii="Times New Roman" w:eastAsia="Times New Roman" w:hAnsi="Times New Roman"/>
      <w:sz w:val="24"/>
      <w:szCs w:val="24"/>
    </w:rPr>
  </w:style>
  <w:style w:type="paragraph" w:styleId="Footer">
    <w:name w:val="footer"/>
    <w:basedOn w:val="Normal"/>
    <w:link w:val="PtaChar"/>
    <w:uiPriority w:val="99"/>
    <w:unhideWhenUsed/>
    <w:rsid w:val="00AA4420"/>
    <w:pPr>
      <w:tabs>
        <w:tab w:val="center" w:pos="4536"/>
        <w:tab w:val="right" w:pos="9072"/>
      </w:tabs>
    </w:pPr>
  </w:style>
  <w:style w:type="character" w:customStyle="1" w:styleId="PtaChar">
    <w:name w:val="Päta Char"/>
    <w:link w:val="Footer"/>
    <w:uiPriority w:val="99"/>
    <w:rsid w:val="00AA4420"/>
    <w:rPr>
      <w:rFonts w:ascii="Times New Roman" w:eastAsia="Times New Roman" w:hAnsi="Times New Roman"/>
      <w:sz w:val="24"/>
      <w:szCs w:val="24"/>
    </w:rPr>
  </w:style>
  <w:style w:type="character" w:styleId="Hyperlink">
    <w:name w:val="Hyperlink"/>
    <w:uiPriority w:val="99"/>
    <w:semiHidden/>
    <w:unhideWhenUsed/>
    <w:rsid w:val="00D34483"/>
    <w:rPr>
      <w:color w:val="0000FF"/>
      <w:u w:val="single"/>
    </w:rPr>
  </w:style>
  <w:style w:type="character" w:customStyle="1" w:styleId="ablnaChar">
    <w:name w:val="Šablóna Char"/>
    <w:link w:val="ablna"/>
    <w:locked/>
    <w:rsid w:val="00473E18"/>
    <w:rPr>
      <w:sz w:val="24"/>
      <w:szCs w:val="24"/>
      <w:lang w:eastAsia="ar-SA"/>
    </w:rPr>
  </w:style>
  <w:style w:type="paragraph" w:customStyle="1" w:styleId="ablna">
    <w:name w:val="Šablóna"/>
    <w:basedOn w:val="Normal"/>
    <w:link w:val="ablnaChar"/>
    <w:qFormat/>
    <w:rsid w:val="00473E18"/>
    <w:pPr>
      <w:tabs>
        <w:tab w:val="left" w:pos="2880"/>
        <w:tab w:val="left" w:pos="5040"/>
        <w:tab w:val="left" w:pos="7380"/>
      </w:tabs>
      <w:suppressAutoHyphens/>
    </w:pPr>
    <w:rPr>
      <w:rFonts w:ascii="Calibri" w:eastAsia="Calibri" w:hAnsi="Calibri"/>
      <w:lang w:eastAsia="ar-SA"/>
    </w:rPr>
  </w:style>
  <w:style w:type="paragraph" w:customStyle="1" w:styleId="Default">
    <w:name w:val="Default"/>
    <w:rsid w:val="00E90F77"/>
    <w:pPr>
      <w:autoSpaceDE w:val="0"/>
      <w:autoSpaceDN w:val="0"/>
      <w:adjustRightInd w:val="0"/>
    </w:pPr>
    <w:rPr>
      <w:rFonts w:cs="Calibri"/>
      <w:color w:val="000000"/>
      <w:sz w:val="24"/>
      <w:szCs w:val="24"/>
      <w:lang w:val="sk-SK" w:eastAsia="en-US" w:bidi="ar-SA"/>
    </w:rPr>
  </w:style>
  <w:style w:type="paragraph" w:styleId="Revision">
    <w:name w:val="Revision"/>
    <w:hidden/>
    <w:uiPriority w:val="99"/>
    <w:semiHidden/>
    <w:rsid w:val="001933C1"/>
    <w:rPr>
      <w:rFonts w:ascii="Times New Roman" w:eastAsia="Times New Roman" w:hAnsi="Times New Roman"/>
      <w:sz w:val="24"/>
      <w:szCs w:val="24"/>
      <w:lang w:val="sk-SK" w:eastAsia="sk-SK" w:bidi="ar-SA"/>
    </w:rPr>
  </w:style>
</w:styles>
</file>

<file path=word/webSettings.xml><?xml version="1.0" encoding="utf-8"?>
<w:webSettings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055F1-A032-4323-BD5A-B2B1A43E9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2573</Words>
  <Characters>14670</Characters>
  <Application>Microsoft Office Word</Application>
  <DocSecurity>0</DocSecurity>
  <Lines>122</Lines>
  <Paragraphs>34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Kancelaria NR SR</Company>
  <LinksUpToDate>false</LinksUpToDate>
  <CharactersWithSpaces>17209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Lukáč, Jozef (asistent)</dc:creator>
  <cp:lastModifiedBy>Klub SLOVENSKO, ZA ĽUDÍ, KÚ</cp:lastModifiedBy>
  <cp:revision>5</cp:revision>
  <dcterms:created xsi:type="dcterms:W3CDTF">2023-11-20T08:05:00Z</dcterms:created>
  <dcterms:modified xsi:type="dcterms:W3CDTF">2023-11-20T12:35:00Z</dcterms:modified>
</cp:coreProperties>
</file>