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956"/>
        <w:gridCol w:w="1446"/>
        <w:gridCol w:w="1134"/>
        <w:gridCol w:w="850"/>
        <w:gridCol w:w="426"/>
        <w:gridCol w:w="1559"/>
      </w:tblGrid>
      <w:tr w:rsidR="00FC2B55" w:rsidRPr="00FC2B55" w:rsidTr="00DE523E">
        <w:trPr>
          <w:trHeight w:val="20"/>
        </w:trPr>
        <w:tc>
          <w:tcPr>
            <w:tcW w:w="9371" w:type="dxa"/>
            <w:gridSpan w:val="6"/>
            <w:shd w:val="clear" w:color="auto" w:fill="BFBFBF"/>
            <w:vAlign w:val="center"/>
          </w:tcPr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k-SK"/>
              </w:rPr>
              <w:t>Analýza vplyvov na informatizáciu spoločnosti</w:t>
            </w:r>
          </w:p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"/>
                <w:lang w:eastAsia="sk-SK"/>
              </w:rPr>
            </w:pPr>
          </w:p>
        </w:tc>
      </w:tr>
      <w:tr w:rsidR="00FC2B55" w:rsidRPr="00FC2B55" w:rsidTr="00DE523E">
        <w:trPr>
          <w:trHeight w:val="20"/>
        </w:trPr>
        <w:tc>
          <w:tcPr>
            <w:tcW w:w="9371" w:type="dxa"/>
            <w:gridSpan w:val="6"/>
            <w:shd w:val="clear" w:color="auto" w:fill="BFBFBF"/>
            <w:vAlign w:val="center"/>
          </w:tcPr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Budovanie základných pilierov informatizácie</w:t>
            </w:r>
          </w:p>
        </w:tc>
      </w:tr>
      <w:tr w:rsidR="00FC2B55" w:rsidRPr="00FC2B55" w:rsidTr="00DE523E">
        <w:trPr>
          <w:trHeight w:val="681"/>
        </w:trPr>
        <w:tc>
          <w:tcPr>
            <w:tcW w:w="3956" w:type="dxa"/>
            <w:shd w:val="clear" w:color="auto" w:fill="C0C0C0"/>
            <w:vAlign w:val="center"/>
          </w:tcPr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Biznis vrstva</w:t>
            </w:r>
          </w:p>
        </w:tc>
        <w:tc>
          <w:tcPr>
            <w:tcW w:w="1446" w:type="dxa"/>
            <w:shd w:val="clear" w:color="auto" w:fill="C0C0C0"/>
            <w:vAlign w:val="center"/>
          </w:tcPr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A – nová služba</w:t>
            </w:r>
          </w:p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B – zmena služby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Kód koncovej služby</w:t>
            </w:r>
          </w:p>
        </w:tc>
        <w:tc>
          <w:tcPr>
            <w:tcW w:w="1276" w:type="dxa"/>
            <w:gridSpan w:val="2"/>
            <w:shd w:val="clear" w:color="auto" w:fill="C0C0C0"/>
            <w:vAlign w:val="center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Názov koncovej služby</w:t>
            </w:r>
          </w:p>
        </w:tc>
        <w:tc>
          <w:tcPr>
            <w:tcW w:w="1559" w:type="dxa"/>
            <w:shd w:val="clear" w:color="auto" w:fill="C0C0C0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Úroveň elektronizácie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>6.1.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 Predpokladá predložený návrh zmenu existujúcich koncových služieb verejnej správy alebo vytvorenie nových služieb pre občana alebo podnikateľa?</w:t>
            </w:r>
          </w:p>
        </w:tc>
        <w:tc>
          <w:tcPr>
            <w:tcW w:w="1446" w:type="dxa"/>
          </w:tcPr>
          <w:p w:rsidR="00FC2B55" w:rsidRPr="006E1B92" w:rsidRDefault="00DE523E" w:rsidP="00E67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134" w:type="dxa"/>
          </w:tcPr>
          <w:p w:rsidR="00FC2B55" w:rsidRPr="006E1B92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gridSpan w:val="2"/>
          </w:tcPr>
          <w:p w:rsidR="00FC2B55" w:rsidRPr="006E1B92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</w:tcPr>
          <w:p w:rsidR="00FC2B55" w:rsidRPr="006E1B92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sk-SK"/>
              </w:rPr>
            </w:pP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  <w:shd w:val="clear" w:color="auto" w:fill="C0C0C0"/>
            <w:vAlign w:val="center"/>
          </w:tcPr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Aplikačná a technologická vrstva</w:t>
            </w:r>
          </w:p>
        </w:tc>
        <w:tc>
          <w:tcPr>
            <w:tcW w:w="1446" w:type="dxa"/>
            <w:shd w:val="clear" w:color="auto" w:fill="C0C0C0"/>
          </w:tcPr>
          <w:p w:rsidR="00FC2B55" w:rsidRPr="006E1B92" w:rsidRDefault="00FC2B55" w:rsidP="00E67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A – nový systém</w:t>
            </w:r>
          </w:p>
          <w:p w:rsidR="00FC2B55" w:rsidRPr="006E1B92" w:rsidRDefault="00FC2B55" w:rsidP="00E67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B – zmena systému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FC2B55" w:rsidRPr="006E1B92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Kód systému</w:t>
            </w:r>
          </w:p>
        </w:tc>
        <w:tc>
          <w:tcPr>
            <w:tcW w:w="1276" w:type="dxa"/>
            <w:gridSpan w:val="2"/>
            <w:shd w:val="clear" w:color="auto" w:fill="C0C0C0"/>
            <w:vAlign w:val="center"/>
          </w:tcPr>
          <w:p w:rsidR="00FC2B55" w:rsidRPr="006E1B92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Názov systému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FC2B55" w:rsidRPr="006E1B92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Vo vládnom cloude – áno / nie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6.2.</w:t>
            </w:r>
            <w:r w:rsidRPr="00FC2B5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Predpokladá predložený návrh zmenu existujúceho alebo vytvorenie nového informačného systému verejnej správy? Predpokladá správca umiestnenie informačného systému vo vládnom cloude?</w:t>
            </w:r>
          </w:p>
        </w:tc>
        <w:tc>
          <w:tcPr>
            <w:tcW w:w="1446" w:type="dxa"/>
          </w:tcPr>
          <w:p w:rsidR="00FC2B55" w:rsidRPr="006E1B92" w:rsidRDefault="006E1B92" w:rsidP="00E67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1134" w:type="dxa"/>
          </w:tcPr>
          <w:p w:rsidR="00FC2B55" w:rsidRPr="006E1B92" w:rsidRDefault="006E1B92" w:rsidP="006E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isvs_7714</w:t>
            </w:r>
          </w:p>
        </w:tc>
        <w:tc>
          <w:tcPr>
            <w:tcW w:w="1276" w:type="dxa"/>
            <w:gridSpan w:val="2"/>
          </w:tcPr>
          <w:p w:rsidR="00FC2B55" w:rsidRPr="006E1B92" w:rsidRDefault="006E1B92" w:rsidP="006E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Integrovaný systém Finančnej správy - správa daní (ISFS-SD)</w:t>
            </w:r>
          </w:p>
        </w:tc>
        <w:tc>
          <w:tcPr>
            <w:tcW w:w="1559" w:type="dxa"/>
          </w:tcPr>
          <w:p w:rsidR="00FC2B55" w:rsidRPr="006E1B92" w:rsidRDefault="006E1B92" w:rsidP="006E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nie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 xml:space="preserve"> (</w:t>
            </w:r>
            <w:r w:rsidRPr="006E1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prevádzka vo vládnom cloude nie je plánovaná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  <w:shd w:val="clear" w:color="auto" w:fill="BFBFBF"/>
            <w:vAlign w:val="center"/>
          </w:tcPr>
          <w:p w:rsidR="00FC2B55" w:rsidRPr="00FC2B55" w:rsidRDefault="00FC2B55" w:rsidP="00FC2B5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Financovanie procesu informatizácie</w:t>
            </w:r>
          </w:p>
        </w:tc>
        <w:tc>
          <w:tcPr>
            <w:tcW w:w="1446" w:type="dxa"/>
            <w:shd w:val="clear" w:color="auto" w:fill="BFBFBF"/>
            <w:vAlign w:val="center"/>
          </w:tcPr>
          <w:p w:rsidR="00FC2B55" w:rsidRPr="00E67E97" w:rsidRDefault="00FC2B55" w:rsidP="00E67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sk-SK"/>
              </w:rPr>
            </w:pPr>
            <w:r w:rsidRPr="00E67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Rezortná úroveň</w:t>
            </w:r>
          </w:p>
        </w:tc>
        <w:tc>
          <w:tcPr>
            <w:tcW w:w="1984" w:type="dxa"/>
            <w:gridSpan w:val="2"/>
            <w:shd w:val="clear" w:color="auto" w:fill="BFBFBF"/>
            <w:vAlign w:val="center"/>
          </w:tcPr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Nadrezortná úroveň</w:t>
            </w:r>
          </w:p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985" w:type="dxa"/>
            <w:gridSpan w:val="2"/>
            <w:shd w:val="clear" w:color="auto" w:fill="BFBFBF"/>
            <w:vAlign w:val="center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A - z prostriedkov EÚ   B - z ďalších zdrojov financovania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  <w:tcBorders>
              <w:bottom w:val="single" w:sz="4" w:space="0" w:color="auto"/>
            </w:tcBorders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>6.3.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 Vyžaduje si proces informatizácie  finančné investície?</w:t>
            </w:r>
          </w:p>
          <w:p w:rsidR="00FC2B55" w:rsidRPr="00FC2B55" w:rsidRDefault="00FC2B55" w:rsidP="00FC2B55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 príslušnú úroveň financovania a kvantifikáciu finančných výdavkov uveďte  v analýze vplyvov na rozpočet verejnej správy.)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FC2B55" w:rsidRPr="006E1B92" w:rsidRDefault="00E67E97" w:rsidP="00E67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</w:pPr>
            <w:r w:rsidRPr="006E1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</w:p>
        </w:tc>
      </w:tr>
      <w:tr w:rsidR="00FC2B55" w:rsidRPr="00FC2B55" w:rsidTr="00DE523E">
        <w:trPr>
          <w:trHeight w:val="20"/>
        </w:trPr>
        <w:tc>
          <w:tcPr>
            <w:tcW w:w="9371" w:type="dxa"/>
            <w:gridSpan w:val="6"/>
            <w:shd w:val="pct25" w:color="auto" w:fill="auto"/>
          </w:tcPr>
          <w:p w:rsidR="00FC2B55" w:rsidRPr="00FC2B55" w:rsidRDefault="00FC2B55" w:rsidP="00FC2B5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darkGray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Zjednodušenie prístupu ku konaniu a odstraňovanie byrokracie</w:t>
            </w:r>
          </w:p>
        </w:tc>
      </w:tr>
      <w:tr w:rsidR="00FC2B55" w:rsidRPr="00FC2B55" w:rsidTr="00DE523E">
        <w:trPr>
          <w:trHeight w:val="20"/>
        </w:trPr>
        <w:tc>
          <w:tcPr>
            <w:tcW w:w="9371" w:type="dxa"/>
            <w:gridSpan w:val="6"/>
            <w:shd w:val="pct25" w:color="auto" w:fill="auto"/>
          </w:tcPr>
          <w:p w:rsidR="00FC2B55" w:rsidRPr="00FC2B55" w:rsidRDefault="00FC2B55" w:rsidP="00FC2B5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Elektronické konanie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6.4.1.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Predpokladá predložený návrh vedenie konania o právach, právom chránených záujmoch alebo povinnostiach fyzických osôb a právnických osôb?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105142833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200025544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o aké konanie ide.)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6.4.2.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Je dané konanie možné v celku vykonať elektronicky?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9458436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560C32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31386459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560C32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(Ak sú niektoré úkony v konaní, alebo celé konanie viazané na listinnú podobu komunikácie, uveďte o aké ide a z akého dôvodu.)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6.4.3.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Je úprava konania kompatibilná s inštitútmi zákona o e-Governmente a je na dané konanie zákon o e-Governmente možné použiť?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81287152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560C32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441276830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560C32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(Ak úprava konania je odlišná od úpravy v zákone o e-Governmente alebo ak je použitie zákona o e-Governmente vylúčené, uveďte čoho sa to týka a z akého dôvodu.)</w:t>
            </w:r>
          </w:p>
        </w:tc>
      </w:tr>
      <w:tr w:rsidR="00FC2B55" w:rsidRPr="00FC2B55" w:rsidTr="00DE523E">
        <w:trPr>
          <w:trHeight w:val="20"/>
        </w:trPr>
        <w:tc>
          <w:tcPr>
            <w:tcW w:w="9371" w:type="dxa"/>
            <w:gridSpan w:val="6"/>
            <w:shd w:val="clear" w:color="auto" w:fill="BFBFBF"/>
          </w:tcPr>
          <w:p w:rsidR="00FC2B55" w:rsidRPr="00FC2B55" w:rsidRDefault="00FC2B55" w:rsidP="00FC2B5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Zásada „jedenkrát a dosť“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6.5.1. </w:t>
            </w:r>
            <w:r w:rsidRPr="00FC2B55">
              <w:rPr>
                <w:rFonts w:ascii="Times New Roman" w:eastAsia="Times New Roman" w:hAnsi="Times New Roman" w:cs="Times New Roman"/>
                <w:bCs/>
                <w:sz w:val="20"/>
                <w:lang w:eastAsia="sk-SK"/>
              </w:rPr>
              <w:t>Predpokladá predložený návrh predkladanie dokumentov, informácií alebo preukazovanie skutočností (ďalej len „údaje“) orgánu, ktorý konanie vedie?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433398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79453833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o aké údaje ide a v akom konaní.)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6.5.2. </w:t>
            </w:r>
            <w:r w:rsidRPr="00FC2B55">
              <w:rPr>
                <w:rFonts w:ascii="Times New Roman" w:eastAsia="Times New Roman" w:hAnsi="Times New Roman" w:cs="Times New Roman"/>
                <w:bCs/>
                <w:sz w:val="20"/>
                <w:lang w:eastAsia="sk-SK"/>
              </w:rPr>
              <w:t>Predpokladá predložený návrh, aby sa predkladali údaje, ktoré sa nachádzajú v zákonom ustanovenej evidencii vedenej orgánom, ktorý konanie vedie alebo iným orgánom?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4503723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617261598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o akú evidenciu ide.)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6.5.3.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Budú údaje poskytované režimom podľa zákona č. 177/2018 Z.z. v znení neskorších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lastRenderedPageBreak/>
              <w:t xml:space="preserve">predpisov alebo iným obdobným spôsobom, ktorý zabezpečí, aby si údaje orgán, ktorý konanie vedie, získaval z úradnej moci a nemuseli mu byť predkladané </w:t>
            </w:r>
            <w:r w:rsidRPr="00FC2B55">
              <w:rPr>
                <w:rFonts w:ascii="Times New Roman" w:eastAsia="Times New Roman" w:hAnsi="Times New Roman" w:cs="Times New Roman"/>
                <w:bCs/>
                <w:sz w:val="20"/>
                <w:lang w:eastAsia="sk-SK"/>
              </w:rPr>
              <w:t>subjektom súkromného práva, navrhovateľom, žiadateľom, účastníkom konania (ďalej len „účastník konania“)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21158873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1730609562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 xml:space="preserve">(Uveďte, akým spôsobom budú údaje v konaní predkladané/preukazované. Ak sa vyžaduje </w:t>
            </w: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lastRenderedPageBreak/>
              <w:t>predloženie účastníkom konania, uveďte dôvod.)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  <w:tcBorders>
              <w:bottom w:val="single" w:sz="4" w:space="0" w:color="auto"/>
            </w:tcBorders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lastRenderedPageBreak/>
              <w:t xml:space="preserve">6.5.4.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Ak si orgán, ktorý konanie vedie, údaje nebude získavať z úradnej moci ale mu budú predkladané účastníkom konania, je v návrhu upravené prechodné obdobie, po ktorého uplynutí si údaje orgán, ktorý konanie vedie, bude získavať z úradnej moci?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20884129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439767500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akým spôsobom budú údaje v konaní predkladané/preukazované v budúcnosti. Ak sa vyžaduje predloženie účastníkom konania, uveďte dôvod.)</w:t>
            </w:r>
          </w:p>
        </w:tc>
      </w:tr>
      <w:tr w:rsidR="00FC2B55" w:rsidRPr="00FC2B55" w:rsidTr="00DE523E">
        <w:trPr>
          <w:trHeight w:val="20"/>
        </w:trPr>
        <w:tc>
          <w:tcPr>
            <w:tcW w:w="9371" w:type="dxa"/>
            <w:gridSpan w:val="6"/>
            <w:shd w:val="pct25" w:color="auto" w:fill="auto"/>
          </w:tcPr>
          <w:p w:rsidR="00FC2B55" w:rsidRPr="00FC2B55" w:rsidRDefault="00FC2B55" w:rsidP="00FC2B5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Výmena údajov medzi orgánmi verejnej moci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6.6.1.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Predpokladá predložený návrh zriadenie novej evidencie údajov alebo upravuje vedenie evidencie údajov?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58114111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561481988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aká nová evidencia údajov sa zriaďuje, resp. akú evidenciu údajov návrh upravuje.)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6.6.2.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Umožňuje predložený návrh poskytovanie údajov z evidencie iným orgánom verejnej moci, resp. iným osobám na plnenie ich zákonom ustanovených úloh bez obmedzenia subjektu (teda vo všetkých prípadoch, kedy tieto údaje na plnenie zákonom ustanovených úloh potrebujú)?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14341698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1288507644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ktorým orgánom verejnej moci, resp. iným osobám nie je možné údaje z evidencie poskytnúť, aj ak ich na plnenie zákonných úloh potrebujú a z akého dôvodu.)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6.6.3.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Je zabezpečené poskytovanie údajov z evidencie elektronicky a automatizovaným spôsobom?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135533514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116884503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akým spôsobom je zabezpečené poskytovanie údajov z evidencie pre iné subjekty na plnenie ich zákonných úloh. Ak sa na poskytovanie údajov nepoužíva modul procesnej integrácie a integrácie údajov, uveďte dôvod. Ak je elektronické alebo automatizované poskytovanie vylúčené, uveďte dôvod.)</w:t>
            </w:r>
            <w:r w:rsidRPr="00FC2B5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lang w:eastAsia="sk-SK"/>
              </w:rPr>
              <w:t xml:space="preserve">6.6.4. 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>Je na poskytovanie údajov z evidencie využitý režim podľa zákona č. 177/2018 Z.z. v znení neskorších predpisov?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2953798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1689520971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ako je na zákonnej úrovni inštitucionalizované elektronické a automatizované poskytovanie údajov z evidencie, akým režimom sa riadi. Ak je použitie zákona č. 177/2018 Z.z. v znení neskorších predpisov vylúčené, uveďte dôvod.)</w:t>
            </w:r>
          </w:p>
        </w:tc>
      </w:tr>
      <w:tr w:rsidR="00FC2B55" w:rsidRPr="00FC2B55" w:rsidTr="00DE523E">
        <w:trPr>
          <w:trHeight w:val="20"/>
        </w:trPr>
        <w:tc>
          <w:tcPr>
            <w:tcW w:w="9371" w:type="dxa"/>
            <w:gridSpan w:val="6"/>
            <w:shd w:val="clear" w:color="auto" w:fill="A6A6A6"/>
          </w:tcPr>
          <w:p w:rsidR="00FC2B55" w:rsidRPr="00FC2B55" w:rsidRDefault="00FC2B55" w:rsidP="00FC2B5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Referenčné údaje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bCs/>
                <w:sz w:val="20"/>
                <w:lang w:eastAsia="sk-SK"/>
              </w:rPr>
              <w:t>6.7.1.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 Predpokladá predložený návrh zriadenie novej evidencie údajov alebo upravuje vedenie evidencie údajov, ktoré budú navrhnuté na zaradenie do zoznamu referenčných údajov podľa § 51 zákona č. 305/2013 Z.z. o e-Governmente?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67781028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FC2B55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FC2B55">
                        <w:rPr>
                          <w:rFonts w:ascii="Segoe UI Symbol" w:eastAsia="Times New Roman" w:hAnsi="Segoe UI Symbol" w:cs="Segoe UI Symbol"/>
                          <w:sz w:val="20"/>
                          <w:szCs w:val="20"/>
                          <w:lang w:eastAsia="sk-SK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Áno</w:t>
                  </w:r>
                </w:p>
              </w:tc>
            </w:tr>
            <w:tr w:rsidR="00FC2B55" w:rsidRPr="00FC2B55" w:rsidTr="00DE523E">
              <w:sdt>
                <w:sdt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  <w:id w:val="-159857975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:rsidR="00FC2B55" w:rsidRPr="00FC2B55" w:rsidRDefault="00E67E97" w:rsidP="00FC2B55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sz w:val="20"/>
                          <w:szCs w:val="20"/>
                          <w:lang w:eastAsia="sk-SK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r w:rsidRPr="00FC2B5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Nie</w:t>
                  </w: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aká nová evidencia údajov sa zriaďuje, resp. akú evidenciu údajov návrh upravuje a ktoré údaje z nej budú navrhnuté na zaradenie do zoznamu referenčných údajov. Ak sa neplánuje zaradenie žiadnych údajov, uveďte dôvod)</w:t>
            </w:r>
          </w:p>
        </w:tc>
      </w:tr>
      <w:tr w:rsidR="00FC2B55" w:rsidRPr="00FC2B55" w:rsidTr="00DE523E">
        <w:trPr>
          <w:trHeight w:val="20"/>
        </w:trPr>
        <w:tc>
          <w:tcPr>
            <w:tcW w:w="3956" w:type="dxa"/>
          </w:tcPr>
          <w:p w:rsidR="00FC2B55" w:rsidRPr="00FC2B55" w:rsidRDefault="00FC2B55" w:rsidP="00FC2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b/>
                <w:bCs/>
                <w:sz w:val="20"/>
                <w:lang w:eastAsia="sk-SK"/>
              </w:rPr>
              <w:t>6.7.2.</w:t>
            </w:r>
            <w:r w:rsidRPr="00FC2B55">
              <w:rPr>
                <w:rFonts w:ascii="Times New Roman" w:eastAsia="Times New Roman" w:hAnsi="Times New Roman" w:cs="Times New Roman"/>
                <w:sz w:val="20"/>
                <w:lang w:eastAsia="sk-SK"/>
              </w:rPr>
              <w:t xml:space="preserve"> Kedy je plánované zaradenie údajov z evidencie do zoznamu referenčných údajov podľa § 51 zákona č. 305/2013 Z.z. o e-Governmente?</w:t>
            </w:r>
          </w:p>
        </w:tc>
        <w:tc>
          <w:tcPr>
            <w:tcW w:w="1446" w:type="dxa"/>
          </w:tcPr>
          <w:tbl>
            <w:tblPr>
              <w:tblStyle w:val="Mriekatabuky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8545"/>
            </w:tblGrid>
            <w:tr w:rsidR="00FC2B55" w:rsidRPr="00FC2B55" w:rsidTr="00DE523E">
              <w:tc>
                <w:tcPr>
                  <w:tcW w:w="436" w:type="dxa"/>
                </w:tcPr>
                <w:p w:rsidR="00FC2B55" w:rsidRPr="00FC2B55" w:rsidRDefault="00FC2B55" w:rsidP="00FC2B5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</w:tr>
            <w:tr w:rsidR="00FC2B55" w:rsidRPr="00FC2B55" w:rsidTr="00DE523E">
              <w:tc>
                <w:tcPr>
                  <w:tcW w:w="436" w:type="dxa"/>
                </w:tcPr>
                <w:p w:rsidR="00FC2B55" w:rsidRPr="00FC2B55" w:rsidRDefault="00FC2B55" w:rsidP="00FC2B5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8545" w:type="dxa"/>
                </w:tcPr>
                <w:p w:rsidR="00FC2B55" w:rsidRPr="00FC2B55" w:rsidRDefault="00FC2B55" w:rsidP="00FC2B55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</w:p>
              </w:tc>
            </w:tr>
          </w:tbl>
          <w:p w:rsidR="00FC2B55" w:rsidRPr="00FC2B55" w:rsidRDefault="00FC2B55" w:rsidP="00FC2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gridSpan w:val="4"/>
          </w:tcPr>
          <w:p w:rsidR="00FC2B55" w:rsidRPr="00FC2B55" w:rsidRDefault="00FC2B55" w:rsidP="00FC2B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</w:pPr>
            <w:r w:rsidRPr="00FC2B55">
              <w:rPr>
                <w:rFonts w:ascii="Times New Roman" w:eastAsia="Times New Roman" w:hAnsi="Times New Roman" w:cs="Times New Roman"/>
                <w:i/>
                <w:iCs/>
                <w:sz w:val="20"/>
                <w:lang w:eastAsia="sk-SK"/>
              </w:rPr>
              <w:t>(Uveďte, kedy sa plánuje zaradenie vyššie uvedených údajov do zoznamu referenčných údajov.)</w:t>
            </w:r>
          </w:p>
        </w:tc>
      </w:tr>
    </w:tbl>
    <w:p w:rsidR="00FC2B55" w:rsidRPr="00FC2B55" w:rsidRDefault="00FC2B55" w:rsidP="00FC2B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C2B55" w:rsidRPr="00FC2B55" w:rsidRDefault="000B0E3A" w:rsidP="000B0E3A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C2B5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DE523E" w:rsidRDefault="00DE523E"/>
    <w:sectPr w:rsidR="00DE523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246" w:rsidRDefault="003A0246" w:rsidP="00FC2B55">
      <w:pPr>
        <w:spacing w:after="0" w:line="240" w:lineRule="auto"/>
      </w:pPr>
      <w:r>
        <w:separator/>
      </w:r>
    </w:p>
  </w:endnote>
  <w:endnote w:type="continuationSeparator" w:id="0">
    <w:p w:rsidR="003A0246" w:rsidRDefault="003A0246" w:rsidP="00FC2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399668"/>
      <w:docPartObj>
        <w:docPartGallery w:val="Page Numbers (Bottom of Page)"/>
        <w:docPartUnique/>
      </w:docPartObj>
    </w:sdtPr>
    <w:sdtEndPr/>
    <w:sdtContent>
      <w:p w:rsidR="00DE523E" w:rsidRDefault="00DE523E" w:rsidP="00FC2B55">
        <w:pPr>
          <w:pStyle w:val="Pta"/>
          <w:jc w:val="right"/>
        </w:pPr>
        <w:r w:rsidRPr="00CF1A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F1A4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F1A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0C3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F1A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E523E" w:rsidRPr="00FF7125" w:rsidRDefault="00DE523E" w:rsidP="00FC2B55">
    <w:pPr>
      <w:pStyle w:val="Pta"/>
      <w:rPr>
        <w:sz w:val="24"/>
        <w:szCs w:val="24"/>
      </w:rPr>
    </w:pPr>
  </w:p>
  <w:p w:rsidR="00DE523E" w:rsidRPr="00FC2B55" w:rsidRDefault="00DE523E" w:rsidP="00FC2B5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246" w:rsidRDefault="003A0246" w:rsidP="00FC2B55">
      <w:pPr>
        <w:spacing w:after="0" w:line="240" w:lineRule="auto"/>
      </w:pPr>
      <w:r>
        <w:separator/>
      </w:r>
    </w:p>
  </w:footnote>
  <w:footnote w:type="continuationSeparator" w:id="0">
    <w:p w:rsidR="003A0246" w:rsidRDefault="003A0246" w:rsidP="00FC2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A7194E"/>
    <w:multiLevelType w:val="hybridMultilevel"/>
    <w:tmpl w:val="0D7495B6"/>
    <w:lvl w:ilvl="0" w:tplc="31FA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45B97"/>
    <w:multiLevelType w:val="hybridMultilevel"/>
    <w:tmpl w:val="0A526340"/>
    <w:lvl w:ilvl="0" w:tplc="31FA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582005"/>
    <w:multiLevelType w:val="hybridMultilevel"/>
    <w:tmpl w:val="70DC204E"/>
    <w:lvl w:ilvl="0" w:tplc="BD282FB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55"/>
    <w:rsid w:val="000757A2"/>
    <w:rsid w:val="000B0E3A"/>
    <w:rsid w:val="001012F3"/>
    <w:rsid w:val="00277FCB"/>
    <w:rsid w:val="003A0246"/>
    <w:rsid w:val="004A2F4C"/>
    <w:rsid w:val="00540118"/>
    <w:rsid w:val="00560C32"/>
    <w:rsid w:val="006E1B92"/>
    <w:rsid w:val="00702F97"/>
    <w:rsid w:val="0080106A"/>
    <w:rsid w:val="008801B5"/>
    <w:rsid w:val="008C32BA"/>
    <w:rsid w:val="00947AF0"/>
    <w:rsid w:val="009C5666"/>
    <w:rsid w:val="009E09F7"/>
    <w:rsid w:val="00AC6818"/>
    <w:rsid w:val="00B85AC9"/>
    <w:rsid w:val="00DE523E"/>
    <w:rsid w:val="00E67E97"/>
    <w:rsid w:val="00EA0C4B"/>
    <w:rsid w:val="00F0331D"/>
    <w:rsid w:val="00F06266"/>
    <w:rsid w:val="00F422D4"/>
    <w:rsid w:val="00FC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02F2D-8E20-4FB8-A9EB-68343C2B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C2B5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C2B55"/>
    <w:rPr>
      <w:sz w:val="20"/>
      <w:szCs w:val="20"/>
    </w:rPr>
  </w:style>
  <w:style w:type="character" w:styleId="Odkaznapoznmkupodiarou">
    <w:name w:val="footnote reference"/>
    <w:aliases w:val="Footnote symbol,Footnote reference number"/>
    <w:semiHidden/>
    <w:unhideWhenUsed/>
    <w:rsid w:val="00FC2B55"/>
    <w:rPr>
      <w:vertAlign w:val="superscript"/>
    </w:rPr>
  </w:style>
  <w:style w:type="character" w:styleId="Hypertextovprepojenie">
    <w:name w:val="Hyperlink"/>
    <w:uiPriority w:val="99"/>
    <w:unhideWhenUsed/>
    <w:rsid w:val="00FC2B55"/>
    <w:rPr>
      <w:color w:val="0000FF"/>
      <w:u w:val="single"/>
    </w:rPr>
  </w:style>
  <w:style w:type="table" w:customStyle="1" w:styleId="Mriekatabuky3">
    <w:name w:val="Mriežka tabuľky3"/>
    <w:basedOn w:val="Normlnatabuka"/>
    <w:next w:val="Mriekatabuky"/>
    <w:uiPriority w:val="59"/>
    <w:rsid w:val="00FC2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FC2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C2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2B55"/>
  </w:style>
  <w:style w:type="paragraph" w:styleId="Pta">
    <w:name w:val="footer"/>
    <w:basedOn w:val="Normlny"/>
    <w:link w:val="PtaChar"/>
    <w:uiPriority w:val="99"/>
    <w:unhideWhenUsed/>
    <w:rsid w:val="00FC2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2B55"/>
  </w:style>
  <w:style w:type="paragraph" w:styleId="Textbubliny">
    <w:name w:val="Balloon Text"/>
    <w:basedOn w:val="Normlny"/>
    <w:link w:val="TextbublinyChar"/>
    <w:uiPriority w:val="99"/>
    <w:semiHidden/>
    <w:unhideWhenUsed/>
    <w:rsid w:val="00F42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22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Vlastný-materiál,-príloha-č.-6"/>
    <f:field ref="objsubject" par="" edit="true" text=""/>
    <f:field ref="objcreatedby" par="" text="Drieniková, Kristína"/>
    <f:field ref="objcreatedat" par="" text="3.11.2020 15:32:18"/>
    <f:field ref="objchangedby" par="" text="Matúšek, Miloš, JUDr."/>
    <f:field ref="objmodifiedat" par="" text="4.11.2020 13:20:13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Drienikova Kristina</dc:creator>
  <cp:keywords/>
  <dc:description/>
  <cp:lastModifiedBy>Kuchar Jakub</cp:lastModifiedBy>
  <cp:revision>6</cp:revision>
  <cp:lastPrinted>2021-01-04T10:53:00Z</cp:lastPrinted>
  <dcterms:created xsi:type="dcterms:W3CDTF">2022-03-21T14:59:00Z</dcterms:created>
  <dcterms:modified xsi:type="dcterms:W3CDTF">2022-06-30T09:11:00Z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2020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Kristína Drieniková</vt:lpwstr>
  </property>
  <property fmtid="{D5CDD505-2E9C-101B-9397-08002B2CF9AE}" pid="12" name="FSC#SKEDITIONSLOVLEX@103.510:zodppredkladatel">
    <vt:lpwstr>Ing. Richard Sulík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aktualizácie Jednotnej metodiky na posudzovanie vybraných vplyvov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hospodárstva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Úloha B.3 uznesenia vlády SR č. 32/2018_x000d_
Programové vyhlásenie vlády Slovenskej republiky</vt:lpwstr>
  </property>
  <property fmtid="{D5CDD505-2E9C-101B-9397-08002B2CF9AE}" pid="23" name="FSC#SKEDITIONSLOVLEX@103.510:plnynazovpredpis">
    <vt:lpwstr> Návrh aktualizácie Jednotnej metodiky na posudzovanie vybraných vplyvov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32473/2020-3040-105289                         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LP/2020/509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justify;"&gt;Samotný predkladaný materiál nemá vplyv na podnikateľské prostredie. Výrazný pozitívny vplyv na podnikateľské prostredie v&amp;nbsp;podobe znižovania regulačných nákladov sa očakáva až po zavedení a&amp;nbsp;uplatňovaní mechanizmu </vt:lpwstr>
  </property>
  <property fmtid="{D5CDD505-2E9C-101B-9397-08002B2CF9AE}" pid="66" name="FSC#SKEDITIONSLOVLEX@103.510:AttrStrListDocPropAltRiesenia">
    <vt:lpwstr>Alternatívnym riešením je nulový variant, t. j. ponechanie súčasného stavu bez zmien, technických upresnení a bez zavedenia princípu „one in – two out“. Uplatnenie nulového variantu by v praxi znamenalo nezastavenie zvyšovania regulačných nákladov pre pod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podpredseda vlády a minister hospodárstva  _x000d_
členovia vlády_x000d_
predsedovia ostatných ústredných orgánov štátnej správy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hospodárstva Slovenskej republiky</vt:lpwstr>
  </property>
  <property fmtid="{D5CDD505-2E9C-101B-9397-08002B2CF9AE}" pid="142" name="FSC#SKEDITIONSLOVLEX@103.510:funkciaZodpPredAkuzativ">
    <vt:lpwstr>ministra hospodárstva Slovenskej republiky</vt:lpwstr>
  </property>
  <property fmtid="{D5CDD505-2E9C-101B-9397-08002B2CF9AE}" pid="143" name="FSC#SKEDITIONSLOVLEX@103.510:funkciaZodpPredDativ">
    <vt:lpwstr>ministrovi hospodárstva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Richard Sulík_x000d_
minister hospodárstva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justify;"&gt;Po vzore dobrých príkladov z iných krajín a v súlade s plánmi Európskej komisie sa vláda SR zaviazala v Programovom vyhlásení zaviesť princíp „one in – one out“ s účinnosťou &amp;nbsp;od 1.&amp;nbsp;1. 2021 a princíp „one in - two </vt:lpwstr>
  </property>
  <property fmtid="{D5CDD505-2E9C-101B-9397-08002B2CF9AE}" pid="150" name="FSC#SKEDITIONSLOVLEX@103.510:vytvorenedna">
    <vt:lpwstr>3. 11. 2020</vt:lpwstr>
  </property>
  <property fmtid="{D5CDD505-2E9C-101B-9397-08002B2CF9AE}" pid="151" name="FSC#COOSYSTEM@1.1:Container">
    <vt:lpwstr>COO.2145.1000.3.4079704</vt:lpwstr>
  </property>
  <property fmtid="{D5CDD505-2E9C-101B-9397-08002B2CF9AE}" pid="152" name="FSC#FSCFOLIO@1.1001:docpropproject">
    <vt:lpwstr/>
  </property>
</Properties>
</file>