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315E7" w14:textId="77777777" w:rsidR="002F00DB" w:rsidRPr="000F5833" w:rsidRDefault="00CD025D" w:rsidP="00C12069">
      <w:pPr>
        <w:widowControl/>
        <w:spacing w:after="0" w:line="240" w:lineRule="auto"/>
        <w:jc w:val="center"/>
        <w:rPr>
          <w:rFonts w:ascii="Times New Roman" w:hAnsi="Times New Roman"/>
          <w:b/>
          <w:caps/>
          <w:spacing w:val="30"/>
          <w:sz w:val="24"/>
          <w:szCs w:val="24"/>
          <w:lang w:eastAsia="sk-SK"/>
        </w:rPr>
      </w:pPr>
      <w:r w:rsidRPr="000F5833">
        <w:rPr>
          <w:rFonts w:ascii="Times New Roman" w:hAnsi="Times New Roman"/>
          <w:b/>
          <w:caps/>
          <w:spacing w:val="30"/>
          <w:sz w:val="24"/>
          <w:szCs w:val="24"/>
          <w:lang w:eastAsia="sk-SK"/>
        </w:rPr>
        <w:t>Dôvodová správa</w:t>
      </w:r>
    </w:p>
    <w:p w14:paraId="18CC26D9" w14:textId="77777777" w:rsidR="00730901" w:rsidRPr="000F5833" w:rsidRDefault="00730901" w:rsidP="00C12069">
      <w:pPr>
        <w:widowControl/>
        <w:spacing w:after="0" w:line="240" w:lineRule="auto"/>
        <w:jc w:val="both"/>
        <w:rPr>
          <w:rFonts w:ascii="Times New Roman" w:hAnsi="Times New Roman"/>
          <w:b/>
          <w:caps/>
          <w:sz w:val="24"/>
          <w:szCs w:val="24"/>
        </w:rPr>
      </w:pPr>
    </w:p>
    <w:p w14:paraId="6AFB03E8" w14:textId="77777777" w:rsidR="00AB1F57" w:rsidRPr="000F5833" w:rsidRDefault="00AB1F57" w:rsidP="00C12069">
      <w:pPr>
        <w:widowControl/>
        <w:spacing w:after="0" w:line="240" w:lineRule="auto"/>
        <w:jc w:val="both"/>
        <w:rPr>
          <w:rFonts w:ascii="Times New Roman" w:hAnsi="Times New Roman"/>
          <w:iCs/>
          <w:sz w:val="24"/>
          <w:szCs w:val="24"/>
        </w:rPr>
      </w:pPr>
    </w:p>
    <w:p w14:paraId="3AD1DA83" w14:textId="77777777" w:rsidR="00730901" w:rsidRPr="000F5833" w:rsidRDefault="00730901" w:rsidP="00C12069">
      <w:pPr>
        <w:widowControl/>
        <w:spacing w:after="0" w:line="240" w:lineRule="auto"/>
        <w:jc w:val="both"/>
        <w:rPr>
          <w:rFonts w:ascii="Times New Roman" w:hAnsi="Times New Roman"/>
          <w:iCs/>
          <w:sz w:val="24"/>
          <w:szCs w:val="24"/>
        </w:rPr>
      </w:pPr>
      <w:r w:rsidRPr="000F5833">
        <w:rPr>
          <w:rFonts w:ascii="Times New Roman" w:hAnsi="Times New Roman"/>
          <w:b/>
          <w:sz w:val="24"/>
          <w:szCs w:val="24"/>
          <w:lang w:eastAsia="sk-SK"/>
        </w:rPr>
        <w:t>A. Všeobecná časť</w:t>
      </w:r>
    </w:p>
    <w:p w14:paraId="1FB8978D" w14:textId="77777777" w:rsidR="00730901" w:rsidRPr="000F5833" w:rsidRDefault="00730901" w:rsidP="00C12069">
      <w:pPr>
        <w:widowControl/>
        <w:spacing w:after="0" w:line="240" w:lineRule="auto"/>
        <w:jc w:val="both"/>
        <w:rPr>
          <w:rFonts w:ascii="Times New Roman" w:hAnsi="Times New Roman"/>
          <w:iCs/>
          <w:sz w:val="24"/>
          <w:szCs w:val="24"/>
        </w:rPr>
      </w:pPr>
    </w:p>
    <w:p w14:paraId="079ACC66" w14:textId="77777777" w:rsidR="00730901" w:rsidRPr="000F5833" w:rsidRDefault="00730901" w:rsidP="00C12069">
      <w:pPr>
        <w:widowControl/>
        <w:spacing w:after="0" w:line="240" w:lineRule="auto"/>
        <w:jc w:val="both"/>
        <w:rPr>
          <w:rFonts w:ascii="Times New Roman" w:hAnsi="Times New Roman"/>
          <w:iCs/>
          <w:sz w:val="24"/>
          <w:szCs w:val="24"/>
        </w:rPr>
      </w:pPr>
    </w:p>
    <w:p w14:paraId="58A0262B" w14:textId="1C5EFE2F" w:rsidR="00EA7CFF" w:rsidRPr="000F5833" w:rsidRDefault="00EA7CFF" w:rsidP="00C12069">
      <w:pPr>
        <w:spacing w:after="0"/>
        <w:jc w:val="both"/>
        <w:divId w:val="349644031"/>
        <w:rPr>
          <w:rFonts w:ascii="Times New Roman" w:hAnsi="Times New Roman"/>
          <w:sz w:val="24"/>
          <w:szCs w:val="24"/>
        </w:rPr>
      </w:pPr>
      <w:r w:rsidRPr="000F5833">
        <w:rPr>
          <w:rFonts w:ascii="Times New Roman" w:hAnsi="Times New Roman"/>
          <w:sz w:val="24"/>
          <w:szCs w:val="24"/>
        </w:rPr>
        <w:t xml:space="preserve">Návrh zákona, </w:t>
      </w:r>
      <w:r w:rsidRPr="000F5833">
        <w:rPr>
          <w:rFonts w:ascii="Times New Roman" w:hAnsi="Times New Roman"/>
          <w:iCs/>
          <w:sz w:val="24"/>
          <w:szCs w:val="24"/>
        </w:rPr>
        <w:t xml:space="preserve">ktorým sa mení a dopĺňa </w:t>
      </w:r>
      <w:r w:rsidRPr="000F5833">
        <w:rPr>
          <w:rFonts w:ascii="Times New Roman" w:hAnsi="Times New Roman"/>
          <w:sz w:val="24"/>
          <w:szCs w:val="24"/>
        </w:rPr>
        <w:t xml:space="preserve"> zákon č. 370/2019 Z. z. o finančnej podpore činnosti cirkví a náboženských spoločností predklad</w:t>
      </w:r>
      <w:r w:rsidR="00EA625F">
        <w:rPr>
          <w:rFonts w:ascii="Times New Roman" w:hAnsi="Times New Roman"/>
          <w:sz w:val="24"/>
          <w:szCs w:val="24"/>
        </w:rPr>
        <w:t>ajú</w:t>
      </w:r>
      <w:r w:rsidRPr="000F5833">
        <w:rPr>
          <w:rFonts w:ascii="Times New Roman" w:hAnsi="Times New Roman"/>
          <w:sz w:val="24"/>
          <w:szCs w:val="24"/>
        </w:rPr>
        <w:t xml:space="preserve"> poslanc</w:t>
      </w:r>
      <w:r w:rsidR="00EA625F">
        <w:rPr>
          <w:rFonts w:ascii="Times New Roman" w:hAnsi="Times New Roman"/>
          <w:sz w:val="24"/>
          <w:szCs w:val="24"/>
        </w:rPr>
        <w:t>i</w:t>
      </w:r>
      <w:r w:rsidR="00245009" w:rsidRPr="000F5833">
        <w:rPr>
          <w:rFonts w:ascii="Times New Roman" w:hAnsi="Times New Roman"/>
          <w:sz w:val="24"/>
          <w:szCs w:val="24"/>
        </w:rPr>
        <w:t xml:space="preserve"> </w:t>
      </w:r>
      <w:r w:rsidRPr="000F5833">
        <w:rPr>
          <w:rFonts w:ascii="Times New Roman" w:hAnsi="Times New Roman"/>
          <w:sz w:val="24"/>
          <w:szCs w:val="24"/>
        </w:rPr>
        <w:t>Národnej rady Slovensk</w:t>
      </w:r>
      <w:r w:rsidR="00234410" w:rsidRPr="000F5833">
        <w:rPr>
          <w:rFonts w:ascii="Times New Roman" w:hAnsi="Times New Roman"/>
          <w:sz w:val="24"/>
          <w:szCs w:val="24"/>
        </w:rPr>
        <w:t>ej republiky</w:t>
      </w:r>
      <w:r w:rsidR="00404375">
        <w:rPr>
          <w:rFonts w:ascii="Times New Roman" w:hAnsi="Times New Roman"/>
          <w:sz w:val="24"/>
          <w:szCs w:val="24"/>
        </w:rPr>
        <w:t xml:space="preserve"> Richard VAŠEČKA</w:t>
      </w:r>
      <w:r w:rsidR="00494956">
        <w:rPr>
          <w:rFonts w:ascii="Times New Roman" w:hAnsi="Times New Roman"/>
          <w:sz w:val="24"/>
          <w:szCs w:val="24"/>
        </w:rPr>
        <w:t>,</w:t>
      </w:r>
      <w:r w:rsidR="00EA625F">
        <w:rPr>
          <w:rFonts w:ascii="Times New Roman" w:hAnsi="Times New Roman"/>
          <w:sz w:val="24"/>
          <w:szCs w:val="24"/>
        </w:rPr>
        <w:t xml:space="preserve"> Anna </w:t>
      </w:r>
      <w:r w:rsidR="00404375">
        <w:rPr>
          <w:rFonts w:ascii="Times New Roman" w:hAnsi="Times New Roman"/>
          <w:sz w:val="24"/>
          <w:szCs w:val="24"/>
        </w:rPr>
        <w:t>ZÁBORSKÁ</w:t>
      </w:r>
      <w:r w:rsidR="00494956">
        <w:rPr>
          <w:rFonts w:ascii="Times New Roman" w:hAnsi="Times New Roman"/>
          <w:sz w:val="24"/>
          <w:szCs w:val="24"/>
        </w:rPr>
        <w:t xml:space="preserve"> a Gábor GRENDEL</w:t>
      </w:r>
      <w:r w:rsidRPr="000F5833">
        <w:rPr>
          <w:rFonts w:ascii="Times New Roman" w:hAnsi="Times New Roman"/>
          <w:sz w:val="24"/>
          <w:szCs w:val="24"/>
        </w:rPr>
        <w:t xml:space="preserve">. </w:t>
      </w:r>
    </w:p>
    <w:p w14:paraId="12E5138B" w14:textId="77777777" w:rsidR="00EA7CFF" w:rsidRPr="000F5833" w:rsidRDefault="00EA7CFF" w:rsidP="00C12069">
      <w:pPr>
        <w:spacing w:after="0"/>
        <w:jc w:val="both"/>
        <w:divId w:val="349644031"/>
        <w:rPr>
          <w:rFonts w:ascii="Times New Roman" w:hAnsi="Times New Roman"/>
          <w:sz w:val="24"/>
          <w:szCs w:val="24"/>
        </w:rPr>
      </w:pPr>
    </w:p>
    <w:p w14:paraId="792B7FC1" w14:textId="77777777" w:rsidR="00C12069" w:rsidRPr="000F5833" w:rsidRDefault="00C12069" w:rsidP="00C12069">
      <w:pPr>
        <w:spacing w:after="0"/>
        <w:jc w:val="both"/>
        <w:divId w:val="349644031"/>
        <w:rPr>
          <w:rFonts w:ascii="Times New Roman" w:hAnsi="Times New Roman"/>
          <w:sz w:val="24"/>
          <w:szCs w:val="24"/>
        </w:rPr>
      </w:pPr>
      <w:r w:rsidRPr="000F5833">
        <w:rPr>
          <w:rFonts w:ascii="Times New Roman" w:hAnsi="Times New Roman"/>
          <w:sz w:val="24"/>
          <w:szCs w:val="24"/>
        </w:rPr>
        <w:t>Prijatím zákona č. 370/2019 Z. z. o finančnej podpore činnosti cirkví a náboženských spoločností sa od roku 2020 upravilo indexovanie transferu cirkvám a náboženským spoločnostiam (ďalej len cirkvám), ktoré z 20 % zohľadňuje nárast cien v hospodárstve a z 80 % valorizáciu miezd vo verejnej správe. Aplikačná prax však priniesla situácie, ktoré pri príprave návrhu zákona nebolo možné predpokladať. V dôsledku nástupu koronakrízy v úvode roka 2020 sa zastavila valorizácia platov zamestnancov v štátnej správe. Zároveň však rast minimálnej mzdy pokračoval relatívne dynamickým tempom</w:t>
      </w:r>
      <w:r w:rsidRPr="000F5833">
        <w:rPr>
          <w:rStyle w:val="Odkaznapoznmkupodiarou"/>
          <w:rFonts w:ascii="Times New Roman" w:hAnsi="Times New Roman"/>
          <w:sz w:val="24"/>
          <w:szCs w:val="24"/>
        </w:rPr>
        <w:footnoteReference w:id="1"/>
      </w:r>
      <w:r w:rsidRPr="000F5833">
        <w:rPr>
          <w:rFonts w:ascii="Times New Roman" w:hAnsi="Times New Roman"/>
          <w:sz w:val="24"/>
          <w:szCs w:val="24"/>
        </w:rPr>
        <w:t>. Takýto vývoj vytvára silný tlak na financovanie platov zamestnancov cirkví, keďže väčšina z nich sa nachádza na alebo blízko úrovne minimálnej mzdy. Platy duchovných už dnes patria k najnižším v ekonomike. Pre ilustráciu, v roku 2020, mali 3/4 duchovných osôb v rímskokatolíckej a gréckokatolíckej cirkvi plat v pásme do 50 EUR nad úrovňou minimálnej mzdy v príslušnom stupni náročnosti práce. V rokoch 2021 a 2022 sa ich podiel v dôsledku nízkej indexácie príspevku štátu a rastu minimálnej mzdy ešte zvýšil.</w:t>
      </w:r>
    </w:p>
    <w:p w14:paraId="14D0FB2A" w14:textId="77777777" w:rsidR="00C12069" w:rsidRPr="000F5833" w:rsidRDefault="00C12069" w:rsidP="00C12069">
      <w:pPr>
        <w:spacing w:after="0"/>
        <w:jc w:val="both"/>
        <w:divId w:val="349644031"/>
        <w:rPr>
          <w:rFonts w:ascii="Times New Roman" w:hAnsi="Times New Roman"/>
          <w:sz w:val="24"/>
          <w:szCs w:val="24"/>
        </w:rPr>
      </w:pPr>
    </w:p>
    <w:p w14:paraId="30402B0A" w14:textId="77777777" w:rsidR="007422D3" w:rsidRPr="000F5833" w:rsidRDefault="00C12069" w:rsidP="00A8774D">
      <w:pPr>
        <w:jc w:val="both"/>
        <w:divId w:val="349644031"/>
        <w:rPr>
          <w:rFonts w:ascii="Times New Roman" w:hAnsi="Times New Roman"/>
          <w:sz w:val="24"/>
          <w:szCs w:val="24"/>
        </w:rPr>
      </w:pPr>
      <w:r w:rsidRPr="000F5833">
        <w:rPr>
          <w:rFonts w:ascii="Times New Roman" w:hAnsi="Times New Roman"/>
          <w:sz w:val="24"/>
          <w:szCs w:val="24"/>
        </w:rPr>
        <w:t>Transfer zo štátu je pre väčšinu cirkví hlavným a vo viacerých prípadoch jediným zdrojom financovania platov</w:t>
      </w:r>
      <w:r w:rsidRPr="000F5833">
        <w:rPr>
          <w:rStyle w:val="Odkaznapoznmkupodiarou"/>
          <w:rFonts w:ascii="Times New Roman" w:hAnsi="Times New Roman"/>
          <w:sz w:val="24"/>
          <w:szCs w:val="24"/>
        </w:rPr>
        <w:footnoteReference w:id="2"/>
      </w:r>
      <w:r w:rsidRPr="000F5833">
        <w:rPr>
          <w:rFonts w:ascii="Times New Roman" w:hAnsi="Times New Roman"/>
          <w:sz w:val="24"/>
          <w:szCs w:val="24"/>
        </w:rPr>
        <w:t xml:space="preserve">. Pretrvávajúca disproporcia medzi indexáciou transferu cirkvám a rastom minimálnej mzdy tak neúmerným spôsobom vytvára tlak na financovanie platov duchovných osôb v rámci všetkých cirkví, čo by malo za následok postupné posúvanie duchovných na hranicu sociálnej chudoby. S cieľom zamedzenia prepadu duchovných do pásma sociálnej chudoby sú navrhnuté úpravy v rámci súčasného systému financovania cirkví, ktoré by v existujúcom systéme iba riešili situácie, ktoré by pri aktuálnom stave viedli k sociálnemu prepadu životnej úrovne duchovných. V rámci predkladaných zmien sa navrhuje v existujúcom vzorci pre indexovanie transferu cirkvám výmena ukazovateľa valorizácie miezd v štátnej správe za ukazovateľ rastu priemernej mzdy v hospodárstve. Tento ukazovateľ odráža vývoj životnej úrovne v hospodárstve a zároveň je ovplyvnený čisto ekonomickými fundamentami. Druhou navrhovanou zmenou je doplnenie ustanovenia, ktoré by zabezpečilo, že rast transferu každej cirkvi nebude pod úrovňou rastu minimálnej mzdy. Tým by sa zabezpečilo zamedzenie prepadu duchovných do sociálnej chudoby. </w:t>
      </w:r>
      <w:r w:rsidR="00245009" w:rsidRPr="000F5833">
        <w:rPr>
          <w:rFonts w:ascii="Times New Roman" w:hAnsi="Times New Roman"/>
          <w:sz w:val="24"/>
          <w:szCs w:val="24"/>
        </w:rPr>
        <w:t xml:space="preserve">Ďalšie zmeny vyplývajú z aplikačnej praxe a nemajú dopad na rozpočet, nakoľko sa </w:t>
      </w:r>
      <w:r w:rsidR="00245009" w:rsidRPr="000F5833">
        <w:rPr>
          <w:rFonts w:ascii="Times New Roman" w:hAnsi="Times New Roman"/>
          <w:sz w:val="24"/>
          <w:szCs w:val="24"/>
        </w:rPr>
        <w:lastRenderedPageBreak/>
        <w:t xml:space="preserve">týkajú prerozdelenia transferu medzi cirkvami. </w:t>
      </w:r>
      <w:r w:rsidRPr="000F5833">
        <w:rPr>
          <w:rFonts w:ascii="Times New Roman" w:hAnsi="Times New Roman"/>
          <w:sz w:val="24"/>
          <w:szCs w:val="24"/>
        </w:rPr>
        <w:t>Cieľom navrhovaných zmien nie je zvýšenie transferu cirkvám, ale ošetrenie situácie, ktorá by mohla viesť k prepadu sociálnej úrovne duchovných.</w:t>
      </w:r>
    </w:p>
    <w:p w14:paraId="28BFDBA0" w14:textId="77777777" w:rsidR="00C12069" w:rsidRPr="000F5833" w:rsidRDefault="00234410" w:rsidP="00C12069">
      <w:pPr>
        <w:jc w:val="both"/>
        <w:divId w:val="349644031"/>
        <w:rPr>
          <w:rFonts w:ascii="Times New Roman" w:hAnsi="Times New Roman"/>
          <w:sz w:val="24"/>
          <w:szCs w:val="24"/>
        </w:rPr>
      </w:pPr>
      <w:r w:rsidRPr="000F5833">
        <w:rPr>
          <w:rFonts w:ascii="Times New Roman" w:hAnsi="Times New Roman"/>
          <w:sz w:val="24"/>
          <w:szCs w:val="24"/>
        </w:rPr>
        <w:t>Navrhovaná zmena</w:t>
      </w:r>
      <w:r w:rsidR="00A8774D" w:rsidRPr="000F5833">
        <w:rPr>
          <w:rFonts w:ascii="Times New Roman" w:hAnsi="Times New Roman"/>
          <w:sz w:val="24"/>
          <w:szCs w:val="24"/>
        </w:rPr>
        <w:t xml:space="preserve"> </w:t>
      </w:r>
      <w:r w:rsidR="00C12069" w:rsidRPr="000F5833">
        <w:rPr>
          <w:rFonts w:ascii="Times New Roman" w:hAnsi="Times New Roman"/>
          <w:sz w:val="24"/>
          <w:szCs w:val="24"/>
        </w:rPr>
        <w:t>bude</w:t>
      </w:r>
      <w:r w:rsidR="00245009" w:rsidRPr="000F5833">
        <w:rPr>
          <w:rFonts w:ascii="Times New Roman" w:hAnsi="Times New Roman"/>
          <w:sz w:val="24"/>
          <w:szCs w:val="24"/>
        </w:rPr>
        <w:t xml:space="preserve"> </w:t>
      </w:r>
      <w:r w:rsidR="00C12069" w:rsidRPr="000F5833">
        <w:rPr>
          <w:rFonts w:ascii="Times New Roman" w:hAnsi="Times New Roman"/>
          <w:sz w:val="24"/>
          <w:szCs w:val="24"/>
        </w:rPr>
        <w:t>prioritne pomocou pre menšie cirkvi, ktoré z dôvodu malého počtu veriacich dostávajú pomerne nižší príspevok. Nakoľko viac ako 96% príspevku štátu je použitých na mzdové náklady</w:t>
      </w:r>
      <w:r w:rsidR="00C12069" w:rsidRPr="000F5833">
        <w:rPr>
          <w:rStyle w:val="Odkaznapoznmkupodiarou"/>
          <w:rFonts w:ascii="Times New Roman" w:hAnsi="Times New Roman"/>
          <w:sz w:val="24"/>
          <w:szCs w:val="24"/>
        </w:rPr>
        <w:footnoteReference w:id="3"/>
      </w:r>
      <w:r w:rsidR="00C12069" w:rsidRPr="000F5833">
        <w:rPr>
          <w:rFonts w:ascii="Times New Roman" w:hAnsi="Times New Roman"/>
          <w:sz w:val="24"/>
          <w:szCs w:val="24"/>
        </w:rPr>
        <w:t xml:space="preserve">, súčasný stav neumožňuje valorizovať platy ani vo výške rastu minimálnej mzdy. Je to o to naliehavejšie, že mzdy zamestnancov, hlavne duchovných, sú na úrovni minimálnej mzdy, aj s praxou nad 20 rokov. </w:t>
      </w:r>
    </w:p>
    <w:p w14:paraId="63595D6B" w14:textId="77777777" w:rsidR="00AD20CF" w:rsidRPr="000F5833" w:rsidRDefault="00A861E0" w:rsidP="00C12069">
      <w:pPr>
        <w:jc w:val="both"/>
        <w:divId w:val="349644031"/>
        <w:rPr>
          <w:rFonts w:ascii="Times New Roman" w:hAnsi="Times New Roman"/>
          <w:sz w:val="24"/>
          <w:szCs w:val="24"/>
        </w:rPr>
      </w:pPr>
      <w:r w:rsidRPr="000F5833">
        <w:rPr>
          <w:rFonts w:ascii="Times New Roman" w:hAnsi="Times New Roman"/>
          <w:sz w:val="24"/>
          <w:szCs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14:paraId="7661B8F8" w14:textId="77777777" w:rsidR="00A8774D" w:rsidRPr="000F5833" w:rsidRDefault="00004E20" w:rsidP="00FB4305">
      <w:pPr>
        <w:jc w:val="both"/>
        <w:rPr>
          <w:rFonts w:ascii="Times New Roman" w:hAnsi="Times New Roman"/>
          <w:sz w:val="24"/>
          <w:szCs w:val="24"/>
        </w:rPr>
      </w:pPr>
      <w:r w:rsidRPr="000F5833">
        <w:rPr>
          <w:rFonts w:ascii="Times New Roman" w:hAnsi="Times New Roman"/>
          <w:sz w:val="24"/>
          <w:szCs w:val="24"/>
        </w:rPr>
        <w:t>Prijatie navrhovaného zákona bude mať negatívne</w:t>
      </w:r>
      <w:r w:rsidR="00A8774D" w:rsidRPr="000F5833">
        <w:rPr>
          <w:rFonts w:ascii="Times New Roman" w:hAnsi="Times New Roman"/>
          <w:sz w:val="24"/>
          <w:szCs w:val="24"/>
        </w:rPr>
        <w:t xml:space="preserve"> </w:t>
      </w:r>
      <w:r w:rsidRPr="000F5833">
        <w:rPr>
          <w:rFonts w:ascii="Times New Roman" w:hAnsi="Times New Roman"/>
          <w:sz w:val="24"/>
          <w:szCs w:val="24"/>
        </w:rPr>
        <w:t>vplyvy na rozpočet verejnej správy. Prijatie navrhovaného zákona nebude mať vplyvy na manželstvo, rodičovstvo a rodinu, nebude mať vplyvy na podnikateľské prostredie, sociálne vplyvy, vplyvy na životné prostredie, vplyvy na informatizáciu spoločnosti, nebude mať vplyvy ani na služby verejnej správy pre občana.</w:t>
      </w:r>
      <w:r w:rsidR="002179E1" w:rsidRPr="000F5833">
        <w:rPr>
          <w:rFonts w:ascii="Times New Roman" w:hAnsi="Times New Roman"/>
          <w:sz w:val="24"/>
          <w:szCs w:val="24"/>
        </w:rPr>
        <w:t xml:space="preserve"> </w:t>
      </w:r>
    </w:p>
    <w:p w14:paraId="1E01FFE7" w14:textId="77777777" w:rsidR="000A3CB9" w:rsidRPr="000F5833" w:rsidRDefault="000A3CB9">
      <w:pPr>
        <w:widowControl/>
        <w:adjustRightInd/>
        <w:rPr>
          <w:rFonts w:ascii="Times New Roman" w:hAnsi="Times New Roman"/>
          <w:b/>
          <w:sz w:val="24"/>
          <w:szCs w:val="24"/>
          <w:lang w:eastAsia="sk-SK"/>
        </w:rPr>
      </w:pPr>
      <w:r w:rsidRPr="000F5833">
        <w:rPr>
          <w:rFonts w:ascii="Times New Roman" w:hAnsi="Times New Roman"/>
          <w:b/>
          <w:sz w:val="24"/>
          <w:szCs w:val="24"/>
          <w:lang w:eastAsia="sk-SK"/>
        </w:rPr>
        <w:br w:type="page"/>
      </w:r>
    </w:p>
    <w:p w14:paraId="4DC2F37E" w14:textId="77777777" w:rsidR="00F70B06" w:rsidRPr="000F5833" w:rsidRDefault="00F70B06" w:rsidP="00C12069">
      <w:pPr>
        <w:widowControl/>
        <w:spacing w:after="0" w:line="240" w:lineRule="auto"/>
        <w:jc w:val="both"/>
        <w:rPr>
          <w:rFonts w:ascii="Times New Roman" w:hAnsi="Times New Roman"/>
          <w:b/>
          <w:sz w:val="24"/>
          <w:szCs w:val="24"/>
          <w:lang w:eastAsia="sk-SK"/>
        </w:rPr>
      </w:pPr>
      <w:r w:rsidRPr="000F5833">
        <w:rPr>
          <w:rFonts w:ascii="Times New Roman" w:hAnsi="Times New Roman"/>
          <w:b/>
          <w:sz w:val="24"/>
          <w:szCs w:val="24"/>
          <w:lang w:eastAsia="sk-SK"/>
        </w:rPr>
        <w:lastRenderedPageBreak/>
        <w:t>B. Osobitná časť</w:t>
      </w:r>
    </w:p>
    <w:p w14:paraId="4B0419EA" w14:textId="77777777" w:rsidR="00F70B06" w:rsidRPr="000F5833" w:rsidRDefault="00F70B06" w:rsidP="00C12069">
      <w:pPr>
        <w:pStyle w:val="Svetlmriekazvraznenie31"/>
        <w:spacing w:after="160" w:line="252" w:lineRule="auto"/>
        <w:ind w:left="0"/>
        <w:jc w:val="both"/>
        <w:rPr>
          <w:sz w:val="24"/>
          <w:szCs w:val="24"/>
        </w:rPr>
      </w:pPr>
    </w:p>
    <w:p w14:paraId="77630A7C" w14:textId="77777777" w:rsidR="00624AC4" w:rsidRPr="000F5833" w:rsidRDefault="00624AC4" w:rsidP="00C12069">
      <w:pPr>
        <w:pStyle w:val="Svetlmriekazvraznenie31"/>
        <w:spacing w:after="160" w:line="252" w:lineRule="auto"/>
        <w:ind w:left="0"/>
        <w:jc w:val="both"/>
        <w:rPr>
          <w:b/>
          <w:sz w:val="24"/>
          <w:szCs w:val="24"/>
        </w:rPr>
      </w:pPr>
      <w:r w:rsidRPr="000F5833">
        <w:rPr>
          <w:b/>
          <w:sz w:val="24"/>
          <w:szCs w:val="24"/>
        </w:rPr>
        <w:t>K čl.</w:t>
      </w:r>
      <w:r w:rsidR="00FC53BF" w:rsidRPr="000F5833">
        <w:rPr>
          <w:b/>
          <w:sz w:val="24"/>
          <w:szCs w:val="24"/>
        </w:rPr>
        <w:t xml:space="preserve"> </w:t>
      </w:r>
      <w:r w:rsidRPr="000F5833">
        <w:rPr>
          <w:b/>
          <w:sz w:val="24"/>
          <w:szCs w:val="24"/>
        </w:rPr>
        <w:t>I</w:t>
      </w:r>
    </w:p>
    <w:p w14:paraId="2D962724" w14:textId="77777777" w:rsidR="00F70B06" w:rsidRPr="000F5833" w:rsidRDefault="00EA7CFF" w:rsidP="00C12069">
      <w:pPr>
        <w:jc w:val="both"/>
        <w:rPr>
          <w:rFonts w:ascii="Times New Roman" w:hAnsi="Times New Roman"/>
          <w:bCs/>
          <w:sz w:val="24"/>
          <w:szCs w:val="24"/>
        </w:rPr>
      </w:pPr>
      <w:r w:rsidRPr="000F5833">
        <w:rPr>
          <w:rFonts w:ascii="Times New Roman" w:hAnsi="Times New Roman"/>
          <w:bCs/>
          <w:sz w:val="24"/>
          <w:szCs w:val="24"/>
        </w:rPr>
        <w:t>K bodu</w:t>
      </w:r>
      <w:r w:rsidR="00624AC4" w:rsidRPr="000F5833">
        <w:rPr>
          <w:rFonts w:ascii="Times New Roman" w:hAnsi="Times New Roman"/>
          <w:bCs/>
          <w:sz w:val="24"/>
          <w:szCs w:val="24"/>
        </w:rPr>
        <w:t xml:space="preserve"> 1</w:t>
      </w:r>
      <w:r w:rsidRPr="000F5833">
        <w:rPr>
          <w:rFonts w:ascii="Times New Roman" w:hAnsi="Times New Roman"/>
          <w:bCs/>
          <w:sz w:val="24"/>
          <w:szCs w:val="24"/>
        </w:rPr>
        <w:t xml:space="preserve"> </w:t>
      </w:r>
    </w:p>
    <w:p w14:paraId="74685FB9" w14:textId="77777777" w:rsidR="00624AC4" w:rsidRPr="000F5833" w:rsidRDefault="00EC7FC0" w:rsidP="00C12069">
      <w:pPr>
        <w:jc w:val="both"/>
        <w:rPr>
          <w:rFonts w:ascii="Times New Roman" w:hAnsi="Times New Roman"/>
          <w:sz w:val="24"/>
          <w:szCs w:val="24"/>
        </w:rPr>
      </w:pPr>
      <w:r w:rsidRPr="000F5833">
        <w:rPr>
          <w:rFonts w:ascii="Times New Roman" w:hAnsi="Times New Roman"/>
          <w:bCs/>
          <w:sz w:val="24"/>
          <w:szCs w:val="24"/>
        </w:rPr>
        <w:t xml:space="preserve">Navrhuje sa </w:t>
      </w:r>
      <w:r w:rsidRPr="000F5833">
        <w:rPr>
          <w:rFonts w:ascii="Times New Roman" w:hAnsi="Times New Roman"/>
          <w:sz w:val="24"/>
          <w:szCs w:val="24"/>
        </w:rPr>
        <w:t>nahradiť ukazovateľ valorizácie miezd zamestnancov pri výkone práce vo verejnom záujme za</w:t>
      </w:r>
      <w:r w:rsidR="00245009" w:rsidRPr="000F5833">
        <w:rPr>
          <w:rFonts w:ascii="Times New Roman" w:hAnsi="Times New Roman"/>
          <w:sz w:val="24"/>
          <w:szCs w:val="24"/>
        </w:rPr>
        <w:t xml:space="preserve"> </w:t>
      </w:r>
      <w:r w:rsidRPr="000F5833">
        <w:rPr>
          <w:rFonts w:ascii="Times New Roman" w:hAnsi="Times New Roman"/>
          <w:sz w:val="24"/>
          <w:szCs w:val="24"/>
        </w:rPr>
        <w:t xml:space="preserve">ukazovateľ, ktorý by objektívnejšie zohľadňoval nárast mzdových nákladov v ekonomike. Z tohto hľadiska sa ako najvhodnejší javí </w:t>
      </w:r>
      <w:r w:rsidRPr="000F5833">
        <w:rPr>
          <w:rFonts w:ascii="Times New Roman" w:hAnsi="Times New Roman"/>
          <w:b/>
          <w:bCs/>
          <w:sz w:val="24"/>
          <w:szCs w:val="24"/>
        </w:rPr>
        <w:t>rast priemernej mzdy v hospodárstve</w:t>
      </w:r>
      <w:r w:rsidRPr="000F5833">
        <w:rPr>
          <w:rFonts w:ascii="Times New Roman" w:hAnsi="Times New Roman"/>
          <w:sz w:val="24"/>
          <w:szCs w:val="24"/>
        </w:rPr>
        <w:t xml:space="preserve">. </w:t>
      </w:r>
    </w:p>
    <w:p w14:paraId="632D3FA1" w14:textId="77777777" w:rsidR="009F79C7" w:rsidRPr="000F5833" w:rsidRDefault="009F79C7" w:rsidP="009F79C7">
      <w:pPr>
        <w:jc w:val="both"/>
        <w:rPr>
          <w:rFonts w:ascii="Times New Roman" w:hAnsi="Times New Roman"/>
          <w:b/>
          <w:sz w:val="24"/>
          <w:szCs w:val="24"/>
        </w:rPr>
      </w:pPr>
      <w:r w:rsidRPr="000F5833">
        <w:rPr>
          <w:rFonts w:ascii="Times New Roman" w:hAnsi="Times New Roman"/>
          <w:b/>
          <w:sz w:val="24"/>
          <w:szCs w:val="24"/>
        </w:rPr>
        <w:t>K bodu 2</w:t>
      </w:r>
    </w:p>
    <w:p w14:paraId="59EEF467" w14:textId="77777777" w:rsidR="009F79C7" w:rsidRPr="000F5833" w:rsidRDefault="009F79C7" w:rsidP="009F79C7">
      <w:pPr>
        <w:jc w:val="both"/>
        <w:rPr>
          <w:rFonts w:ascii="Times New Roman" w:hAnsi="Times New Roman"/>
          <w:bCs/>
          <w:sz w:val="24"/>
          <w:szCs w:val="24"/>
        </w:rPr>
      </w:pPr>
      <w:r w:rsidRPr="000F5833">
        <w:rPr>
          <w:rFonts w:ascii="Times New Roman" w:hAnsi="Times New Roman"/>
          <w:sz w:val="24"/>
          <w:szCs w:val="24"/>
        </w:rPr>
        <w:t>Po schválení navrhovanej novely zákona č. 370/2019 Z. z. uvedenej vyššie môže nastať situácia, kedy by v dôsledku nulového rastu minimálnej mzdy (ďalej len MM) poklesol transfer z rozpočtu niektorým cirkvám oproti predchádzajúcemu roku. To by sťažilo podmienky rozpočtovania, predovšetkým v oblasti financovania platov duchovných osôb týchto cirkví.  Konkrétne, napríklad v situácii ak by v jednom roku bol transfer niektorej cirkvi dorovnaný do úrovne medziročného tempa rastu MM, ale ak by už v nasledujúcom roku bol schválený nulový rast MM, tak danej cirkvi by transfer medziročne poklesol v prospech veľkých cirkví v dôsledku platného vzorca. Zafixovanie alebo príp. pokles MM by totiž znamenalo aplikáciu pôvodného vzorca podľa §5 ods. 2 písm. a) a b). To by malo za následok medziročný pokles dotácie u</w:t>
      </w:r>
      <w:r w:rsidR="00FC53BF" w:rsidRPr="000F5833">
        <w:rPr>
          <w:rFonts w:ascii="Times New Roman" w:hAnsi="Times New Roman"/>
          <w:sz w:val="24"/>
          <w:szCs w:val="24"/>
        </w:rPr>
        <w:t> </w:t>
      </w:r>
      <w:r w:rsidRPr="000F5833">
        <w:rPr>
          <w:rFonts w:ascii="Times New Roman" w:hAnsi="Times New Roman"/>
          <w:sz w:val="24"/>
          <w:szCs w:val="24"/>
        </w:rPr>
        <w:t>v</w:t>
      </w:r>
      <w:r w:rsidR="00FC53BF" w:rsidRPr="000F5833">
        <w:rPr>
          <w:rFonts w:ascii="Times New Roman" w:hAnsi="Times New Roman"/>
          <w:sz w:val="24"/>
          <w:szCs w:val="24"/>
        </w:rPr>
        <w:t xml:space="preserve">äčšiny </w:t>
      </w:r>
      <w:r w:rsidRPr="000F5833">
        <w:rPr>
          <w:rFonts w:ascii="Times New Roman" w:hAnsi="Times New Roman"/>
          <w:sz w:val="24"/>
          <w:szCs w:val="24"/>
        </w:rPr>
        <w:t xml:space="preserve">cirkví, okrem </w:t>
      </w:r>
      <w:r w:rsidR="00FC53BF" w:rsidRPr="000F5833">
        <w:rPr>
          <w:rFonts w:ascii="Times New Roman" w:hAnsi="Times New Roman"/>
          <w:sz w:val="24"/>
          <w:szCs w:val="24"/>
        </w:rPr>
        <w:t>2-3</w:t>
      </w:r>
      <w:r w:rsidRPr="000F5833">
        <w:rPr>
          <w:rFonts w:ascii="Times New Roman" w:hAnsi="Times New Roman"/>
          <w:sz w:val="24"/>
          <w:szCs w:val="24"/>
        </w:rPr>
        <w:t xml:space="preserve"> najväčších, nakoľko sumy navýšenia z predchádzajúcich rokov, ktorými sa dorovnávalo do rastu MM, by sa rozdelili podľa pôvodného vzorca. To by výrazne sťažovalo situáciu a rozpočtovanie predovšetkým menším cirkvám, keďže v jednom roku by sa zvýšili platové výmery duchovných podľa finančných možností konkrétnej cirkvi a v ďalšom roku by už cirkev nedostala rovnaký transfer zo štátneho rozpočtu ako v predchádzajúcom roku. Konkrétne sa navrhuje zmeniť §5 ods. 2 písm. a) tak, že každá cirkev dostane to, čo predchádzajúci rok a zvyšok si rozdelia pomerne podľa počtu veriacich. Táto úprava by nemala dopad na štátny rozpočet, keďže mení iba spôsob prerozdeľovania transferu zo štátneho rozpočtu.</w:t>
      </w:r>
    </w:p>
    <w:p w14:paraId="3F23095B" w14:textId="77777777" w:rsidR="00F70B06" w:rsidRPr="000F5833" w:rsidRDefault="00234410" w:rsidP="00C12069">
      <w:pPr>
        <w:jc w:val="both"/>
        <w:rPr>
          <w:rFonts w:ascii="Times New Roman" w:hAnsi="Times New Roman"/>
          <w:b/>
          <w:bCs/>
          <w:sz w:val="24"/>
          <w:szCs w:val="24"/>
        </w:rPr>
      </w:pPr>
      <w:r w:rsidRPr="000F5833">
        <w:rPr>
          <w:rFonts w:ascii="Times New Roman" w:hAnsi="Times New Roman"/>
          <w:b/>
          <w:bCs/>
          <w:sz w:val="24"/>
          <w:szCs w:val="24"/>
        </w:rPr>
        <w:t>K bodom</w:t>
      </w:r>
      <w:r w:rsidR="009F79C7" w:rsidRPr="000F5833">
        <w:rPr>
          <w:rFonts w:ascii="Times New Roman" w:hAnsi="Times New Roman"/>
          <w:b/>
          <w:bCs/>
          <w:sz w:val="24"/>
          <w:szCs w:val="24"/>
        </w:rPr>
        <w:t xml:space="preserve"> 3</w:t>
      </w:r>
      <w:r w:rsidRPr="000F5833">
        <w:rPr>
          <w:rFonts w:ascii="Times New Roman" w:hAnsi="Times New Roman"/>
          <w:b/>
          <w:bCs/>
          <w:sz w:val="24"/>
          <w:szCs w:val="24"/>
        </w:rPr>
        <w:t xml:space="preserve"> a 4</w:t>
      </w:r>
    </w:p>
    <w:p w14:paraId="3E2ABE27" w14:textId="77777777" w:rsidR="00624AC4" w:rsidRPr="000F5833" w:rsidRDefault="00EC7FC0" w:rsidP="00C12069">
      <w:pPr>
        <w:jc w:val="both"/>
        <w:rPr>
          <w:rFonts w:ascii="Times New Roman" w:hAnsi="Times New Roman"/>
          <w:sz w:val="24"/>
          <w:szCs w:val="24"/>
        </w:rPr>
      </w:pPr>
      <w:r w:rsidRPr="000F5833">
        <w:rPr>
          <w:rFonts w:ascii="Times New Roman" w:hAnsi="Times New Roman"/>
          <w:bCs/>
          <w:sz w:val="24"/>
          <w:szCs w:val="24"/>
        </w:rPr>
        <w:t xml:space="preserve">Navrhuje sa doplniť </w:t>
      </w:r>
      <w:r w:rsidRPr="000F5833">
        <w:rPr>
          <w:rFonts w:ascii="Times New Roman" w:hAnsi="Times New Roman"/>
          <w:sz w:val="24"/>
          <w:szCs w:val="24"/>
        </w:rPr>
        <w:t xml:space="preserve">do zákona ustanovenie, ktoré bude každej cirkvi </w:t>
      </w:r>
      <w:r w:rsidRPr="000F5833">
        <w:rPr>
          <w:rFonts w:ascii="Times New Roman" w:hAnsi="Times New Roman"/>
          <w:bCs/>
          <w:sz w:val="24"/>
          <w:szCs w:val="24"/>
        </w:rPr>
        <w:t>garantovať medziročný nárast príspevku o tempo rastu minimálnej mzdy</w:t>
      </w:r>
      <w:r w:rsidRPr="000F5833">
        <w:rPr>
          <w:rFonts w:ascii="Times New Roman" w:hAnsi="Times New Roman"/>
          <w:sz w:val="24"/>
          <w:szCs w:val="24"/>
        </w:rPr>
        <w:t>. Riešením je doplniť do zákona nový článok zavádzajúci tzv. „</w:t>
      </w:r>
      <w:r w:rsidR="006D299E" w:rsidRPr="000F5833">
        <w:rPr>
          <w:rFonts w:ascii="Times New Roman" w:hAnsi="Times New Roman"/>
          <w:sz w:val="24"/>
          <w:szCs w:val="24"/>
        </w:rPr>
        <w:t xml:space="preserve">garančný </w:t>
      </w:r>
      <w:r w:rsidRPr="000F5833">
        <w:rPr>
          <w:rFonts w:ascii="Times New Roman" w:hAnsi="Times New Roman"/>
          <w:sz w:val="24"/>
          <w:szCs w:val="24"/>
        </w:rPr>
        <w:t xml:space="preserve">mechanizmus“. Celkový príspevok štátu sa vypočítala podľa § 4 a následne sa podľa § 5 ods. 2 rozdelí medzi jednotlivé cirkvi, tak ako doteraz. Navrhovaným </w:t>
      </w:r>
      <w:r w:rsidR="006D299E" w:rsidRPr="000F5833">
        <w:rPr>
          <w:rFonts w:ascii="Times New Roman" w:hAnsi="Times New Roman"/>
          <w:sz w:val="24"/>
          <w:szCs w:val="24"/>
        </w:rPr>
        <w:t xml:space="preserve">garančným </w:t>
      </w:r>
      <w:r w:rsidRPr="000F5833">
        <w:rPr>
          <w:rFonts w:ascii="Times New Roman" w:hAnsi="Times New Roman"/>
          <w:sz w:val="24"/>
          <w:szCs w:val="24"/>
        </w:rPr>
        <w:t xml:space="preserve">mechanizmom by sa príspevok </w:t>
      </w:r>
      <w:r w:rsidRPr="000F5833">
        <w:rPr>
          <w:rFonts w:ascii="Times New Roman" w:hAnsi="Times New Roman"/>
          <w:bCs/>
          <w:sz w:val="24"/>
          <w:szCs w:val="24"/>
        </w:rPr>
        <w:t>dorovnal iba tým cirkvám, ktorých medziročný nárast príspevku by nedosahoval rast minimálnej mzdy</w:t>
      </w:r>
      <w:r w:rsidRPr="000F5833">
        <w:rPr>
          <w:rFonts w:ascii="Times New Roman" w:hAnsi="Times New Roman"/>
          <w:sz w:val="24"/>
          <w:szCs w:val="24"/>
        </w:rPr>
        <w:t>.</w:t>
      </w:r>
    </w:p>
    <w:p w14:paraId="08CDACB2" w14:textId="77777777" w:rsidR="00EC7FC0" w:rsidRPr="000F5833" w:rsidRDefault="00EC7FC0" w:rsidP="00C12069">
      <w:pPr>
        <w:jc w:val="both"/>
        <w:rPr>
          <w:rFonts w:ascii="Times New Roman" w:hAnsi="Times New Roman"/>
          <w:sz w:val="24"/>
          <w:szCs w:val="24"/>
        </w:rPr>
      </w:pPr>
      <w:r w:rsidRPr="000F5833">
        <w:rPr>
          <w:rFonts w:ascii="Times New Roman" w:hAnsi="Times New Roman"/>
          <w:sz w:val="24"/>
          <w:szCs w:val="24"/>
        </w:rPr>
        <w:t xml:space="preserve">Zapracovaním </w:t>
      </w:r>
      <w:r w:rsidR="006D299E" w:rsidRPr="000F5833">
        <w:rPr>
          <w:rFonts w:ascii="Times New Roman" w:hAnsi="Times New Roman"/>
          <w:sz w:val="24"/>
          <w:szCs w:val="24"/>
        </w:rPr>
        <w:t xml:space="preserve">garančného </w:t>
      </w:r>
      <w:r w:rsidRPr="000F5833">
        <w:rPr>
          <w:rFonts w:ascii="Times New Roman" w:hAnsi="Times New Roman"/>
          <w:sz w:val="24"/>
          <w:szCs w:val="24"/>
        </w:rPr>
        <w:t xml:space="preserve">mechanizmu podľa navrhovaného §5 ods. 2 písm. c) bude do budúcnosti zabezpečený rast príspevku pre každú cirkev minimálne vo výške rastu minimálnej mzdy. </w:t>
      </w:r>
    </w:p>
    <w:p w14:paraId="5566E9ED" w14:textId="77777777" w:rsidR="001B4897" w:rsidRPr="000F5833" w:rsidRDefault="001B4897" w:rsidP="001B4897">
      <w:pPr>
        <w:jc w:val="both"/>
        <w:rPr>
          <w:rFonts w:ascii="Times New Roman" w:hAnsi="Times New Roman"/>
          <w:sz w:val="24"/>
          <w:szCs w:val="24"/>
        </w:rPr>
      </w:pPr>
      <w:r w:rsidRPr="000F5833">
        <w:rPr>
          <w:rFonts w:ascii="Times New Roman" w:hAnsi="Times New Roman"/>
          <w:sz w:val="24"/>
          <w:szCs w:val="24"/>
        </w:rPr>
        <w:t xml:space="preserve">Navrhované zmeny majú zamedziť nežiadúcemu vývoju v prípade, že by sa nepriaznivá situácia, podobná ako v čase pandémie vyskytla aj v budúcnosti. </w:t>
      </w:r>
    </w:p>
    <w:p w14:paraId="68290AF4" w14:textId="77777777" w:rsidR="00234410" w:rsidRPr="000F5833" w:rsidRDefault="00234410" w:rsidP="00234410">
      <w:pPr>
        <w:jc w:val="both"/>
        <w:rPr>
          <w:rFonts w:ascii="Times New Roman" w:hAnsi="Times New Roman"/>
          <w:bCs/>
          <w:sz w:val="24"/>
          <w:szCs w:val="24"/>
        </w:rPr>
      </w:pPr>
      <w:r w:rsidRPr="000F5833">
        <w:rPr>
          <w:rFonts w:ascii="Times New Roman" w:hAnsi="Times New Roman"/>
          <w:bCs/>
          <w:sz w:val="24"/>
          <w:szCs w:val="24"/>
        </w:rPr>
        <w:t xml:space="preserve">V nadväznosti na navrhovanú úpravu §4 ods. 1 sa navrhuje zmena vzorca výpočtu sumy príspevku </w:t>
      </w:r>
      <w:r w:rsidRPr="000F5833">
        <w:rPr>
          <w:rFonts w:ascii="Times New Roman" w:hAnsi="Times New Roman"/>
          <w:bCs/>
          <w:sz w:val="24"/>
          <w:szCs w:val="24"/>
        </w:rPr>
        <w:lastRenderedPageBreak/>
        <w:t>štátu.</w:t>
      </w:r>
    </w:p>
    <w:p w14:paraId="09961506" w14:textId="77777777" w:rsidR="00234410" w:rsidRPr="000F5833" w:rsidRDefault="00234410" w:rsidP="00C12069">
      <w:pPr>
        <w:jc w:val="both"/>
        <w:rPr>
          <w:rFonts w:ascii="Times New Roman" w:hAnsi="Times New Roman"/>
          <w:bCs/>
          <w:sz w:val="24"/>
          <w:szCs w:val="24"/>
        </w:rPr>
      </w:pPr>
    </w:p>
    <w:p w14:paraId="5DB14D9C" w14:textId="77777777" w:rsidR="00F70B06" w:rsidRPr="000F5833" w:rsidRDefault="00624AC4" w:rsidP="00C12069">
      <w:pPr>
        <w:jc w:val="both"/>
        <w:rPr>
          <w:rFonts w:ascii="Times New Roman" w:hAnsi="Times New Roman"/>
          <w:b/>
          <w:bCs/>
          <w:sz w:val="24"/>
          <w:szCs w:val="24"/>
        </w:rPr>
      </w:pPr>
      <w:r w:rsidRPr="000F5833">
        <w:rPr>
          <w:rFonts w:ascii="Times New Roman" w:hAnsi="Times New Roman"/>
          <w:b/>
          <w:bCs/>
          <w:sz w:val="24"/>
          <w:szCs w:val="24"/>
        </w:rPr>
        <w:t>K čl.</w:t>
      </w:r>
      <w:r w:rsidR="00FC53BF" w:rsidRPr="000F5833">
        <w:rPr>
          <w:rFonts w:ascii="Times New Roman" w:hAnsi="Times New Roman"/>
          <w:b/>
          <w:bCs/>
          <w:sz w:val="24"/>
          <w:szCs w:val="24"/>
        </w:rPr>
        <w:t xml:space="preserve"> </w:t>
      </w:r>
      <w:r w:rsidRPr="000F5833">
        <w:rPr>
          <w:rFonts w:ascii="Times New Roman" w:hAnsi="Times New Roman"/>
          <w:b/>
          <w:bCs/>
          <w:sz w:val="24"/>
          <w:szCs w:val="24"/>
        </w:rPr>
        <w:t>II</w:t>
      </w:r>
    </w:p>
    <w:p w14:paraId="75FB4FFB" w14:textId="73CBB195" w:rsidR="00B909CF" w:rsidRPr="000F5833" w:rsidRDefault="00EA7CFF" w:rsidP="00C12069">
      <w:pPr>
        <w:jc w:val="both"/>
        <w:rPr>
          <w:rFonts w:ascii="Times New Roman" w:hAnsi="Times New Roman"/>
          <w:sz w:val="24"/>
          <w:szCs w:val="24"/>
        </w:rPr>
      </w:pPr>
      <w:r w:rsidRPr="000F5833">
        <w:rPr>
          <w:rFonts w:ascii="Times New Roman" w:hAnsi="Times New Roman"/>
          <w:sz w:val="24"/>
          <w:szCs w:val="24"/>
        </w:rPr>
        <w:t xml:space="preserve">Navrhuje sa účinnosť predkladaného zákona </w:t>
      </w:r>
      <w:r w:rsidR="00404375">
        <w:rPr>
          <w:rFonts w:ascii="Times New Roman" w:hAnsi="Times New Roman"/>
          <w:sz w:val="24"/>
          <w:szCs w:val="24"/>
        </w:rPr>
        <w:t>dňom zverejnenia v Zbierke zákonov</w:t>
      </w:r>
      <w:r w:rsidRPr="000F5833">
        <w:rPr>
          <w:rFonts w:ascii="Times New Roman" w:hAnsi="Times New Roman"/>
          <w:sz w:val="24"/>
          <w:szCs w:val="24"/>
        </w:rPr>
        <w:t>.</w:t>
      </w:r>
      <w:r w:rsidR="005B607C" w:rsidRPr="000F5833">
        <w:rPr>
          <w:rFonts w:ascii="Times New Roman" w:hAnsi="Times New Roman"/>
          <w:sz w:val="24"/>
          <w:szCs w:val="24"/>
        </w:rPr>
        <w:t xml:space="preserve"> </w:t>
      </w:r>
    </w:p>
    <w:p w14:paraId="4538491E" w14:textId="77777777" w:rsidR="00B909CF" w:rsidRPr="000F5833" w:rsidRDefault="00B909CF">
      <w:pPr>
        <w:widowControl/>
        <w:adjustRightInd/>
        <w:rPr>
          <w:rFonts w:ascii="Times New Roman" w:hAnsi="Times New Roman"/>
          <w:sz w:val="24"/>
          <w:szCs w:val="24"/>
        </w:rPr>
      </w:pPr>
      <w:r w:rsidRPr="000F5833">
        <w:rPr>
          <w:rFonts w:ascii="Times New Roman" w:hAnsi="Times New Roman"/>
          <w:sz w:val="24"/>
          <w:szCs w:val="24"/>
        </w:rPr>
        <w:br w:type="page"/>
      </w:r>
    </w:p>
    <w:p w14:paraId="1B59E455" w14:textId="77777777" w:rsidR="00B909CF" w:rsidRPr="000F5833" w:rsidRDefault="00B909CF" w:rsidP="00B909CF">
      <w:pPr>
        <w:spacing w:before="120"/>
        <w:jc w:val="center"/>
        <w:rPr>
          <w:rFonts w:ascii="Times New Roman" w:hAnsi="Times New Roman"/>
          <w:b/>
          <w:smallCaps/>
          <w:sz w:val="24"/>
          <w:szCs w:val="24"/>
        </w:rPr>
      </w:pPr>
      <w:r w:rsidRPr="000F5833">
        <w:rPr>
          <w:rFonts w:ascii="Times New Roman" w:hAnsi="Times New Roman"/>
          <w:b/>
          <w:smallCaps/>
          <w:sz w:val="24"/>
          <w:szCs w:val="24"/>
        </w:rPr>
        <w:lastRenderedPageBreak/>
        <w:t>DOLOŽKA ZLUČITEĽNOSTI</w:t>
      </w:r>
    </w:p>
    <w:p w14:paraId="629961F3" w14:textId="77777777" w:rsidR="00B909CF" w:rsidRPr="000F5833" w:rsidRDefault="00B909CF" w:rsidP="00B909CF">
      <w:pPr>
        <w:spacing w:before="120" w:after="0"/>
        <w:jc w:val="center"/>
        <w:rPr>
          <w:rFonts w:ascii="Times New Roman" w:hAnsi="Times New Roman"/>
          <w:sz w:val="24"/>
          <w:szCs w:val="24"/>
        </w:rPr>
      </w:pPr>
      <w:r w:rsidRPr="000F5833">
        <w:rPr>
          <w:rFonts w:ascii="Times New Roman" w:hAnsi="Times New Roman"/>
          <w:b/>
          <w:sz w:val="24"/>
          <w:szCs w:val="24"/>
        </w:rPr>
        <w:t>návrhu zákona</w:t>
      </w:r>
      <w:r w:rsidRPr="000F5833">
        <w:rPr>
          <w:rFonts w:ascii="Times New Roman" w:hAnsi="Times New Roman"/>
          <w:sz w:val="24"/>
          <w:szCs w:val="24"/>
        </w:rPr>
        <w:t xml:space="preserve"> </w:t>
      </w:r>
      <w:r w:rsidRPr="000F5833">
        <w:rPr>
          <w:rFonts w:ascii="Times New Roman" w:hAnsi="Times New Roman"/>
          <w:b/>
          <w:sz w:val="24"/>
          <w:szCs w:val="24"/>
        </w:rPr>
        <w:t>s právom Európskej únie</w:t>
      </w:r>
    </w:p>
    <w:p w14:paraId="314F95A6" w14:textId="77777777" w:rsidR="00B909CF" w:rsidRPr="000F5833" w:rsidRDefault="00B909CF" w:rsidP="00B909CF">
      <w:pPr>
        <w:spacing w:before="120" w:after="0"/>
        <w:jc w:val="both"/>
        <w:rPr>
          <w:rFonts w:ascii="Times New Roman" w:hAnsi="Times New Roman"/>
          <w:sz w:val="24"/>
          <w:szCs w:val="24"/>
        </w:rPr>
      </w:pPr>
      <w:r w:rsidRPr="000F5833">
        <w:rPr>
          <w:rFonts w:ascii="Times New Roman" w:hAnsi="Times New Roman"/>
          <w:sz w:val="24"/>
          <w:szCs w:val="24"/>
        </w:rPr>
        <w:t> </w:t>
      </w:r>
    </w:p>
    <w:p w14:paraId="552CCA22" w14:textId="66A941B8" w:rsidR="00B909CF" w:rsidRPr="000F5833" w:rsidRDefault="00B909CF" w:rsidP="00B909CF">
      <w:pPr>
        <w:spacing w:before="120" w:after="0"/>
        <w:jc w:val="both"/>
        <w:rPr>
          <w:rFonts w:ascii="Times New Roman" w:hAnsi="Times New Roman"/>
          <w:sz w:val="24"/>
          <w:szCs w:val="24"/>
        </w:rPr>
      </w:pPr>
      <w:r w:rsidRPr="000F5833">
        <w:rPr>
          <w:rFonts w:ascii="Times New Roman" w:hAnsi="Times New Roman"/>
          <w:b/>
          <w:sz w:val="24"/>
          <w:szCs w:val="24"/>
        </w:rPr>
        <w:t>1. Navrhovateľ zákona:</w:t>
      </w:r>
      <w:r w:rsidRPr="000F5833">
        <w:rPr>
          <w:rFonts w:ascii="Times New Roman" w:hAnsi="Times New Roman"/>
          <w:sz w:val="24"/>
          <w:szCs w:val="24"/>
        </w:rPr>
        <w:t xml:space="preserve"> poslanci Národnej rady Slovenskej republiky </w:t>
      </w:r>
      <w:r w:rsidR="00404375">
        <w:rPr>
          <w:rFonts w:ascii="Times New Roman" w:hAnsi="Times New Roman"/>
          <w:sz w:val="24"/>
          <w:szCs w:val="24"/>
        </w:rPr>
        <w:t>Richard VAŠEČKA</w:t>
      </w:r>
      <w:r w:rsidR="00494956">
        <w:rPr>
          <w:rFonts w:ascii="Times New Roman" w:hAnsi="Times New Roman"/>
          <w:sz w:val="24"/>
          <w:szCs w:val="24"/>
        </w:rPr>
        <w:t>,</w:t>
      </w:r>
      <w:r w:rsidR="00404375">
        <w:rPr>
          <w:rFonts w:ascii="Times New Roman" w:hAnsi="Times New Roman"/>
          <w:sz w:val="24"/>
          <w:szCs w:val="24"/>
        </w:rPr>
        <w:t xml:space="preserve"> </w:t>
      </w:r>
      <w:r w:rsidRPr="000F5833">
        <w:rPr>
          <w:rFonts w:ascii="Times New Roman" w:hAnsi="Times New Roman"/>
          <w:sz w:val="24"/>
          <w:szCs w:val="24"/>
        </w:rPr>
        <w:t xml:space="preserve">Anna </w:t>
      </w:r>
      <w:r w:rsidR="00404375">
        <w:rPr>
          <w:rFonts w:ascii="Times New Roman" w:hAnsi="Times New Roman"/>
          <w:sz w:val="24"/>
          <w:szCs w:val="24"/>
        </w:rPr>
        <w:t>ZÁBORSKÁ</w:t>
      </w:r>
      <w:r w:rsidR="00494956">
        <w:rPr>
          <w:rFonts w:ascii="Times New Roman" w:hAnsi="Times New Roman"/>
          <w:sz w:val="24"/>
          <w:szCs w:val="24"/>
        </w:rPr>
        <w:t xml:space="preserve"> a Gábor GRENDEL</w:t>
      </w:r>
    </w:p>
    <w:p w14:paraId="32536979" w14:textId="77777777" w:rsidR="00B909CF" w:rsidRPr="000F5833" w:rsidRDefault="00B909CF" w:rsidP="00B909CF">
      <w:pPr>
        <w:spacing w:before="120"/>
        <w:jc w:val="both"/>
        <w:rPr>
          <w:rFonts w:ascii="Times New Roman" w:hAnsi="Times New Roman"/>
          <w:b/>
          <w:sz w:val="24"/>
          <w:szCs w:val="24"/>
        </w:rPr>
      </w:pPr>
    </w:p>
    <w:p w14:paraId="450208BE" w14:textId="77777777" w:rsidR="00B909CF" w:rsidRPr="000F5833" w:rsidRDefault="00B909CF" w:rsidP="00B909CF">
      <w:pPr>
        <w:jc w:val="both"/>
        <w:rPr>
          <w:rFonts w:ascii="Times New Roman" w:hAnsi="Times New Roman"/>
          <w:b/>
          <w:sz w:val="24"/>
          <w:szCs w:val="24"/>
        </w:rPr>
      </w:pPr>
      <w:r w:rsidRPr="000F5833">
        <w:rPr>
          <w:rFonts w:ascii="Times New Roman" w:hAnsi="Times New Roman"/>
          <w:b/>
          <w:sz w:val="24"/>
          <w:szCs w:val="24"/>
        </w:rPr>
        <w:t>2. Názov návrhu zákona:</w:t>
      </w:r>
      <w:r w:rsidRPr="000F5833">
        <w:rPr>
          <w:rFonts w:ascii="Times New Roman" w:hAnsi="Times New Roman"/>
          <w:sz w:val="24"/>
          <w:szCs w:val="24"/>
        </w:rPr>
        <w:t xml:space="preserve"> návrh zákona, </w:t>
      </w:r>
      <w:r w:rsidRPr="000F5833">
        <w:rPr>
          <w:rFonts w:ascii="Times New Roman" w:hAnsi="Times New Roman"/>
          <w:bCs/>
          <w:sz w:val="24"/>
          <w:szCs w:val="24"/>
        </w:rPr>
        <w:t xml:space="preserve">ktorým sa mení a dopĺňa zákon č. </w:t>
      </w:r>
      <w:r w:rsidRPr="000F5833">
        <w:rPr>
          <w:rFonts w:ascii="Times New Roman" w:hAnsi="Times New Roman"/>
          <w:sz w:val="24"/>
          <w:szCs w:val="24"/>
        </w:rPr>
        <w:t xml:space="preserve">370/2019 Z. z. o finančnej podpore činnosti cirkví a náboženských spoločností </w:t>
      </w:r>
    </w:p>
    <w:p w14:paraId="7A164D4B" w14:textId="77777777" w:rsidR="00B909CF" w:rsidRPr="000F5833" w:rsidRDefault="00B909CF" w:rsidP="00B909CF">
      <w:pPr>
        <w:spacing w:before="120"/>
        <w:jc w:val="both"/>
        <w:rPr>
          <w:rFonts w:ascii="Times New Roman" w:hAnsi="Times New Roman"/>
          <w:sz w:val="24"/>
          <w:szCs w:val="24"/>
        </w:rPr>
      </w:pPr>
    </w:p>
    <w:p w14:paraId="44A02225" w14:textId="77777777" w:rsidR="00B909CF" w:rsidRPr="000F5833" w:rsidRDefault="00B909CF" w:rsidP="00B909CF">
      <w:pPr>
        <w:spacing w:before="120"/>
        <w:jc w:val="both"/>
        <w:rPr>
          <w:rFonts w:ascii="Times New Roman" w:hAnsi="Times New Roman"/>
          <w:b/>
          <w:sz w:val="24"/>
          <w:szCs w:val="24"/>
        </w:rPr>
      </w:pPr>
      <w:r w:rsidRPr="000F5833">
        <w:rPr>
          <w:rFonts w:ascii="Times New Roman" w:hAnsi="Times New Roman"/>
          <w:b/>
          <w:sz w:val="24"/>
          <w:szCs w:val="24"/>
        </w:rPr>
        <w:t>3. Predmet návrhu zákona:</w:t>
      </w:r>
    </w:p>
    <w:p w14:paraId="4E4AAE7F" w14:textId="77777777" w:rsidR="00B909CF" w:rsidRPr="000F5833" w:rsidRDefault="00B909CF" w:rsidP="00B909CF">
      <w:pPr>
        <w:widowControl/>
        <w:numPr>
          <w:ilvl w:val="0"/>
          <w:numId w:val="2"/>
        </w:numPr>
        <w:adjustRightInd/>
        <w:spacing w:before="120" w:after="0"/>
        <w:jc w:val="both"/>
        <w:rPr>
          <w:rFonts w:ascii="Times New Roman" w:hAnsi="Times New Roman"/>
          <w:sz w:val="24"/>
          <w:szCs w:val="24"/>
        </w:rPr>
      </w:pPr>
      <w:r w:rsidRPr="000F5833">
        <w:rPr>
          <w:rFonts w:ascii="Times New Roman" w:hAnsi="Times New Roman"/>
          <w:sz w:val="24"/>
          <w:szCs w:val="24"/>
        </w:rPr>
        <w:t xml:space="preserve">Nie je upravený v primárnom práve Európskej únie, </w:t>
      </w:r>
    </w:p>
    <w:p w14:paraId="22151BCD" w14:textId="77777777" w:rsidR="00B909CF" w:rsidRPr="000F5833" w:rsidRDefault="00B909CF" w:rsidP="00B909CF">
      <w:pPr>
        <w:widowControl/>
        <w:numPr>
          <w:ilvl w:val="0"/>
          <w:numId w:val="2"/>
        </w:numPr>
        <w:adjustRightInd/>
        <w:spacing w:before="120" w:after="0"/>
        <w:jc w:val="both"/>
        <w:rPr>
          <w:rFonts w:ascii="Times New Roman" w:hAnsi="Times New Roman"/>
          <w:sz w:val="24"/>
          <w:szCs w:val="24"/>
        </w:rPr>
      </w:pPr>
      <w:r w:rsidRPr="000F5833">
        <w:rPr>
          <w:rFonts w:ascii="Times New Roman" w:hAnsi="Times New Roman"/>
          <w:sz w:val="24"/>
          <w:szCs w:val="24"/>
        </w:rPr>
        <w:t>Nie je upravené v sekundárnom práve Európskej únie,</w:t>
      </w:r>
    </w:p>
    <w:p w14:paraId="1ED83CE6" w14:textId="77777777" w:rsidR="00B909CF" w:rsidRPr="000F5833" w:rsidRDefault="00B909CF" w:rsidP="00B909CF">
      <w:pPr>
        <w:widowControl/>
        <w:numPr>
          <w:ilvl w:val="0"/>
          <w:numId w:val="2"/>
        </w:numPr>
        <w:adjustRightInd/>
        <w:spacing w:before="120" w:after="0"/>
        <w:jc w:val="both"/>
        <w:rPr>
          <w:rFonts w:ascii="Times New Roman" w:hAnsi="Times New Roman"/>
          <w:sz w:val="24"/>
          <w:szCs w:val="24"/>
        </w:rPr>
      </w:pPr>
      <w:r w:rsidRPr="000F5833">
        <w:rPr>
          <w:rFonts w:ascii="Times New Roman" w:hAnsi="Times New Roman"/>
          <w:sz w:val="24"/>
          <w:szCs w:val="24"/>
        </w:rPr>
        <w:t>nie je obsiahnutý v judikatúre Súdneho dvora Európskej únie.</w:t>
      </w:r>
    </w:p>
    <w:p w14:paraId="68A50A96" w14:textId="77777777" w:rsidR="00B909CF" w:rsidRPr="000F5833" w:rsidRDefault="00B909CF" w:rsidP="00B909CF">
      <w:pPr>
        <w:ind w:left="720"/>
        <w:jc w:val="both"/>
        <w:rPr>
          <w:rFonts w:ascii="Times New Roman" w:hAnsi="Times New Roman"/>
          <w:sz w:val="24"/>
          <w:szCs w:val="24"/>
        </w:rPr>
      </w:pPr>
    </w:p>
    <w:p w14:paraId="1E93FDD4" w14:textId="77777777" w:rsidR="00B909CF" w:rsidRPr="000F5833" w:rsidRDefault="00B909CF" w:rsidP="00B909CF">
      <w:pPr>
        <w:spacing w:before="120"/>
        <w:jc w:val="both"/>
        <w:rPr>
          <w:rFonts w:ascii="Times New Roman" w:hAnsi="Times New Roman"/>
          <w:b/>
          <w:sz w:val="24"/>
          <w:szCs w:val="24"/>
        </w:rPr>
      </w:pPr>
      <w:r w:rsidRPr="000F5833">
        <w:rPr>
          <w:rFonts w:ascii="Times New Roman" w:hAnsi="Times New Roman"/>
          <w:b/>
          <w:sz w:val="24"/>
          <w:szCs w:val="24"/>
        </w:rPr>
        <w:t>4. Záväzky Slovenskej republiky vo vzťahu k Európskej únii:</w:t>
      </w:r>
    </w:p>
    <w:p w14:paraId="2E7D5F9F" w14:textId="77777777" w:rsidR="00B909CF" w:rsidRPr="000F5833" w:rsidRDefault="00B909CF" w:rsidP="00B909CF">
      <w:pPr>
        <w:widowControl/>
        <w:numPr>
          <w:ilvl w:val="0"/>
          <w:numId w:val="3"/>
        </w:numPr>
        <w:adjustRightInd/>
        <w:spacing w:before="120" w:after="0"/>
        <w:jc w:val="both"/>
        <w:rPr>
          <w:rFonts w:ascii="Times New Roman" w:hAnsi="Times New Roman"/>
          <w:sz w:val="24"/>
          <w:szCs w:val="24"/>
        </w:rPr>
      </w:pPr>
      <w:r w:rsidRPr="000F5833">
        <w:rPr>
          <w:rFonts w:ascii="Times New Roman" w:hAnsi="Times New Roman"/>
          <w:sz w:val="24"/>
          <w:szCs w:val="24"/>
        </w:rPr>
        <w:t>bezpredmetné,</w:t>
      </w:r>
    </w:p>
    <w:p w14:paraId="1ACA13AE" w14:textId="77777777" w:rsidR="00B909CF" w:rsidRPr="000F5833" w:rsidRDefault="00B909CF" w:rsidP="00B909CF">
      <w:pPr>
        <w:widowControl/>
        <w:numPr>
          <w:ilvl w:val="0"/>
          <w:numId w:val="3"/>
        </w:numPr>
        <w:adjustRightInd/>
        <w:spacing w:before="120" w:after="0"/>
        <w:jc w:val="both"/>
        <w:rPr>
          <w:rFonts w:ascii="Times New Roman" w:hAnsi="Times New Roman"/>
          <w:sz w:val="24"/>
          <w:szCs w:val="24"/>
        </w:rPr>
      </w:pPr>
      <w:r w:rsidRPr="000F5833">
        <w:rPr>
          <w:rFonts w:ascii="Times New Roman" w:hAnsi="Times New Roman"/>
          <w:sz w:val="24"/>
          <w:szCs w:val="24"/>
        </w:rPr>
        <w:t>bezpredmetné,</w:t>
      </w:r>
    </w:p>
    <w:p w14:paraId="5561C789" w14:textId="77777777" w:rsidR="00B909CF" w:rsidRPr="000F5833" w:rsidRDefault="00B909CF" w:rsidP="00B909CF">
      <w:pPr>
        <w:widowControl/>
        <w:numPr>
          <w:ilvl w:val="0"/>
          <w:numId w:val="3"/>
        </w:numPr>
        <w:adjustRightInd/>
        <w:spacing w:before="120" w:after="0"/>
        <w:jc w:val="both"/>
        <w:rPr>
          <w:rFonts w:ascii="Times New Roman" w:hAnsi="Times New Roman"/>
          <w:sz w:val="24"/>
          <w:szCs w:val="24"/>
        </w:rPr>
      </w:pPr>
      <w:r w:rsidRPr="000F5833">
        <w:rPr>
          <w:rFonts w:ascii="Times New Roman" w:hAnsi="Times New Roman"/>
          <w:sz w:val="24"/>
          <w:szCs w:val="24"/>
        </w:rPr>
        <w:t>bezpredmetné.</w:t>
      </w:r>
    </w:p>
    <w:p w14:paraId="2330BDFE" w14:textId="77777777" w:rsidR="00B909CF" w:rsidRPr="000F5833" w:rsidRDefault="00B909CF" w:rsidP="00B909CF">
      <w:pPr>
        <w:ind w:left="720"/>
        <w:jc w:val="both"/>
        <w:rPr>
          <w:rFonts w:ascii="Times New Roman" w:hAnsi="Times New Roman"/>
          <w:sz w:val="24"/>
          <w:szCs w:val="24"/>
        </w:rPr>
      </w:pPr>
    </w:p>
    <w:p w14:paraId="1FF59058" w14:textId="77777777" w:rsidR="00B909CF" w:rsidRPr="000F5833" w:rsidRDefault="00B909CF" w:rsidP="00B909CF">
      <w:pPr>
        <w:spacing w:before="120"/>
        <w:jc w:val="both"/>
        <w:rPr>
          <w:rFonts w:ascii="Times New Roman" w:hAnsi="Times New Roman"/>
          <w:b/>
          <w:sz w:val="24"/>
          <w:szCs w:val="24"/>
        </w:rPr>
      </w:pPr>
      <w:r w:rsidRPr="000F5833">
        <w:rPr>
          <w:rFonts w:ascii="Times New Roman" w:hAnsi="Times New Roman"/>
          <w:b/>
          <w:sz w:val="24"/>
          <w:szCs w:val="24"/>
        </w:rPr>
        <w:t>5. Stupeň zlučiteľnosti návrhu zákona s právom Európskej únie:</w:t>
      </w:r>
    </w:p>
    <w:p w14:paraId="2AAF35FE" w14:textId="77777777" w:rsidR="00B909CF" w:rsidRPr="000F5833" w:rsidRDefault="00B909CF" w:rsidP="00B909CF">
      <w:pPr>
        <w:spacing w:before="120"/>
        <w:jc w:val="both"/>
        <w:rPr>
          <w:rFonts w:ascii="Times New Roman" w:hAnsi="Times New Roman"/>
          <w:sz w:val="24"/>
          <w:szCs w:val="24"/>
        </w:rPr>
      </w:pPr>
      <w:r w:rsidRPr="000F5833">
        <w:rPr>
          <w:rFonts w:ascii="Times New Roman" w:hAnsi="Times New Roman"/>
          <w:sz w:val="24"/>
          <w:szCs w:val="24"/>
        </w:rPr>
        <w:t>- úplný.</w:t>
      </w:r>
    </w:p>
    <w:p w14:paraId="1EB729B1" w14:textId="77777777" w:rsidR="00B909CF" w:rsidRPr="000F5833" w:rsidRDefault="00B909CF" w:rsidP="00B909CF">
      <w:pPr>
        <w:spacing w:before="120" w:after="0"/>
        <w:jc w:val="both"/>
        <w:rPr>
          <w:rFonts w:ascii="Times New Roman" w:hAnsi="Times New Roman"/>
          <w:sz w:val="24"/>
          <w:szCs w:val="24"/>
        </w:rPr>
      </w:pPr>
    </w:p>
    <w:p w14:paraId="73C72BA9" w14:textId="77777777" w:rsidR="00B909CF" w:rsidRPr="000F5833" w:rsidRDefault="00B909CF" w:rsidP="00B909CF">
      <w:pPr>
        <w:spacing w:before="120"/>
        <w:ind w:left="720"/>
        <w:jc w:val="both"/>
        <w:rPr>
          <w:rFonts w:ascii="Times New Roman" w:hAnsi="Times New Roman"/>
          <w:sz w:val="24"/>
          <w:szCs w:val="24"/>
        </w:rPr>
      </w:pPr>
      <w:r w:rsidRPr="000F5833">
        <w:rPr>
          <w:rFonts w:ascii="Times New Roman" w:hAnsi="Times New Roman"/>
          <w:sz w:val="24"/>
          <w:szCs w:val="24"/>
        </w:rPr>
        <w:t xml:space="preserve"> </w:t>
      </w:r>
    </w:p>
    <w:p w14:paraId="3AE2F3B9" w14:textId="77777777" w:rsidR="00576389" w:rsidRPr="000F5833" w:rsidRDefault="00576389">
      <w:pPr>
        <w:widowControl/>
        <w:adjustRightInd/>
        <w:rPr>
          <w:rFonts w:ascii="Times New Roman" w:hAnsi="Times New Roman"/>
          <w:b/>
          <w:smallCaps/>
          <w:sz w:val="24"/>
          <w:szCs w:val="24"/>
        </w:rPr>
      </w:pPr>
      <w:r w:rsidRPr="000F5833">
        <w:rPr>
          <w:rFonts w:ascii="Times New Roman" w:hAnsi="Times New Roman"/>
          <w:b/>
          <w:smallCaps/>
          <w:sz w:val="24"/>
          <w:szCs w:val="24"/>
        </w:rPr>
        <w:br w:type="page"/>
      </w:r>
    </w:p>
    <w:p w14:paraId="2FACC777" w14:textId="77777777" w:rsidR="00B909CF" w:rsidRPr="000F5833" w:rsidRDefault="00B909CF" w:rsidP="00B909CF">
      <w:pPr>
        <w:spacing w:before="120"/>
        <w:jc w:val="center"/>
        <w:rPr>
          <w:rFonts w:ascii="Times New Roman" w:hAnsi="Times New Roman"/>
          <w:sz w:val="24"/>
          <w:szCs w:val="24"/>
        </w:rPr>
      </w:pPr>
      <w:r w:rsidRPr="000F5833">
        <w:rPr>
          <w:rFonts w:ascii="Times New Roman" w:hAnsi="Times New Roman"/>
          <w:b/>
          <w:smallCaps/>
          <w:sz w:val="24"/>
          <w:szCs w:val="24"/>
        </w:rPr>
        <w:lastRenderedPageBreak/>
        <w:t>DOLOŽKA</w:t>
      </w:r>
    </w:p>
    <w:p w14:paraId="126CF01B" w14:textId="77777777" w:rsidR="00B909CF" w:rsidRPr="000F5833" w:rsidRDefault="00B909CF" w:rsidP="00B909CF">
      <w:pPr>
        <w:spacing w:before="120" w:after="0"/>
        <w:jc w:val="center"/>
        <w:rPr>
          <w:rFonts w:ascii="Times New Roman" w:hAnsi="Times New Roman"/>
          <w:sz w:val="24"/>
          <w:szCs w:val="24"/>
        </w:rPr>
      </w:pPr>
      <w:r w:rsidRPr="000F5833">
        <w:rPr>
          <w:rFonts w:ascii="Times New Roman" w:hAnsi="Times New Roman"/>
          <w:b/>
          <w:sz w:val="24"/>
          <w:szCs w:val="24"/>
        </w:rPr>
        <w:t>vybraných vplyvov</w:t>
      </w:r>
    </w:p>
    <w:p w14:paraId="78440768" w14:textId="77777777" w:rsidR="00B909CF" w:rsidRPr="000F5833" w:rsidRDefault="00B909CF" w:rsidP="00B909CF">
      <w:pPr>
        <w:spacing w:before="120" w:after="0"/>
        <w:jc w:val="both"/>
        <w:rPr>
          <w:rFonts w:ascii="Times New Roman" w:hAnsi="Times New Roman"/>
          <w:sz w:val="24"/>
          <w:szCs w:val="24"/>
        </w:rPr>
      </w:pPr>
      <w:r w:rsidRPr="000F5833">
        <w:rPr>
          <w:rFonts w:ascii="Times New Roman" w:hAnsi="Times New Roman"/>
          <w:sz w:val="24"/>
          <w:szCs w:val="24"/>
        </w:rPr>
        <w:t> </w:t>
      </w:r>
    </w:p>
    <w:p w14:paraId="64DD2B8C" w14:textId="77777777" w:rsidR="00B909CF" w:rsidRPr="000F5833" w:rsidRDefault="00B909CF" w:rsidP="00B909CF">
      <w:pPr>
        <w:jc w:val="both"/>
        <w:rPr>
          <w:rFonts w:ascii="Times New Roman" w:hAnsi="Times New Roman"/>
          <w:b/>
          <w:sz w:val="24"/>
          <w:szCs w:val="24"/>
        </w:rPr>
      </w:pPr>
      <w:r w:rsidRPr="000F5833">
        <w:rPr>
          <w:rFonts w:ascii="Times New Roman" w:hAnsi="Times New Roman"/>
          <w:b/>
          <w:sz w:val="24"/>
          <w:szCs w:val="24"/>
        </w:rPr>
        <w:t xml:space="preserve">A.1. Názov materiálu: </w:t>
      </w:r>
      <w:r w:rsidRPr="000F5833">
        <w:rPr>
          <w:rFonts w:ascii="Times New Roman" w:hAnsi="Times New Roman"/>
          <w:sz w:val="24"/>
          <w:szCs w:val="24"/>
        </w:rPr>
        <w:t xml:space="preserve">návrh zákona, </w:t>
      </w:r>
      <w:r w:rsidRPr="000F5833">
        <w:rPr>
          <w:rFonts w:ascii="Times New Roman" w:hAnsi="Times New Roman"/>
          <w:bCs/>
          <w:sz w:val="24"/>
          <w:szCs w:val="24"/>
        </w:rPr>
        <w:t xml:space="preserve">ktorým sa mení a dopĺňa zákon č. </w:t>
      </w:r>
      <w:r w:rsidRPr="000F5833">
        <w:rPr>
          <w:rFonts w:ascii="Times New Roman" w:hAnsi="Times New Roman"/>
          <w:sz w:val="24"/>
          <w:szCs w:val="24"/>
        </w:rPr>
        <w:t xml:space="preserve">370/2019 Z. z. o finančnej podpore činnosti cirkví a náboženských spoločností </w:t>
      </w:r>
    </w:p>
    <w:p w14:paraId="13DC82FD" w14:textId="77777777" w:rsidR="00B909CF" w:rsidRPr="000F5833" w:rsidRDefault="00B909CF" w:rsidP="00B909CF">
      <w:pPr>
        <w:spacing w:before="200"/>
        <w:jc w:val="both"/>
        <w:rPr>
          <w:rFonts w:ascii="Times New Roman" w:hAnsi="Times New Roman"/>
          <w:b/>
          <w:sz w:val="24"/>
          <w:szCs w:val="24"/>
        </w:rPr>
      </w:pPr>
    </w:p>
    <w:p w14:paraId="0D99D152" w14:textId="77777777" w:rsidR="00B909CF" w:rsidRPr="000F5833" w:rsidRDefault="00B909CF" w:rsidP="00B909CF">
      <w:pPr>
        <w:spacing w:before="120"/>
        <w:jc w:val="both"/>
        <w:rPr>
          <w:rFonts w:ascii="Times New Roman" w:hAnsi="Times New Roman"/>
          <w:sz w:val="24"/>
          <w:szCs w:val="24"/>
        </w:rPr>
      </w:pPr>
      <w:r w:rsidRPr="000F5833">
        <w:rPr>
          <w:rFonts w:ascii="Times New Roman" w:hAnsi="Times New Roman"/>
          <w:b/>
          <w:sz w:val="24"/>
          <w:szCs w:val="24"/>
        </w:rPr>
        <w:t>Termín začatia a ukončenia PPK:</w:t>
      </w:r>
      <w:r w:rsidRPr="000F5833">
        <w:rPr>
          <w:rFonts w:ascii="Times New Roman" w:hAnsi="Times New Roman"/>
          <w:sz w:val="24"/>
          <w:szCs w:val="24"/>
        </w:rPr>
        <w:t xml:space="preserve"> </w:t>
      </w:r>
      <w:r w:rsidRPr="000F5833">
        <w:rPr>
          <w:rFonts w:ascii="Times New Roman" w:hAnsi="Times New Roman"/>
          <w:i/>
          <w:sz w:val="24"/>
          <w:szCs w:val="24"/>
        </w:rPr>
        <w:t>bezpredmetné</w:t>
      </w:r>
    </w:p>
    <w:p w14:paraId="60FFED1C" w14:textId="77777777" w:rsidR="00B909CF" w:rsidRPr="000F5833" w:rsidRDefault="00B909CF" w:rsidP="00B909CF">
      <w:pPr>
        <w:spacing w:before="120"/>
        <w:jc w:val="both"/>
        <w:rPr>
          <w:rFonts w:ascii="Times New Roman" w:hAnsi="Times New Roman"/>
          <w:i/>
          <w:sz w:val="24"/>
          <w:szCs w:val="24"/>
        </w:rPr>
      </w:pPr>
    </w:p>
    <w:p w14:paraId="55383F76" w14:textId="77777777" w:rsidR="00B909CF" w:rsidRPr="000F5833" w:rsidRDefault="00B909CF" w:rsidP="00B909CF">
      <w:pPr>
        <w:spacing w:before="120" w:after="0"/>
        <w:jc w:val="both"/>
        <w:rPr>
          <w:rFonts w:ascii="Times New Roman" w:hAnsi="Times New Roman"/>
          <w:sz w:val="24"/>
          <w:szCs w:val="24"/>
        </w:rPr>
      </w:pPr>
      <w:r w:rsidRPr="000F5833">
        <w:rPr>
          <w:rFonts w:ascii="Times New Roman" w:hAnsi="Times New Roman"/>
          <w:b/>
          <w:sz w:val="24"/>
          <w:szCs w:val="24"/>
        </w:rPr>
        <w:t>A.2. Vplyvy:</w:t>
      </w:r>
    </w:p>
    <w:tbl>
      <w:tblPr>
        <w:tblW w:w="9185" w:type="dxa"/>
        <w:tblInd w:w="-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0" w:type="dxa"/>
        </w:tblCellMar>
        <w:tblLook w:val="0400" w:firstRow="0" w:lastRow="0" w:firstColumn="0" w:lastColumn="0" w:noHBand="0" w:noVBand="1"/>
      </w:tblPr>
      <w:tblGrid>
        <w:gridCol w:w="5449"/>
        <w:gridCol w:w="1235"/>
        <w:gridCol w:w="1176"/>
        <w:gridCol w:w="1325"/>
      </w:tblGrid>
      <w:tr w:rsidR="000F5833" w:rsidRPr="000F5833" w14:paraId="3D938EA0"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9E7681B"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D91D6A2"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Pozitívne </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EE3E43D"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Žiadne </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B7B47A"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Negatívne </w:t>
            </w:r>
          </w:p>
        </w:tc>
      </w:tr>
      <w:tr w:rsidR="000F5833" w:rsidRPr="000F5833" w14:paraId="4376CD64"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0D375F3"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1. Vplyvy na rozpočet verejnej správy</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B60E5B6"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F594950" w14:textId="77777777" w:rsidR="00B909CF" w:rsidRPr="000F5833" w:rsidRDefault="00B909CF" w:rsidP="0057079D">
            <w:pPr>
              <w:spacing w:before="120" w:after="0"/>
              <w:jc w:val="center"/>
              <w:rPr>
                <w:rFonts w:ascii="Times New Roman" w:hAnsi="Times New Roman"/>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F5E65DE"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r>
      <w:tr w:rsidR="000F5833" w:rsidRPr="000F5833" w14:paraId="6B80866B"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FB243B4"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2. Vplyvy na podnikateľské prostredie – dochádza k zvýšeniu regulačného zaťaženia?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4DC2A15"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D472B5C"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E57706B"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61EB333F"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CB1B700"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3. Sociálne vplyvy</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8C645DB"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972A7A5"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E962A8C"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49870013" w14:textId="77777777" w:rsidTr="0057079D">
        <w:trPr>
          <w:trHeight w:val="441"/>
        </w:trPr>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719D16E"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vplyvy na hospodárenie obyvateľstva,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4841EC2"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B9CE259"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CA4636B"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79EFD1F6"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B1AAAA6"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xml:space="preserve">– sociálnu </w:t>
            </w:r>
            <w:proofErr w:type="spellStart"/>
            <w:r w:rsidRPr="000F5833">
              <w:rPr>
                <w:rFonts w:ascii="Times New Roman" w:hAnsi="Times New Roman"/>
                <w:sz w:val="24"/>
                <w:szCs w:val="24"/>
              </w:rPr>
              <w:t>exklúziu</w:t>
            </w:r>
            <w:proofErr w:type="spellEnd"/>
            <w:r w:rsidRPr="000F5833">
              <w:rPr>
                <w:rFonts w:ascii="Times New Roman" w:hAnsi="Times New Roman"/>
                <w:sz w:val="24"/>
                <w:szCs w:val="24"/>
              </w:rPr>
              <w:t>,</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1182AA"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FCE7DDD"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FBF5369"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76F7F7BA"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056BD03"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rovnosť príležitostí a rodovú rovnosť a vplyvy na zamestnanosť</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A9DCC45"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2B2450A"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C0F6DE5"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67AFCD80"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1E79F6C"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4. Vplyvy na životné prostredie</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DDBA7A8"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EBBC56C"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491C7EF"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211B258A"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E6B91BF"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5. Vplyvy na informatizáciu spoločnosti</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FC33BF4"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FDFEB3C"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C5056B5"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396D1046"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7BD30F" w14:textId="77777777" w:rsidR="00B909CF" w:rsidRPr="000F5833" w:rsidRDefault="00B909CF" w:rsidP="0057079D">
            <w:pPr>
              <w:spacing w:before="120" w:after="0"/>
              <w:jc w:val="both"/>
              <w:rPr>
                <w:rFonts w:ascii="Times New Roman" w:hAnsi="Times New Roman"/>
                <w:sz w:val="24"/>
                <w:szCs w:val="24"/>
              </w:rPr>
            </w:pPr>
            <w:r w:rsidRPr="000F5833">
              <w:rPr>
                <w:rStyle w:val="awspan"/>
                <w:sz w:val="24"/>
                <w:szCs w:val="24"/>
              </w:rPr>
              <w:t>6. Vplyvy na služby verejnej správy pre občana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E5CBB92"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9490B4"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C8019DD"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09815572"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81610DE" w14:textId="4F1680C6" w:rsidR="00B909CF" w:rsidRPr="000F5833" w:rsidRDefault="00B909CF" w:rsidP="0057079D">
            <w:pPr>
              <w:spacing w:before="120" w:after="0"/>
              <w:jc w:val="both"/>
              <w:rPr>
                <w:rFonts w:ascii="Times New Roman" w:hAnsi="Times New Roman"/>
                <w:sz w:val="24"/>
                <w:szCs w:val="24"/>
              </w:rPr>
            </w:pPr>
            <w:r w:rsidRPr="000F5833">
              <w:rPr>
                <w:rStyle w:val="awspan"/>
                <w:sz w:val="24"/>
                <w:szCs w:val="24"/>
              </w:rPr>
              <w:t>7. Vplyvy na manželstvo, rodičovstvo a</w:t>
            </w:r>
            <w:r w:rsidR="00AC5B23">
              <w:rPr>
                <w:rStyle w:val="awspan"/>
                <w:sz w:val="24"/>
                <w:szCs w:val="24"/>
              </w:rPr>
              <w:t> </w:t>
            </w:r>
            <w:r w:rsidRPr="000F5833">
              <w:rPr>
                <w:rStyle w:val="awspan"/>
                <w:sz w:val="24"/>
                <w:szCs w:val="24"/>
              </w:rPr>
              <w:t>rodinu</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191DA67"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374A5BF"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D073B79" w14:textId="77777777" w:rsidR="00B909CF" w:rsidRPr="000F5833" w:rsidRDefault="00B909CF" w:rsidP="0057079D">
            <w:pPr>
              <w:spacing w:before="120" w:after="0"/>
              <w:jc w:val="center"/>
              <w:rPr>
                <w:rFonts w:ascii="Times New Roman" w:hAnsi="Times New Roman"/>
                <w:sz w:val="24"/>
                <w:szCs w:val="24"/>
              </w:rPr>
            </w:pPr>
          </w:p>
        </w:tc>
      </w:tr>
    </w:tbl>
    <w:p w14:paraId="41B7AAA4" w14:textId="77777777" w:rsidR="00B909CF" w:rsidRPr="000F5833" w:rsidRDefault="00B909CF" w:rsidP="00B909CF">
      <w:pPr>
        <w:spacing w:before="120" w:after="0"/>
        <w:jc w:val="both"/>
        <w:rPr>
          <w:rFonts w:ascii="Times New Roman" w:hAnsi="Times New Roman"/>
          <w:sz w:val="24"/>
          <w:szCs w:val="24"/>
        </w:rPr>
      </w:pPr>
      <w:r w:rsidRPr="000F5833">
        <w:rPr>
          <w:rFonts w:ascii="Times New Roman" w:hAnsi="Times New Roman"/>
          <w:sz w:val="24"/>
          <w:szCs w:val="24"/>
        </w:rPr>
        <w:t> </w:t>
      </w:r>
    </w:p>
    <w:p w14:paraId="3E1A2035" w14:textId="77777777" w:rsidR="00B909CF" w:rsidRPr="000F5833" w:rsidRDefault="00B909CF" w:rsidP="00B909CF">
      <w:pPr>
        <w:spacing w:before="120" w:after="0"/>
        <w:jc w:val="both"/>
        <w:rPr>
          <w:rFonts w:ascii="Times New Roman" w:hAnsi="Times New Roman"/>
          <w:b/>
          <w:sz w:val="24"/>
          <w:szCs w:val="24"/>
        </w:rPr>
      </w:pPr>
      <w:r w:rsidRPr="000F5833">
        <w:rPr>
          <w:rFonts w:ascii="Times New Roman" w:hAnsi="Times New Roman"/>
          <w:b/>
          <w:sz w:val="24"/>
          <w:szCs w:val="24"/>
        </w:rPr>
        <w:t>A.3. Poznámky</w:t>
      </w:r>
    </w:p>
    <w:p w14:paraId="0B5267CD" w14:textId="77777777" w:rsidR="00576389" w:rsidRPr="000F5833" w:rsidRDefault="00576389" w:rsidP="00B909CF">
      <w:pPr>
        <w:spacing w:before="120" w:after="0"/>
        <w:jc w:val="both"/>
        <w:rPr>
          <w:rFonts w:ascii="Times New Roman" w:hAnsi="Times New Roman"/>
          <w:b/>
          <w:sz w:val="24"/>
          <w:szCs w:val="24"/>
        </w:rPr>
      </w:pPr>
    </w:p>
    <w:p w14:paraId="34AF384F" w14:textId="77777777" w:rsidR="002F50BB" w:rsidRPr="000F5833" w:rsidRDefault="00576389" w:rsidP="00576389">
      <w:pPr>
        <w:jc w:val="both"/>
        <w:rPr>
          <w:rFonts w:ascii="Times New Roman" w:hAnsi="Times New Roman"/>
          <w:sz w:val="24"/>
          <w:szCs w:val="24"/>
        </w:rPr>
      </w:pPr>
      <w:r w:rsidRPr="000F5833">
        <w:rPr>
          <w:rFonts w:ascii="Times New Roman" w:hAnsi="Times New Roman"/>
          <w:sz w:val="24"/>
          <w:szCs w:val="24"/>
        </w:rPr>
        <w:t>Nižšie je uvedená tabuľka, kde sú namodelované dopady na štátny rozpočet v rokoch 202</w:t>
      </w:r>
      <w:r w:rsidR="00683B4E" w:rsidRPr="000F5833">
        <w:rPr>
          <w:rFonts w:ascii="Times New Roman" w:hAnsi="Times New Roman"/>
          <w:sz w:val="24"/>
          <w:szCs w:val="24"/>
        </w:rPr>
        <w:t>4</w:t>
      </w:r>
      <w:r w:rsidRPr="000F5833">
        <w:rPr>
          <w:rFonts w:ascii="Times New Roman" w:hAnsi="Times New Roman"/>
          <w:sz w:val="24"/>
          <w:szCs w:val="24"/>
        </w:rPr>
        <w:t xml:space="preserve"> až 2026. Tieto dopady sú ovplyvnené </w:t>
      </w:r>
      <w:r w:rsidR="00683B4E" w:rsidRPr="000F5833">
        <w:rPr>
          <w:rFonts w:ascii="Times New Roman" w:hAnsi="Times New Roman"/>
          <w:sz w:val="24"/>
          <w:szCs w:val="24"/>
        </w:rPr>
        <w:t xml:space="preserve">hlavne </w:t>
      </w:r>
      <w:r w:rsidRPr="000F5833">
        <w:rPr>
          <w:rFonts w:ascii="Times New Roman" w:hAnsi="Times New Roman"/>
          <w:sz w:val="24"/>
          <w:szCs w:val="24"/>
        </w:rPr>
        <w:t>mierou rastu platov zamestnancov pri výkone práce vo verejnom záujme</w:t>
      </w:r>
      <w:r w:rsidR="00683B4E" w:rsidRPr="000F5833">
        <w:rPr>
          <w:rFonts w:ascii="Times New Roman" w:hAnsi="Times New Roman"/>
          <w:sz w:val="24"/>
          <w:szCs w:val="24"/>
        </w:rPr>
        <w:t>. Keďže sa zatiaľ s</w:t>
      </w:r>
      <w:r w:rsidR="00785640" w:rsidRPr="000F5833">
        <w:rPr>
          <w:rFonts w:ascii="Times New Roman" w:hAnsi="Times New Roman"/>
          <w:sz w:val="24"/>
          <w:szCs w:val="24"/>
        </w:rPr>
        <w:t> touto valorizáciou</w:t>
      </w:r>
      <w:r w:rsidR="00683B4E" w:rsidRPr="000F5833">
        <w:rPr>
          <w:rFonts w:ascii="Times New Roman" w:hAnsi="Times New Roman"/>
          <w:sz w:val="24"/>
          <w:szCs w:val="24"/>
        </w:rPr>
        <w:t xml:space="preserve"> v aktuálnom návrhu rozpočtu verejnej správy na roky 2024 až 2026 neuvažuje</w:t>
      </w:r>
      <w:r w:rsidRPr="000F5833">
        <w:rPr>
          <w:rFonts w:ascii="Times New Roman" w:hAnsi="Times New Roman"/>
          <w:sz w:val="24"/>
          <w:szCs w:val="24"/>
        </w:rPr>
        <w:t>,</w:t>
      </w:r>
      <w:r w:rsidR="00683B4E" w:rsidRPr="000F5833">
        <w:rPr>
          <w:rFonts w:ascii="Times New Roman" w:hAnsi="Times New Roman"/>
          <w:sz w:val="24"/>
          <w:szCs w:val="24"/>
        </w:rPr>
        <w:t xml:space="preserve"> vo výpočte dopadov je použitý rast 0%, čo aktuálne spôsobuje uvedený vplyv na rozpočet. Ďalej sú dopady ovplyvnené </w:t>
      </w:r>
      <w:r w:rsidRPr="000F5833">
        <w:rPr>
          <w:rFonts w:ascii="Times New Roman" w:hAnsi="Times New Roman"/>
          <w:sz w:val="24"/>
          <w:szCs w:val="24"/>
        </w:rPr>
        <w:t>rastom priemernej mzdy</w:t>
      </w:r>
      <w:r w:rsidR="00683B4E" w:rsidRPr="000F5833">
        <w:rPr>
          <w:rFonts w:ascii="Times New Roman" w:hAnsi="Times New Roman"/>
          <w:sz w:val="24"/>
          <w:szCs w:val="24"/>
        </w:rPr>
        <w:t xml:space="preserve"> </w:t>
      </w:r>
      <w:r w:rsidRPr="000F5833">
        <w:rPr>
          <w:rFonts w:ascii="Times New Roman" w:hAnsi="Times New Roman"/>
          <w:sz w:val="24"/>
          <w:szCs w:val="24"/>
        </w:rPr>
        <w:t>v hospodárstve, výškou inflácie</w:t>
      </w:r>
      <w:r w:rsidR="00683B4E" w:rsidRPr="000F5833">
        <w:rPr>
          <w:rFonts w:ascii="Times New Roman" w:hAnsi="Times New Roman"/>
          <w:sz w:val="24"/>
          <w:szCs w:val="24"/>
        </w:rPr>
        <w:t xml:space="preserve"> a rastom minimálnej mzdy</w:t>
      </w:r>
      <w:r w:rsidR="00785640" w:rsidRPr="000F5833">
        <w:rPr>
          <w:rFonts w:ascii="Times New Roman" w:hAnsi="Times New Roman"/>
          <w:sz w:val="24"/>
          <w:szCs w:val="24"/>
        </w:rPr>
        <w:t xml:space="preserve"> (50 eur ročne)</w:t>
      </w:r>
      <w:r w:rsidR="00683B4E" w:rsidRPr="000F5833">
        <w:rPr>
          <w:rFonts w:ascii="Times New Roman" w:hAnsi="Times New Roman"/>
          <w:sz w:val="24"/>
          <w:szCs w:val="24"/>
        </w:rPr>
        <w:t>, ktorá ešte len bu</w:t>
      </w:r>
      <w:r w:rsidR="00785640" w:rsidRPr="000F5833">
        <w:rPr>
          <w:rFonts w:ascii="Times New Roman" w:hAnsi="Times New Roman"/>
          <w:sz w:val="24"/>
          <w:szCs w:val="24"/>
        </w:rPr>
        <w:t>d</w:t>
      </w:r>
      <w:r w:rsidR="00683B4E" w:rsidRPr="000F5833">
        <w:rPr>
          <w:rFonts w:ascii="Times New Roman" w:hAnsi="Times New Roman"/>
          <w:sz w:val="24"/>
          <w:szCs w:val="24"/>
        </w:rPr>
        <w:t>e predmetom kolektívneho vyjednávania</w:t>
      </w:r>
      <w:r w:rsidRPr="000F5833">
        <w:rPr>
          <w:rFonts w:ascii="Times New Roman" w:hAnsi="Times New Roman"/>
          <w:sz w:val="24"/>
          <w:szCs w:val="24"/>
        </w:rPr>
        <w:t>.</w:t>
      </w:r>
      <w:r w:rsidR="00785640" w:rsidRPr="000F5833">
        <w:rPr>
          <w:rFonts w:ascii="Times New Roman" w:hAnsi="Times New Roman"/>
          <w:sz w:val="24"/>
          <w:szCs w:val="24"/>
        </w:rPr>
        <w:t xml:space="preserve"> </w:t>
      </w:r>
    </w:p>
    <w:p w14:paraId="7364CF14" w14:textId="7F7A4DCE" w:rsidR="00576389" w:rsidRPr="000F5833" w:rsidRDefault="00785640" w:rsidP="00576389">
      <w:pPr>
        <w:jc w:val="both"/>
        <w:rPr>
          <w:rFonts w:ascii="Times New Roman" w:hAnsi="Times New Roman"/>
          <w:sz w:val="24"/>
          <w:szCs w:val="24"/>
        </w:rPr>
      </w:pPr>
      <w:r w:rsidRPr="000F5833">
        <w:rPr>
          <w:rFonts w:ascii="Times New Roman" w:hAnsi="Times New Roman"/>
          <w:sz w:val="24"/>
          <w:szCs w:val="24"/>
        </w:rPr>
        <w:t xml:space="preserve">Reálny vplyv na rozpočet bude zmenou predpokladov výrazne </w:t>
      </w:r>
      <w:r w:rsidR="002F50BB" w:rsidRPr="000F5833">
        <w:rPr>
          <w:rFonts w:ascii="Times New Roman" w:hAnsi="Times New Roman"/>
          <w:sz w:val="24"/>
          <w:szCs w:val="24"/>
        </w:rPr>
        <w:t xml:space="preserve">upravený </w:t>
      </w:r>
      <w:r w:rsidRPr="000F5833">
        <w:rPr>
          <w:rFonts w:ascii="Times New Roman" w:hAnsi="Times New Roman"/>
          <w:sz w:val="24"/>
          <w:szCs w:val="24"/>
        </w:rPr>
        <w:t xml:space="preserve">a v prípade </w:t>
      </w:r>
      <w:r w:rsidR="002F50BB" w:rsidRPr="000F5833">
        <w:rPr>
          <w:rFonts w:ascii="Times New Roman" w:hAnsi="Times New Roman"/>
          <w:sz w:val="24"/>
          <w:szCs w:val="24"/>
        </w:rPr>
        <w:t>valorizácie platov vo verejnej správe priemerne nad 8% dokonca pozitívny.</w:t>
      </w:r>
      <w:r w:rsidRPr="000F5833">
        <w:rPr>
          <w:rFonts w:ascii="Times New Roman" w:hAnsi="Times New Roman"/>
          <w:sz w:val="24"/>
          <w:szCs w:val="24"/>
        </w:rPr>
        <w:t xml:space="preserve">    </w:t>
      </w:r>
    </w:p>
    <w:tbl>
      <w:tblPr>
        <w:tblW w:w="9345" w:type="dxa"/>
        <w:tblInd w:w="75" w:type="dxa"/>
        <w:tblCellMar>
          <w:left w:w="70" w:type="dxa"/>
          <w:right w:w="70" w:type="dxa"/>
        </w:tblCellMar>
        <w:tblLook w:val="04A0" w:firstRow="1" w:lastRow="0" w:firstColumn="1" w:lastColumn="0" w:noHBand="0" w:noVBand="1"/>
      </w:tblPr>
      <w:tblGrid>
        <w:gridCol w:w="3966"/>
        <w:gridCol w:w="1322"/>
        <w:gridCol w:w="1384"/>
        <w:gridCol w:w="1415"/>
        <w:gridCol w:w="1258"/>
      </w:tblGrid>
      <w:tr w:rsidR="000F5833" w:rsidRPr="000F5833" w14:paraId="28D01DA3" w14:textId="77777777" w:rsidTr="003A6CAA">
        <w:trPr>
          <w:trHeight w:val="493"/>
        </w:trPr>
        <w:tc>
          <w:tcPr>
            <w:tcW w:w="396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DC898FA" w14:textId="4C493208" w:rsidR="003A6CAA" w:rsidRPr="000F5833" w:rsidRDefault="002F50BB" w:rsidP="003A6CAA">
            <w:pPr>
              <w:widowControl/>
              <w:adjustRightInd/>
              <w:spacing w:after="0" w:line="240" w:lineRule="auto"/>
              <w:jc w:val="center"/>
              <w:rPr>
                <w:rFonts w:cs="Calibri"/>
                <w:b/>
                <w:bCs/>
                <w:sz w:val="18"/>
                <w:szCs w:val="18"/>
                <w:lang w:eastAsia="sk-SK"/>
              </w:rPr>
            </w:pPr>
            <w:r w:rsidRPr="000F5833">
              <w:rPr>
                <w:rFonts w:cs="Calibri"/>
                <w:b/>
                <w:bCs/>
                <w:sz w:val="18"/>
                <w:szCs w:val="18"/>
                <w:lang w:eastAsia="sk-SK"/>
              </w:rPr>
              <w:lastRenderedPageBreak/>
              <w:t>NRVR</w:t>
            </w:r>
          </w:p>
        </w:tc>
        <w:tc>
          <w:tcPr>
            <w:tcW w:w="1322" w:type="dxa"/>
            <w:tcBorders>
              <w:top w:val="single" w:sz="4" w:space="0" w:color="auto"/>
              <w:left w:val="nil"/>
              <w:bottom w:val="single" w:sz="4" w:space="0" w:color="auto"/>
              <w:right w:val="single" w:sz="4" w:space="0" w:color="auto"/>
            </w:tcBorders>
            <w:shd w:val="clear" w:color="000000" w:fill="C5D9F1"/>
            <w:noWrap/>
            <w:vAlign w:val="center"/>
            <w:hideMark/>
          </w:tcPr>
          <w:p w14:paraId="73A192D9" w14:textId="52A178C0" w:rsidR="003A6CAA" w:rsidRPr="000F5833" w:rsidRDefault="002F50BB" w:rsidP="003A6CAA">
            <w:pPr>
              <w:widowControl/>
              <w:adjustRightInd/>
              <w:spacing w:after="0" w:line="240" w:lineRule="auto"/>
              <w:jc w:val="center"/>
              <w:rPr>
                <w:rFonts w:cs="Calibri"/>
                <w:b/>
                <w:bCs/>
                <w:sz w:val="18"/>
                <w:szCs w:val="18"/>
                <w:lang w:eastAsia="sk-SK"/>
              </w:rPr>
            </w:pPr>
            <w:r w:rsidRPr="000F5833">
              <w:rPr>
                <w:rFonts w:cs="Calibri"/>
                <w:b/>
                <w:bCs/>
                <w:sz w:val="18"/>
                <w:szCs w:val="18"/>
                <w:lang w:eastAsia="sk-SK"/>
              </w:rPr>
              <w:t xml:space="preserve">R </w:t>
            </w:r>
            <w:r w:rsidR="003A6CAA" w:rsidRPr="000F5833">
              <w:rPr>
                <w:rFonts w:cs="Calibri"/>
                <w:b/>
                <w:bCs/>
                <w:sz w:val="18"/>
                <w:szCs w:val="18"/>
                <w:lang w:eastAsia="sk-SK"/>
              </w:rPr>
              <w:t>2023</w:t>
            </w:r>
          </w:p>
        </w:tc>
        <w:tc>
          <w:tcPr>
            <w:tcW w:w="1384" w:type="dxa"/>
            <w:tcBorders>
              <w:top w:val="single" w:sz="4" w:space="0" w:color="auto"/>
              <w:left w:val="nil"/>
              <w:bottom w:val="single" w:sz="4" w:space="0" w:color="auto"/>
              <w:right w:val="single" w:sz="4" w:space="0" w:color="auto"/>
            </w:tcBorders>
            <w:shd w:val="clear" w:color="000000" w:fill="C5D9F1"/>
            <w:noWrap/>
            <w:vAlign w:val="center"/>
            <w:hideMark/>
          </w:tcPr>
          <w:p w14:paraId="188B7B7B" w14:textId="48A82615" w:rsidR="003A6CAA" w:rsidRPr="000F5833" w:rsidRDefault="002F50BB" w:rsidP="003A6CAA">
            <w:pPr>
              <w:widowControl/>
              <w:adjustRightInd/>
              <w:spacing w:after="0" w:line="240" w:lineRule="auto"/>
              <w:jc w:val="center"/>
              <w:rPr>
                <w:rFonts w:cs="Calibri"/>
                <w:b/>
                <w:bCs/>
                <w:sz w:val="18"/>
                <w:szCs w:val="18"/>
                <w:lang w:eastAsia="sk-SK"/>
              </w:rPr>
            </w:pPr>
            <w:r w:rsidRPr="000F5833">
              <w:rPr>
                <w:rFonts w:cs="Calibri"/>
                <w:b/>
                <w:bCs/>
                <w:sz w:val="18"/>
                <w:szCs w:val="18"/>
                <w:lang w:eastAsia="sk-SK"/>
              </w:rPr>
              <w:t xml:space="preserve">N </w:t>
            </w:r>
            <w:r w:rsidR="003A6CAA" w:rsidRPr="000F5833">
              <w:rPr>
                <w:rFonts w:cs="Calibri"/>
                <w:b/>
                <w:bCs/>
                <w:sz w:val="18"/>
                <w:szCs w:val="18"/>
                <w:lang w:eastAsia="sk-SK"/>
              </w:rPr>
              <w:t>2024</w:t>
            </w:r>
          </w:p>
        </w:tc>
        <w:tc>
          <w:tcPr>
            <w:tcW w:w="1415" w:type="dxa"/>
            <w:tcBorders>
              <w:top w:val="single" w:sz="4" w:space="0" w:color="auto"/>
              <w:left w:val="nil"/>
              <w:bottom w:val="single" w:sz="4" w:space="0" w:color="auto"/>
              <w:right w:val="single" w:sz="4" w:space="0" w:color="auto"/>
            </w:tcBorders>
            <w:shd w:val="clear" w:color="000000" w:fill="C5D9F1"/>
            <w:noWrap/>
            <w:vAlign w:val="center"/>
            <w:hideMark/>
          </w:tcPr>
          <w:p w14:paraId="3A0CDFD9" w14:textId="5B26D764" w:rsidR="003A6CAA" w:rsidRPr="000F5833" w:rsidRDefault="002F50BB" w:rsidP="003A6CAA">
            <w:pPr>
              <w:widowControl/>
              <w:adjustRightInd/>
              <w:spacing w:after="0" w:line="240" w:lineRule="auto"/>
              <w:jc w:val="center"/>
              <w:rPr>
                <w:rFonts w:cs="Calibri"/>
                <w:b/>
                <w:bCs/>
                <w:sz w:val="18"/>
                <w:szCs w:val="18"/>
                <w:lang w:eastAsia="sk-SK"/>
              </w:rPr>
            </w:pPr>
            <w:r w:rsidRPr="000F5833">
              <w:rPr>
                <w:rFonts w:cs="Calibri"/>
                <w:b/>
                <w:bCs/>
                <w:sz w:val="18"/>
                <w:szCs w:val="18"/>
                <w:lang w:eastAsia="sk-SK"/>
              </w:rPr>
              <w:t xml:space="preserve">N </w:t>
            </w:r>
            <w:r w:rsidR="003A6CAA" w:rsidRPr="000F5833">
              <w:rPr>
                <w:rFonts w:cs="Calibri"/>
                <w:b/>
                <w:bCs/>
                <w:sz w:val="18"/>
                <w:szCs w:val="18"/>
                <w:lang w:eastAsia="sk-SK"/>
              </w:rPr>
              <w:t>2025</w:t>
            </w:r>
          </w:p>
        </w:tc>
        <w:tc>
          <w:tcPr>
            <w:tcW w:w="1258" w:type="dxa"/>
            <w:tcBorders>
              <w:top w:val="single" w:sz="4" w:space="0" w:color="auto"/>
              <w:left w:val="nil"/>
              <w:bottom w:val="single" w:sz="4" w:space="0" w:color="auto"/>
              <w:right w:val="single" w:sz="4" w:space="0" w:color="auto"/>
            </w:tcBorders>
            <w:shd w:val="clear" w:color="000000" w:fill="C5D9F1"/>
            <w:noWrap/>
            <w:vAlign w:val="center"/>
            <w:hideMark/>
          </w:tcPr>
          <w:p w14:paraId="1AF44A39" w14:textId="40D6E622" w:rsidR="003A6CAA" w:rsidRPr="000F5833" w:rsidRDefault="002F50BB" w:rsidP="003A6CAA">
            <w:pPr>
              <w:widowControl/>
              <w:adjustRightInd/>
              <w:spacing w:after="0" w:line="240" w:lineRule="auto"/>
              <w:jc w:val="center"/>
              <w:rPr>
                <w:rFonts w:cs="Calibri"/>
                <w:b/>
                <w:bCs/>
                <w:sz w:val="18"/>
                <w:szCs w:val="18"/>
                <w:lang w:eastAsia="sk-SK"/>
              </w:rPr>
            </w:pPr>
            <w:r w:rsidRPr="000F5833">
              <w:rPr>
                <w:rFonts w:cs="Calibri"/>
                <w:b/>
                <w:bCs/>
                <w:sz w:val="18"/>
                <w:szCs w:val="18"/>
                <w:lang w:eastAsia="sk-SK"/>
              </w:rPr>
              <w:t xml:space="preserve">N </w:t>
            </w:r>
            <w:r w:rsidR="003A6CAA" w:rsidRPr="000F5833">
              <w:rPr>
                <w:rFonts w:cs="Calibri"/>
                <w:b/>
                <w:bCs/>
                <w:sz w:val="18"/>
                <w:szCs w:val="18"/>
                <w:lang w:eastAsia="sk-SK"/>
              </w:rPr>
              <w:t>2026</w:t>
            </w:r>
          </w:p>
        </w:tc>
      </w:tr>
      <w:tr w:rsidR="000F5833" w:rsidRPr="000F5833" w14:paraId="15F5D796" w14:textId="77777777" w:rsidTr="003A6CAA">
        <w:trPr>
          <w:trHeight w:val="493"/>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DC124" w14:textId="6BF5F030" w:rsidR="003A6CAA" w:rsidRPr="000F5833" w:rsidRDefault="002F50BB" w:rsidP="003A6CAA">
            <w:pPr>
              <w:widowControl/>
              <w:adjustRightInd/>
              <w:spacing w:after="0" w:line="240" w:lineRule="auto"/>
              <w:rPr>
                <w:rFonts w:cs="Calibri"/>
                <w:sz w:val="18"/>
                <w:szCs w:val="18"/>
                <w:lang w:eastAsia="sk-SK"/>
              </w:rPr>
            </w:pPr>
            <w:r w:rsidRPr="000F5833">
              <w:rPr>
                <w:rFonts w:cs="Calibri"/>
                <w:sz w:val="18"/>
                <w:szCs w:val="18"/>
                <w:lang w:eastAsia="sk-SK"/>
              </w:rPr>
              <w:t xml:space="preserve">limit </w:t>
            </w:r>
            <w:r w:rsidR="00133F18" w:rsidRPr="000F5833">
              <w:rPr>
                <w:rFonts w:cs="Calibri"/>
                <w:sz w:val="18"/>
                <w:szCs w:val="18"/>
                <w:lang w:eastAsia="sk-SK"/>
              </w:rPr>
              <w:t xml:space="preserve">24-26 </w:t>
            </w:r>
            <w:r w:rsidRPr="000F5833">
              <w:rPr>
                <w:rFonts w:cs="Calibri"/>
                <w:sz w:val="18"/>
                <w:szCs w:val="18"/>
                <w:lang w:eastAsia="sk-SK"/>
              </w:rPr>
              <w:t>aktuálny</w:t>
            </w:r>
          </w:p>
        </w:tc>
        <w:tc>
          <w:tcPr>
            <w:tcW w:w="1322" w:type="dxa"/>
            <w:tcBorders>
              <w:top w:val="nil"/>
              <w:left w:val="nil"/>
              <w:bottom w:val="single" w:sz="4" w:space="0" w:color="auto"/>
              <w:right w:val="single" w:sz="4" w:space="0" w:color="auto"/>
            </w:tcBorders>
            <w:shd w:val="clear" w:color="000000" w:fill="FFFFFF"/>
            <w:noWrap/>
            <w:vAlign w:val="center"/>
            <w:hideMark/>
          </w:tcPr>
          <w:p w14:paraId="51B7747E"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57 599 177</w:t>
            </w:r>
          </w:p>
        </w:tc>
        <w:tc>
          <w:tcPr>
            <w:tcW w:w="1384" w:type="dxa"/>
            <w:tcBorders>
              <w:top w:val="nil"/>
              <w:left w:val="nil"/>
              <w:bottom w:val="single" w:sz="4" w:space="0" w:color="auto"/>
              <w:right w:val="single" w:sz="4" w:space="0" w:color="auto"/>
            </w:tcBorders>
            <w:shd w:val="clear" w:color="000000" w:fill="FFFFFF"/>
            <w:noWrap/>
            <w:vAlign w:val="center"/>
            <w:hideMark/>
          </w:tcPr>
          <w:p w14:paraId="05FCEDA1"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59 073 716</w:t>
            </w:r>
          </w:p>
        </w:tc>
        <w:tc>
          <w:tcPr>
            <w:tcW w:w="1415" w:type="dxa"/>
            <w:tcBorders>
              <w:top w:val="nil"/>
              <w:left w:val="nil"/>
              <w:bottom w:val="single" w:sz="4" w:space="0" w:color="auto"/>
              <w:right w:val="single" w:sz="4" w:space="0" w:color="auto"/>
            </w:tcBorders>
            <w:shd w:val="clear" w:color="000000" w:fill="FFFFFF"/>
            <w:noWrap/>
            <w:vAlign w:val="center"/>
            <w:hideMark/>
          </w:tcPr>
          <w:p w14:paraId="5334E386"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60 231 562</w:t>
            </w:r>
          </w:p>
        </w:tc>
        <w:tc>
          <w:tcPr>
            <w:tcW w:w="1258" w:type="dxa"/>
            <w:tcBorders>
              <w:top w:val="nil"/>
              <w:left w:val="nil"/>
              <w:bottom w:val="single" w:sz="4" w:space="0" w:color="auto"/>
              <w:right w:val="single" w:sz="4" w:space="0" w:color="auto"/>
            </w:tcBorders>
            <w:shd w:val="clear" w:color="auto" w:fill="auto"/>
            <w:noWrap/>
            <w:vAlign w:val="center"/>
            <w:hideMark/>
          </w:tcPr>
          <w:p w14:paraId="2F0961B3" w14:textId="673BF6AC"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 xml:space="preserve">       60 870 016 </w:t>
            </w:r>
          </w:p>
        </w:tc>
      </w:tr>
      <w:tr w:rsidR="000F5833" w:rsidRPr="000F5833" w14:paraId="2343424D" w14:textId="77777777" w:rsidTr="003A6CAA">
        <w:trPr>
          <w:trHeight w:val="493"/>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70D60" w14:textId="165B4077"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dopad zmena vzorca</w:t>
            </w:r>
          </w:p>
        </w:tc>
        <w:tc>
          <w:tcPr>
            <w:tcW w:w="1322" w:type="dxa"/>
            <w:tcBorders>
              <w:top w:val="nil"/>
              <w:left w:val="nil"/>
              <w:bottom w:val="single" w:sz="4" w:space="0" w:color="auto"/>
              <w:right w:val="single" w:sz="4" w:space="0" w:color="auto"/>
            </w:tcBorders>
            <w:shd w:val="clear" w:color="000000" w:fill="FFFFFF"/>
            <w:noWrap/>
            <w:vAlign w:val="center"/>
            <w:hideMark/>
          </w:tcPr>
          <w:p w14:paraId="32A9225F"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1D987227"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3 732 427</w:t>
            </w:r>
          </w:p>
        </w:tc>
        <w:tc>
          <w:tcPr>
            <w:tcW w:w="1415" w:type="dxa"/>
            <w:tcBorders>
              <w:top w:val="nil"/>
              <w:left w:val="nil"/>
              <w:bottom w:val="single" w:sz="4" w:space="0" w:color="auto"/>
              <w:right w:val="single" w:sz="4" w:space="0" w:color="auto"/>
            </w:tcBorders>
            <w:shd w:val="clear" w:color="000000" w:fill="FFFFFF"/>
            <w:noWrap/>
            <w:vAlign w:val="center"/>
            <w:hideMark/>
          </w:tcPr>
          <w:p w14:paraId="7C5FFB43"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9 485 183</w:t>
            </w:r>
          </w:p>
        </w:tc>
        <w:tc>
          <w:tcPr>
            <w:tcW w:w="1258" w:type="dxa"/>
            <w:tcBorders>
              <w:top w:val="nil"/>
              <w:left w:val="nil"/>
              <w:bottom w:val="single" w:sz="4" w:space="0" w:color="auto"/>
              <w:right w:val="single" w:sz="4" w:space="0" w:color="auto"/>
            </w:tcBorders>
            <w:shd w:val="clear" w:color="auto" w:fill="auto"/>
            <w:noWrap/>
            <w:vAlign w:val="center"/>
            <w:hideMark/>
          </w:tcPr>
          <w:p w14:paraId="093722EB"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14 351 303</w:t>
            </w:r>
          </w:p>
        </w:tc>
      </w:tr>
      <w:tr w:rsidR="000F5833" w:rsidRPr="000F5833" w14:paraId="1D508C30" w14:textId="77777777" w:rsidTr="003A6CAA">
        <w:trPr>
          <w:trHeight w:val="493"/>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34EE6" w14:textId="26008ED3"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dopad doplatok do rastu MM</w:t>
            </w:r>
          </w:p>
        </w:tc>
        <w:tc>
          <w:tcPr>
            <w:tcW w:w="1322" w:type="dxa"/>
            <w:tcBorders>
              <w:top w:val="nil"/>
              <w:left w:val="nil"/>
              <w:bottom w:val="single" w:sz="4" w:space="0" w:color="auto"/>
              <w:right w:val="single" w:sz="4" w:space="0" w:color="auto"/>
            </w:tcBorders>
            <w:shd w:val="clear" w:color="000000" w:fill="FFFFFF"/>
            <w:noWrap/>
            <w:vAlign w:val="center"/>
            <w:hideMark/>
          </w:tcPr>
          <w:p w14:paraId="2506BFF9"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0EFF74F3" w14:textId="28F888A5"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xml:space="preserve">                365 969 </w:t>
            </w:r>
          </w:p>
        </w:tc>
        <w:tc>
          <w:tcPr>
            <w:tcW w:w="1415" w:type="dxa"/>
            <w:tcBorders>
              <w:top w:val="nil"/>
              <w:left w:val="nil"/>
              <w:bottom w:val="single" w:sz="4" w:space="0" w:color="auto"/>
              <w:right w:val="single" w:sz="4" w:space="0" w:color="auto"/>
            </w:tcBorders>
            <w:shd w:val="clear" w:color="000000" w:fill="FFFFFF"/>
            <w:noWrap/>
            <w:vAlign w:val="center"/>
            <w:hideMark/>
          </w:tcPr>
          <w:p w14:paraId="7936384F"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230 548</w:t>
            </w:r>
          </w:p>
        </w:tc>
        <w:tc>
          <w:tcPr>
            <w:tcW w:w="1258" w:type="dxa"/>
            <w:tcBorders>
              <w:top w:val="nil"/>
              <w:left w:val="nil"/>
              <w:bottom w:val="single" w:sz="4" w:space="0" w:color="auto"/>
              <w:right w:val="single" w:sz="4" w:space="0" w:color="auto"/>
            </w:tcBorders>
            <w:shd w:val="clear" w:color="auto" w:fill="auto"/>
            <w:noWrap/>
            <w:vAlign w:val="center"/>
            <w:hideMark/>
          </w:tcPr>
          <w:p w14:paraId="301B2B15" w14:textId="26E6B439"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 xml:space="preserve">             360 133 </w:t>
            </w:r>
          </w:p>
        </w:tc>
      </w:tr>
      <w:tr w:rsidR="000F5833" w:rsidRPr="000F5833" w14:paraId="2E07BC39" w14:textId="77777777" w:rsidTr="003A6CAA">
        <w:trPr>
          <w:trHeight w:val="493"/>
        </w:trPr>
        <w:tc>
          <w:tcPr>
            <w:tcW w:w="396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61ED2D2" w14:textId="7B60FF18" w:rsidR="003A6CAA" w:rsidRPr="000F5833" w:rsidRDefault="002F50BB" w:rsidP="003A6CAA">
            <w:pPr>
              <w:widowControl/>
              <w:adjustRightInd/>
              <w:spacing w:after="0" w:line="240" w:lineRule="auto"/>
              <w:rPr>
                <w:rFonts w:cs="Calibri"/>
                <w:sz w:val="18"/>
                <w:szCs w:val="18"/>
                <w:lang w:eastAsia="sk-SK"/>
              </w:rPr>
            </w:pPr>
            <w:r w:rsidRPr="000F5833">
              <w:rPr>
                <w:rFonts w:cs="Calibri"/>
                <w:sz w:val="18"/>
                <w:szCs w:val="18"/>
                <w:lang w:eastAsia="sk-SK"/>
              </w:rPr>
              <w:t xml:space="preserve">Zmena limitu </w:t>
            </w:r>
            <w:r w:rsidR="00133F18" w:rsidRPr="000F5833">
              <w:rPr>
                <w:rFonts w:cs="Calibri"/>
                <w:sz w:val="18"/>
                <w:szCs w:val="18"/>
                <w:lang w:eastAsia="sk-SK"/>
              </w:rPr>
              <w:t xml:space="preserve">- </w:t>
            </w:r>
            <w:r w:rsidRPr="000F5833">
              <w:rPr>
                <w:rFonts w:cs="Calibri"/>
                <w:sz w:val="18"/>
                <w:szCs w:val="18"/>
                <w:lang w:eastAsia="sk-SK"/>
              </w:rPr>
              <w:t>nekryté vplyvy</w:t>
            </w:r>
          </w:p>
        </w:tc>
        <w:tc>
          <w:tcPr>
            <w:tcW w:w="1322" w:type="dxa"/>
            <w:tcBorders>
              <w:top w:val="nil"/>
              <w:left w:val="nil"/>
              <w:bottom w:val="single" w:sz="4" w:space="0" w:color="auto"/>
              <w:right w:val="single" w:sz="4" w:space="0" w:color="auto"/>
            </w:tcBorders>
            <w:shd w:val="clear" w:color="000000" w:fill="C5D9F1"/>
            <w:noWrap/>
            <w:vAlign w:val="center"/>
            <w:hideMark/>
          </w:tcPr>
          <w:p w14:paraId="578AA3C5" w14:textId="77777777" w:rsidR="003A6CAA" w:rsidRPr="000F5833" w:rsidRDefault="003A6CAA" w:rsidP="003A6CAA">
            <w:pPr>
              <w:widowControl/>
              <w:adjustRightInd/>
              <w:spacing w:after="0" w:line="240" w:lineRule="auto"/>
              <w:jc w:val="right"/>
              <w:rPr>
                <w:rFonts w:cs="Calibri"/>
                <w:b/>
                <w:bCs/>
                <w:sz w:val="18"/>
                <w:szCs w:val="18"/>
                <w:lang w:eastAsia="sk-SK"/>
              </w:rPr>
            </w:pPr>
            <w:r w:rsidRPr="000F5833">
              <w:rPr>
                <w:rFonts w:cs="Calibri"/>
                <w:b/>
                <w:bCs/>
                <w:sz w:val="18"/>
                <w:szCs w:val="18"/>
                <w:lang w:eastAsia="sk-SK"/>
              </w:rPr>
              <w:t> </w:t>
            </w:r>
          </w:p>
        </w:tc>
        <w:tc>
          <w:tcPr>
            <w:tcW w:w="1384" w:type="dxa"/>
            <w:tcBorders>
              <w:top w:val="nil"/>
              <w:left w:val="nil"/>
              <w:bottom w:val="single" w:sz="4" w:space="0" w:color="auto"/>
              <w:right w:val="single" w:sz="4" w:space="0" w:color="auto"/>
            </w:tcBorders>
            <w:shd w:val="clear" w:color="000000" w:fill="C5D9F1"/>
            <w:noWrap/>
            <w:vAlign w:val="center"/>
            <w:hideMark/>
          </w:tcPr>
          <w:p w14:paraId="7CB9A277" w14:textId="77777777" w:rsidR="003A6CAA" w:rsidRPr="000F5833" w:rsidRDefault="003A6CAA" w:rsidP="003A6CAA">
            <w:pPr>
              <w:widowControl/>
              <w:adjustRightInd/>
              <w:spacing w:after="0" w:line="240" w:lineRule="auto"/>
              <w:jc w:val="right"/>
              <w:rPr>
                <w:rFonts w:cs="Calibri"/>
                <w:b/>
                <w:bCs/>
                <w:sz w:val="18"/>
                <w:szCs w:val="18"/>
                <w:lang w:eastAsia="sk-SK"/>
              </w:rPr>
            </w:pPr>
            <w:r w:rsidRPr="000F5833">
              <w:rPr>
                <w:rFonts w:cs="Calibri"/>
                <w:b/>
                <w:bCs/>
                <w:sz w:val="18"/>
                <w:szCs w:val="18"/>
                <w:lang w:eastAsia="sk-SK"/>
              </w:rPr>
              <w:t>4 098 396</w:t>
            </w:r>
          </w:p>
        </w:tc>
        <w:tc>
          <w:tcPr>
            <w:tcW w:w="1415" w:type="dxa"/>
            <w:tcBorders>
              <w:top w:val="nil"/>
              <w:left w:val="nil"/>
              <w:bottom w:val="single" w:sz="4" w:space="0" w:color="auto"/>
              <w:right w:val="single" w:sz="4" w:space="0" w:color="auto"/>
            </w:tcBorders>
            <w:shd w:val="clear" w:color="000000" w:fill="C5D9F1"/>
            <w:noWrap/>
            <w:vAlign w:val="center"/>
            <w:hideMark/>
          </w:tcPr>
          <w:p w14:paraId="789AB0A1" w14:textId="77777777" w:rsidR="003A6CAA" w:rsidRPr="000F5833" w:rsidRDefault="003A6CAA" w:rsidP="003A6CAA">
            <w:pPr>
              <w:widowControl/>
              <w:adjustRightInd/>
              <w:spacing w:after="0" w:line="240" w:lineRule="auto"/>
              <w:jc w:val="right"/>
              <w:rPr>
                <w:rFonts w:cs="Calibri"/>
                <w:b/>
                <w:bCs/>
                <w:sz w:val="18"/>
                <w:szCs w:val="18"/>
                <w:lang w:eastAsia="sk-SK"/>
              </w:rPr>
            </w:pPr>
            <w:r w:rsidRPr="000F5833">
              <w:rPr>
                <w:rFonts w:cs="Calibri"/>
                <w:b/>
                <w:bCs/>
                <w:sz w:val="18"/>
                <w:szCs w:val="18"/>
                <w:lang w:eastAsia="sk-SK"/>
              </w:rPr>
              <w:t>9 715 731</w:t>
            </w:r>
          </w:p>
        </w:tc>
        <w:tc>
          <w:tcPr>
            <w:tcW w:w="1258" w:type="dxa"/>
            <w:tcBorders>
              <w:top w:val="nil"/>
              <w:left w:val="nil"/>
              <w:bottom w:val="single" w:sz="4" w:space="0" w:color="auto"/>
              <w:right w:val="single" w:sz="4" w:space="0" w:color="auto"/>
            </w:tcBorders>
            <w:shd w:val="clear" w:color="000000" w:fill="C5D9F1"/>
            <w:noWrap/>
            <w:vAlign w:val="center"/>
            <w:hideMark/>
          </w:tcPr>
          <w:p w14:paraId="61770500" w14:textId="77777777" w:rsidR="003A6CAA" w:rsidRPr="000F5833" w:rsidRDefault="003A6CAA" w:rsidP="003A6CAA">
            <w:pPr>
              <w:widowControl/>
              <w:adjustRightInd/>
              <w:spacing w:after="0" w:line="240" w:lineRule="auto"/>
              <w:jc w:val="right"/>
              <w:rPr>
                <w:rFonts w:cs="Calibri"/>
                <w:b/>
                <w:bCs/>
                <w:sz w:val="18"/>
                <w:szCs w:val="18"/>
                <w:lang w:eastAsia="sk-SK"/>
              </w:rPr>
            </w:pPr>
            <w:r w:rsidRPr="000F5833">
              <w:rPr>
                <w:rFonts w:cs="Calibri"/>
                <w:b/>
                <w:bCs/>
                <w:sz w:val="18"/>
                <w:szCs w:val="18"/>
                <w:lang w:eastAsia="sk-SK"/>
              </w:rPr>
              <w:t>14 711 436</w:t>
            </w:r>
          </w:p>
        </w:tc>
      </w:tr>
      <w:tr w:rsidR="000F5833" w:rsidRPr="000F5833" w14:paraId="221E874F" w14:textId="77777777" w:rsidTr="003A6CAA">
        <w:trPr>
          <w:trHeight w:val="449"/>
        </w:trPr>
        <w:tc>
          <w:tcPr>
            <w:tcW w:w="9345" w:type="dxa"/>
            <w:gridSpan w:val="5"/>
            <w:tcBorders>
              <w:bottom w:val="single" w:sz="4" w:space="0" w:color="auto"/>
            </w:tcBorders>
            <w:shd w:val="clear" w:color="000000" w:fill="FFFFFF"/>
            <w:noWrap/>
            <w:vAlign w:val="center"/>
          </w:tcPr>
          <w:p w14:paraId="4ABF25EB" w14:textId="190499EA" w:rsidR="00576389" w:rsidRPr="000F5833" w:rsidRDefault="00576389" w:rsidP="0057079D">
            <w:pPr>
              <w:widowControl/>
              <w:adjustRightInd/>
              <w:spacing w:after="0" w:line="240" w:lineRule="auto"/>
              <w:rPr>
                <w:rFonts w:cs="Calibri"/>
                <w:sz w:val="18"/>
                <w:szCs w:val="18"/>
                <w:lang w:eastAsia="sk-SK"/>
              </w:rPr>
            </w:pPr>
            <w:r w:rsidRPr="000F5833">
              <w:rPr>
                <w:rFonts w:cs="Calibri"/>
                <w:sz w:val="18"/>
                <w:szCs w:val="18"/>
                <w:lang w:eastAsia="sk-SK"/>
              </w:rPr>
              <w:t>Predpoklady pre vyčíslenie dopadov:</w:t>
            </w:r>
          </w:p>
        </w:tc>
      </w:tr>
      <w:tr w:rsidR="000F5833" w:rsidRPr="000F5833" w14:paraId="2A2AAA2C" w14:textId="77777777" w:rsidTr="003A6CAA">
        <w:trPr>
          <w:trHeight w:val="415"/>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99A80" w14:textId="1A043388"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valorizácia platov štátnych zamestnancov</w:t>
            </w:r>
          </w:p>
        </w:tc>
        <w:tc>
          <w:tcPr>
            <w:tcW w:w="1322" w:type="dxa"/>
            <w:tcBorders>
              <w:top w:val="nil"/>
              <w:left w:val="nil"/>
              <w:bottom w:val="single" w:sz="4" w:space="0" w:color="auto"/>
              <w:right w:val="single" w:sz="4" w:space="0" w:color="auto"/>
            </w:tcBorders>
            <w:shd w:val="clear" w:color="000000" w:fill="FFFFFF"/>
            <w:noWrap/>
            <w:vAlign w:val="center"/>
            <w:hideMark/>
          </w:tcPr>
          <w:p w14:paraId="24E8C7D7"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11474472" w14:textId="69912873"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76198BDF" w14:textId="543D0AB6"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0,00%</w:t>
            </w:r>
          </w:p>
        </w:tc>
        <w:tc>
          <w:tcPr>
            <w:tcW w:w="1258" w:type="dxa"/>
            <w:tcBorders>
              <w:top w:val="nil"/>
              <w:left w:val="nil"/>
              <w:bottom w:val="single" w:sz="4" w:space="0" w:color="auto"/>
              <w:right w:val="single" w:sz="4" w:space="0" w:color="auto"/>
            </w:tcBorders>
            <w:shd w:val="clear" w:color="auto" w:fill="auto"/>
            <w:noWrap/>
            <w:vAlign w:val="center"/>
            <w:hideMark/>
          </w:tcPr>
          <w:p w14:paraId="4D17EEA2" w14:textId="1B25E92E"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0,00%</w:t>
            </w:r>
          </w:p>
        </w:tc>
      </w:tr>
      <w:tr w:rsidR="000F5833" w:rsidRPr="000F5833" w14:paraId="3B73B7B1" w14:textId="77777777" w:rsidTr="003A6CAA">
        <w:trPr>
          <w:trHeight w:val="415"/>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F3459" w14:textId="1ABA8F7C"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rast priemernej mzdy v hospodárstve spred 2 rokov</w:t>
            </w:r>
          </w:p>
        </w:tc>
        <w:tc>
          <w:tcPr>
            <w:tcW w:w="1322" w:type="dxa"/>
            <w:tcBorders>
              <w:top w:val="nil"/>
              <w:left w:val="nil"/>
              <w:bottom w:val="single" w:sz="4" w:space="0" w:color="auto"/>
              <w:right w:val="single" w:sz="4" w:space="0" w:color="auto"/>
            </w:tcBorders>
            <w:shd w:val="clear" w:color="000000" w:fill="FFFFFF"/>
            <w:noWrap/>
            <w:vAlign w:val="center"/>
            <w:hideMark/>
          </w:tcPr>
          <w:p w14:paraId="4518166B"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4820E9C7" w14:textId="01E98551"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8,10%</w:t>
            </w:r>
          </w:p>
        </w:tc>
        <w:tc>
          <w:tcPr>
            <w:tcW w:w="1415" w:type="dxa"/>
            <w:tcBorders>
              <w:top w:val="nil"/>
              <w:left w:val="nil"/>
              <w:bottom w:val="single" w:sz="4" w:space="0" w:color="auto"/>
              <w:right w:val="single" w:sz="4" w:space="0" w:color="auto"/>
            </w:tcBorders>
            <w:shd w:val="clear" w:color="000000" w:fill="FFFFFF"/>
            <w:noWrap/>
            <w:vAlign w:val="center"/>
            <w:hideMark/>
          </w:tcPr>
          <w:p w14:paraId="31B54824" w14:textId="4424EA5F"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10,50%</w:t>
            </w:r>
          </w:p>
        </w:tc>
        <w:tc>
          <w:tcPr>
            <w:tcW w:w="1258" w:type="dxa"/>
            <w:tcBorders>
              <w:top w:val="nil"/>
              <w:left w:val="nil"/>
              <w:bottom w:val="single" w:sz="4" w:space="0" w:color="auto"/>
              <w:right w:val="single" w:sz="4" w:space="0" w:color="auto"/>
            </w:tcBorders>
            <w:shd w:val="clear" w:color="auto" w:fill="auto"/>
            <w:noWrap/>
            <w:vAlign w:val="center"/>
            <w:hideMark/>
          </w:tcPr>
          <w:p w14:paraId="129D668C" w14:textId="4F329A8B"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8,10%</w:t>
            </w:r>
          </w:p>
        </w:tc>
      </w:tr>
      <w:tr w:rsidR="000F5833" w:rsidRPr="000F5833" w14:paraId="715A96D9" w14:textId="77777777" w:rsidTr="003A6CAA">
        <w:trPr>
          <w:trHeight w:val="415"/>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AC8EE" w14:textId="7D60CCFA"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inflácia spred 2 rokov</w:t>
            </w:r>
          </w:p>
        </w:tc>
        <w:tc>
          <w:tcPr>
            <w:tcW w:w="1322" w:type="dxa"/>
            <w:tcBorders>
              <w:top w:val="nil"/>
              <w:left w:val="nil"/>
              <w:bottom w:val="single" w:sz="4" w:space="0" w:color="auto"/>
              <w:right w:val="single" w:sz="4" w:space="0" w:color="auto"/>
            </w:tcBorders>
            <w:shd w:val="clear" w:color="000000" w:fill="FFFFFF"/>
            <w:noWrap/>
            <w:vAlign w:val="center"/>
            <w:hideMark/>
          </w:tcPr>
          <w:p w14:paraId="72DB452C"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60F9ACB5" w14:textId="652125B9"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12,80%</w:t>
            </w:r>
          </w:p>
        </w:tc>
        <w:tc>
          <w:tcPr>
            <w:tcW w:w="1415" w:type="dxa"/>
            <w:tcBorders>
              <w:top w:val="nil"/>
              <w:left w:val="nil"/>
              <w:bottom w:val="single" w:sz="4" w:space="0" w:color="auto"/>
              <w:right w:val="single" w:sz="4" w:space="0" w:color="auto"/>
            </w:tcBorders>
            <w:shd w:val="clear" w:color="000000" w:fill="FFFFFF"/>
            <w:noWrap/>
            <w:vAlign w:val="center"/>
            <w:hideMark/>
          </w:tcPr>
          <w:p w14:paraId="6563822E" w14:textId="7E6FD2EB"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9,80%</w:t>
            </w:r>
          </w:p>
        </w:tc>
        <w:tc>
          <w:tcPr>
            <w:tcW w:w="1258" w:type="dxa"/>
            <w:tcBorders>
              <w:top w:val="nil"/>
              <w:left w:val="nil"/>
              <w:bottom w:val="single" w:sz="4" w:space="0" w:color="auto"/>
              <w:right w:val="single" w:sz="4" w:space="0" w:color="auto"/>
            </w:tcBorders>
            <w:shd w:val="clear" w:color="auto" w:fill="auto"/>
            <w:noWrap/>
            <w:vAlign w:val="center"/>
            <w:hideMark/>
          </w:tcPr>
          <w:p w14:paraId="3586042A" w14:textId="232892DD"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5,30%</w:t>
            </w:r>
          </w:p>
        </w:tc>
      </w:tr>
      <w:tr w:rsidR="000F5833" w:rsidRPr="000F5833" w14:paraId="639EC70D" w14:textId="77777777" w:rsidTr="003A6CAA">
        <w:trPr>
          <w:trHeight w:val="415"/>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9E9A2" w14:textId="3F6241BB"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 xml:space="preserve">medziročný rast MM </w:t>
            </w:r>
          </w:p>
        </w:tc>
        <w:tc>
          <w:tcPr>
            <w:tcW w:w="1322" w:type="dxa"/>
            <w:tcBorders>
              <w:top w:val="nil"/>
              <w:left w:val="nil"/>
              <w:bottom w:val="single" w:sz="4" w:space="0" w:color="auto"/>
              <w:right w:val="single" w:sz="4" w:space="0" w:color="auto"/>
            </w:tcBorders>
            <w:shd w:val="clear" w:color="000000" w:fill="FFFFFF"/>
            <w:noWrap/>
            <w:vAlign w:val="center"/>
            <w:hideMark/>
          </w:tcPr>
          <w:p w14:paraId="0364CDC9"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4D375B01" w14:textId="44937859"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7,14%</w:t>
            </w:r>
          </w:p>
        </w:tc>
        <w:tc>
          <w:tcPr>
            <w:tcW w:w="1415" w:type="dxa"/>
            <w:tcBorders>
              <w:top w:val="nil"/>
              <w:left w:val="nil"/>
              <w:bottom w:val="single" w:sz="4" w:space="0" w:color="auto"/>
              <w:right w:val="single" w:sz="4" w:space="0" w:color="auto"/>
            </w:tcBorders>
            <w:shd w:val="clear" w:color="auto" w:fill="auto"/>
            <w:noWrap/>
            <w:vAlign w:val="center"/>
            <w:hideMark/>
          </w:tcPr>
          <w:p w14:paraId="5FAB1E09" w14:textId="1637B03D"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6,67%</w:t>
            </w:r>
          </w:p>
        </w:tc>
        <w:tc>
          <w:tcPr>
            <w:tcW w:w="1258" w:type="dxa"/>
            <w:tcBorders>
              <w:top w:val="nil"/>
              <w:left w:val="nil"/>
              <w:bottom w:val="single" w:sz="4" w:space="0" w:color="auto"/>
              <w:right w:val="single" w:sz="4" w:space="0" w:color="auto"/>
            </w:tcBorders>
            <w:shd w:val="clear" w:color="auto" w:fill="auto"/>
            <w:noWrap/>
            <w:vAlign w:val="center"/>
            <w:hideMark/>
          </w:tcPr>
          <w:p w14:paraId="42AC35F5" w14:textId="0D8AF6B1"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6,25%</w:t>
            </w:r>
          </w:p>
        </w:tc>
      </w:tr>
    </w:tbl>
    <w:p w14:paraId="5D472FC3" w14:textId="77777777" w:rsidR="00576389" w:rsidRPr="000F5833" w:rsidRDefault="00576389" w:rsidP="00B909CF">
      <w:pPr>
        <w:jc w:val="both"/>
      </w:pPr>
      <w:r w:rsidRPr="000F5833">
        <w:t xml:space="preserve"> </w:t>
      </w:r>
    </w:p>
    <w:p w14:paraId="0F003737" w14:textId="77777777" w:rsidR="00576389" w:rsidRPr="000F5833" w:rsidRDefault="00576389" w:rsidP="00B909CF">
      <w:pPr>
        <w:jc w:val="both"/>
      </w:pPr>
      <w:r w:rsidRPr="000F5833">
        <w:t>Presné vyčíslenie dopadov bude upravené na základe vyjadrenia Ministerstva financií SR.</w:t>
      </w:r>
    </w:p>
    <w:p w14:paraId="1652F7A0" w14:textId="77777777" w:rsidR="00B909CF" w:rsidRPr="000F5833" w:rsidRDefault="00B909CF" w:rsidP="00B909CF">
      <w:pPr>
        <w:spacing w:before="120" w:after="0"/>
        <w:jc w:val="both"/>
        <w:rPr>
          <w:rFonts w:ascii="Times New Roman" w:hAnsi="Times New Roman"/>
          <w:b/>
          <w:sz w:val="24"/>
          <w:szCs w:val="24"/>
        </w:rPr>
      </w:pPr>
      <w:r w:rsidRPr="000F5833">
        <w:rPr>
          <w:rFonts w:ascii="Times New Roman" w:hAnsi="Times New Roman"/>
          <w:b/>
          <w:sz w:val="24"/>
          <w:szCs w:val="24"/>
        </w:rPr>
        <w:t>A.4. Alternatívne riešenia</w:t>
      </w:r>
    </w:p>
    <w:p w14:paraId="07F262E9" w14:textId="77777777" w:rsidR="00B909CF" w:rsidRPr="000F5833" w:rsidRDefault="00B909CF" w:rsidP="00B909CF">
      <w:pPr>
        <w:spacing w:before="120" w:after="0"/>
        <w:jc w:val="both"/>
        <w:rPr>
          <w:rFonts w:ascii="Times New Roman" w:hAnsi="Times New Roman"/>
          <w:i/>
          <w:sz w:val="24"/>
          <w:szCs w:val="24"/>
        </w:rPr>
      </w:pPr>
      <w:r w:rsidRPr="000F5833">
        <w:rPr>
          <w:rFonts w:ascii="Times New Roman" w:hAnsi="Times New Roman"/>
          <w:i/>
          <w:sz w:val="24"/>
          <w:szCs w:val="24"/>
        </w:rPr>
        <w:t>bezpredmetné</w:t>
      </w:r>
    </w:p>
    <w:p w14:paraId="78C93771" w14:textId="77777777" w:rsidR="00B909CF" w:rsidRPr="000F5833" w:rsidRDefault="00B909CF" w:rsidP="00B909CF">
      <w:pPr>
        <w:spacing w:before="120" w:after="0"/>
        <w:jc w:val="both"/>
        <w:rPr>
          <w:rFonts w:ascii="Times New Roman" w:hAnsi="Times New Roman"/>
          <w:b/>
          <w:sz w:val="24"/>
          <w:szCs w:val="24"/>
        </w:rPr>
      </w:pPr>
    </w:p>
    <w:p w14:paraId="5A60F019" w14:textId="77777777" w:rsidR="00B909CF" w:rsidRPr="000F5833" w:rsidRDefault="00B909CF" w:rsidP="00B909CF">
      <w:pPr>
        <w:spacing w:before="120" w:after="0"/>
        <w:jc w:val="both"/>
        <w:rPr>
          <w:rFonts w:ascii="Times New Roman" w:hAnsi="Times New Roman"/>
          <w:sz w:val="24"/>
          <w:szCs w:val="24"/>
        </w:rPr>
      </w:pPr>
      <w:r w:rsidRPr="000F5833">
        <w:rPr>
          <w:rFonts w:ascii="Times New Roman" w:hAnsi="Times New Roman"/>
          <w:b/>
          <w:sz w:val="24"/>
          <w:szCs w:val="24"/>
        </w:rPr>
        <w:t>A.5. Stanovisko gestorov</w:t>
      </w:r>
    </w:p>
    <w:p w14:paraId="53E7C746" w14:textId="77777777" w:rsidR="00523017" w:rsidRPr="000F5833" w:rsidRDefault="00B909CF" w:rsidP="00B909CF">
      <w:pPr>
        <w:spacing w:before="120" w:after="0"/>
        <w:jc w:val="both"/>
        <w:rPr>
          <w:rFonts w:ascii="Times New Roman" w:hAnsi="Times New Roman"/>
          <w:sz w:val="24"/>
          <w:szCs w:val="24"/>
        </w:rPr>
      </w:pPr>
      <w:r w:rsidRPr="000F5833">
        <w:rPr>
          <w:rFonts w:ascii="Times New Roman" w:hAnsi="Times New Roman"/>
          <w:i/>
          <w:sz w:val="24"/>
          <w:szCs w:val="24"/>
        </w:rPr>
        <w:t>Návrh zákona bol zaslaný na vyjadrenie Ministerstvu financií SR a stanovisko tohto ministerstva tvorí súčasť predkladaného materiálu.</w:t>
      </w:r>
    </w:p>
    <w:sectPr w:rsidR="00523017" w:rsidRPr="000F5833" w:rsidSect="00AB1F57">
      <w:footerReference w:type="default" r:id="rId9"/>
      <w:pgSz w:w="12240" w:h="15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DB537" w14:textId="77777777" w:rsidR="000E6A0A" w:rsidRDefault="000E6A0A" w:rsidP="002179E1">
      <w:pPr>
        <w:spacing w:after="0" w:line="240" w:lineRule="auto"/>
      </w:pPr>
      <w:r>
        <w:separator/>
      </w:r>
    </w:p>
  </w:endnote>
  <w:endnote w:type="continuationSeparator" w:id="0">
    <w:p w14:paraId="7B0E7E98" w14:textId="77777777" w:rsidR="000E6A0A" w:rsidRDefault="000E6A0A" w:rsidP="0021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745409"/>
      <w:docPartObj>
        <w:docPartGallery w:val="Page Numbers (Bottom of Page)"/>
        <w:docPartUnique/>
      </w:docPartObj>
    </w:sdtPr>
    <w:sdtContent>
      <w:p w14:paraId="74BB4046" w14:textId="6925D925" w:rsidR="00500D47" w:rsidRDefault="00730598" w:rsidP="00F3325B">
        <w:pPr>
          <w:pStyle w:val="Pta"/>
          <w:jc w:val="center"/>
        </w:pPr>
        <w:r>
          <w:fldChar w:fldCharType="begin"/>
        </w:r>
        <w:r w:rsidR="004F12E6">
          <w:instrText>PAGE   \* MERGEFORMAT</w:instrText>
        </w:r>
        <w:r>
          <w:fldChar w:fldCharType="separate"/>
        </w:r>
        <w:r w:rsidR="000F583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34139" w14:textId="77777777" w:rsidR="000E6A0A" w:rsidRDefault="000E6A0A" w:rsidP="002179E1">
      <w:pPr>
        <w:spacing w:after="0" w:line="240" w:lineRule="auto"/>
      </w:pPr>
      <w:r>
        <w:separator/>
      </w:r>
    </w:p>
  </w:footnote>
  <w:footnote w:type="continuationSeparator" w:id="0">
    <w:p w14:paraId="078D49B9" w14:textId="77777777" w:rsidR="000E6A0A" w:rsidRDefault="000E6A0A" w:rsidP="002179E1">
      <w:pPr>
        <w:spacing w:after="0" w:line="240" w:lineRule="auto"/>
      </w:pPr>
      <w:r>
        <w:continuationSeparator/>
      </w:r>
    </w:p>
  </w:footnote>
  <w:footnote w:id="1">
    <w:p w14:paraId="7FE165A7" w14:textId="77777777" w:rsidR="00C12069" w:rsidRDefault="00C12069" w:rsidP="00C12069">
      <w:pPr>
        <w:pStyle w:val="Textpoznmkypodiarou"/>
        <w:jc w:val="both"/>
      </w:pPr>
      <w:r>
        <w:rPr>
          <w:rStyle w:val="Odkaznapoznmkupodiarou"/>
        </w:rPr>
        <w:footnoteRef/>
      </w:r>
      <w:r>
        <w:t xml:space="preserve"> Kým v roku 2021 bola valorizácie miezd v štátnej správe 0 %, minimálna mzda rástla o 7,4 %. V roku 2022 </w:t>
      </w:r>
      <w:r w:rsidR="00A8774D" w:rsidRPr="00234410">
        <w:t xml:space="preserve">bola </w:t>
      </w:r>
      <w:r>
        <w:t>valorizácia miezd v štátnej správe o 3 % od júla 2022 (teda 1,5 % za celý rok 2022), kým minimálna mzda vzrástla o 3,7 %.</w:t>
      </w:r>
      <w:r w:rsidR="00951520">
        <w:t xml:space="preserve"> </w:t>
      </w:r>
      <w:r w:rsidR="00951520" w:rsidRPr="00234410">
        <w:t>V období od účinnosti zákona do 2023 vzrástla minimálna mzda o 34,62 %, zatiaľ čo príspevok cirkvám v tom čase vzrástol iba o 20,89 %.</w:t>
      </w:r>
      <w:r w:rsidR="00951520">
        <w:t xml:space="preserve">  </w:t>
      </w:r>
      <w:r>
        <w:t xml:space="preserve">  </w:t>
      </w:r>
    </w:p>
  </w:footnote>
  <w:footnote w:id="2">
    <w:p w14:paraId="0505BF38" w14:textId="77777777" w:rsidR="00C12069" w:rsidRDefault="00C12069" w:rsidP="00C12069">
      <w:pPr>
        <w:pStyle w:val="Textpoznmkypodiarou"/>
      </w:pPr>
      <w:r>
        <w:rPr>
          <w:rStyle w:val="Odkaznapoznmkupodiarou"/>
        </w:rPr>
        <w:footnoteRef/>
      </w:r>
      <w:r>
        <w:t xml:space="preserve"> Zo zverejnených </w:t>
      </w:r>
      <w:r w:rsidRPr="00950833">
        <w:rPr>
          <w:i/>
          <w:iCs/>
        </w:rPr>
        <w:t>Správ cirkví a náboženských spoločností o hospodárení s príspevkom štátu za rok 2020</w:t>
      </w:r>
      <w:r>
        <w:t xml:space="preserve"> je zrejmé, že viac ako 96% príspevku štátu bolo použitých na mzdové náklady na zamestnancov. (</w:t>
      </w:r>
      <w:r w:rsidRPr="009C31D9">
        <w:t>https://www.culture.gov.sk/posobnost-ministerstva/cirkvi-a-nabozenske-spolocnosti/financovanie/spravy-cirkvi-a-nabozenskych-spolocnosti-o-hospodareni-s-prispevkom-statu-za-rok-2020/</w:t>
      </w:r>
      <w:r>
        <w:t xml:space="preserve">). </w:t>
      </w:r>
    </w:p>
  </w:footnote>
  <w:footnote w:id="3">
    <w:p w14:paraId="48856B16" w14:textId="77777777" w:rsidR="00C12069" w:rsidRDefault="00C12069" w:rsidP="00C12069">
      <w:pPr>
        <w:pStyle w:val="Textpoznmkypodiarou"/>
      </w:pPr>
      <w:r>
        <w:rPr>
          <w:rStyle w:val="Odkaznapoznmkupodiarou"/>
        </w:rPr>
        <w:footnoteRef/>
      </w:r>
      <w:r>
        <w:t xml:space="preserve"> </w:t>
      </w:r>
      <w:r w:rsidRPr="009F349E">
        <w:t>Správy cirkví a náboženských spoločností o hospodárení s príspevkom štátu za rok 2020</w:t>
      </w:r>
      <w:r>
        <w:t>. (</w:t>
      </w:r>
      <w:hyperlink r:id="rId1" w:history="1">
        <w:r w:rsidRPr="00315090">
          <w:rPr>
            <w:rStyle w:val="Hypertextovprepojenie"/>
          </w:rPr>
          <w:t>https://www.culture.gov.sk/posobnost-ministerstva/cirkvi-a-nabozenske-spolocnosti/financovanie/spravy-cirkvi-a-nabozenskych-spolocnosti-o-hospodareni-s-prispevkom-statu-za-rok-2020/</w:t>
        </w:r>
      </w:hyperlink>
      <w:r>
        <w:t>)</w:t>
      </w:r>
    </w:p>
    <w:p w14:paraId="4169F71F" w14:textId="77777777" w:rsidR="00C12069" w:rsidRDefault="00C12069" w:rsidP="00C12069">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66E0"/>
    <w:multiLevelType w:val="multilevel"/>
    <w:tmpl w:val="CC28CBE8"/>
    <w:lvl w:ilvl="0">
      <w:start w:val="1"/>
      <w:numFmt w:val="lowerLetter"/>
      <w:lvlText w:val="%1)"/>
      <w:lvlJc w:val="left"/>
      <w:pPr>
        <w:ind w:left="720" w:hanging="360"/>
      </w:pPr>
      <w:rPr>
        <w:rFonts w:ascii="Times New Roman" w:eastAsia="Book Antiqua" w:hAnsi="Times New Roman" w:cs="Book Antiqua"/>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532C7A"/>
    <w:multiLevelType w:val="multilevel"/>
    <w:tmpl w:val="064260C6"/>
    <w:lvl w:ilvl="0">
      <w:start w:val="1"/>
      <w:numFmt w:val="lowerLetter"/>
      <w:lvlText w:val="%1)"/>
      <w:lvlJc w:val="left"/>
      <w:pPr>
        <w:ind w:left="720" w:hanging="360"/>
      </w:pPr>
      <w:rPr>
        <w:rFonts w:ascii="Times New Roman" w:eastAsia="Book Antiqua" w:hAnsi="Times New Roman" w:cs="Book Antiqua"/>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811338061">
    <w:abstractNumId w:val="2"/>
  </w:num>
  <w:num w:numId="2" w16cid:durableId="5137852">
    <w:abstractNumId w:val="1"/>
  </w:num>
  <w:num w:numId="3" w16cid:durableId="24499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B0"/>
    <w:rsid w:val="00004E20"/>
    <w:rsid w:val="000144C3"/>
    <w:rsid w:val="0002247E"/>
    <w:rsid w:val="00095F7F"/>
    <w:rsid w:val="000A218D"/>
    <w:rsid w:val="000A3CB9"/>
    <w:rsid w:val="000B3F57"/>
    <w:rsid w:val="000E6A0A"/>
    <w:rsid w:val="000F1207"/>
    <w:rsid w:val="000F5833"/>
    <w:rsid w:val="00133F18"/>
    <w:rsid w:val="0018334E"/>
    <w:rsid w:val="00194406"/>
    <w:rsid w:val="001B4897"/>
    <w:rsid w:val="001D130F"/>
    <w:rsid w:val="001E7DDE"/>
    <w:rsid w:val="002179E1"/>
    <w:rsid w:val="00232134"/>
    <w:rsid w:val="00234410"/>
    <w:rsid w:val="00245009"/>
    <w:rsid w:val="0027235C"/>
    <w:rsid w:val="002C2B40"/>
    <w:rsid w:val="002F00DB"/>
    <w:rsid w:val="002F50BB"/>
    <w:rsid w:val="003155AD"/>
    <w:rsid w:val="00327A2D"/>
    <w:rsid w:val="00353C46"/>
    <w:rsid w:val="00382E1E"/>
    <w:rsid w:val="003A35EB"/>
    <w:rsid w:val="003A6CAA"/>
    <w:rsid w:val="003C009A"/>
    <w:rsid w:val="00404375"/>
    <w:rsid w:val="004155EF"/>
    <w:rsid w:val="00454E25"/>
    <w:rsid w:val="00494956"/>
    <w:rsid w:val="004A4CDF"/>
    <w:rsid w:val="004C083B"/>
    <w:rsid w:val="004C45A6"/>
    <w:rsid w:val="004F12E6"/>
    <w:rsid w:val="00500D47"/>
    <w:rsid w:val="00523017"/>
    <w:rsid w:val="00546506"/>
    <w:rsid w:val="0054722E"/>
    <w:rsid w:val="00576389"/>
    <w:rsid w:val="005A1161"/>
    <w:rsid w:val="005B2391"/>
    <w:rsid w:val="005B607C"/>
    <w:rsid w:val="005E67B1"/>
    <w:rsid w:val="0061229B"/>
    <w:rsid w:val="00624AC4"/>
    <w:rsid w:val="006373D2"/>
    <w:rsid w:val="00651EB7"/>
    <w:rsid w:val="00661635"/>
    <w:rsid w:val="0066564F"/>
    <w:rsid w:val="00683B4E"/>
    <w:rsid w:val="00690B4E"/>
    <w:rsid w:val="006A0E56"/>
    <w:rsid w:val="006B25F6"/>
    <w:rsid w:val="006D299E"/>
    <w:rsid w:val="00730598"/>
    <w:rsid w:val="00730901"/>
    <w:rsid w:val="00733743"/>
    <w:rsid w:val="007422D3"/>
    <w:rsid w:val="00761851"/>
    <w:rsid w:val="00773CE7"/>
    <w:rsid w:val="00785640"/>
    <w:rsid w:val="007A1AD5"/>
    <w:rsid w:val="007E5154"/>
    <w:rsid w:val="00844A82"/>
    <w:rsid w:val="008461A5"/>
    <w:rsid w:val="00873337"/>
    <w:rsid w:val="008809DD"/>
    <w:rsid w:val="008C5F90"/>
    <w:rsid w:val="008F1A80"/>
    <w:rsid w:val="008F5233"/>
    <w:rsid w:val="009212AF"/>
    <w:rsid w:val="00951520"/>
    <w:rsid w:val="00984D60"/>
    <w:rsid w:val="009B3DA2"/>
    <w:rsid w:val="009F79C7"/>
    <w:rsid w:val="00A17C3D"/>
    <w:rsid w:val="00A56287"/>
    <w:rsid w:val="00A861E0"/>
    <w:rsid w:val="00A8774D"/>
    <w:rsid w:val="00AA4FD0"/>
    <w:rsid w:val="00AB1F57"/>
    <w:rsid w:val="00AB2B8F"/>
    <w:rsid w:val="00AC5B23"/>
    <w:rsid w:val="00AC67A3"/>
    <w:rsid w:val="00AD20CF"/>
    <w:rsid w:val="00B3505E"/>
    <w:rsid w:val="00B50E2A"/>
    <w:rsid w:val="00B51490"/>
    <w:rsid w:val="00B56733"/>
    <w:rsid w:val="00B909CF"/>
    <w:rsid w:val="00BA14D6"/>
    <w:rsid w:val="00BB2506"/>
    <w:rsid w:val="00C12069"/>
    <w:rsid w:val="00C14C27"/>
    <w:rsid w:val="00C36BB9"/>
    <w:rsid w:val="00C4530C"/>
    <w:rsid w:val="00C5585A"/>
    <w:rsid w:val="00C87A15"/>
    <w:rsid w:val="00CD00CA"/>
    <w:rsid w:val="00CD025D"/>
    <w:rsid w:val="00CE01AC"/>
    <w:rsid w:val="00CF707E"/>
    <w:rsid w:val="00D02827"/>
    <w:rsid w:val="00D17ED7"/>
    <w:rsid w:val="00D44375"/>
    <w:rsid w:val="00D463B0"/>
    <w:rsid w:val="00D52111"/>
    <w:rsid w:val="00D657BC"/>
    <w:rsid w:val="00D710A5"/>
    <w:rsid w:val="00D8504E"/>
    <w:rsid w:val="00DB5BC6"/>
    <w:rsid w:val="00DC365C"/>
    <w:rsid w:val="00DD1B41"/>
    <w:rsid w:val="00DD7F25"/>
    <w:rsid w:val="00DF7EB5"/>
    <w:rsid w:val="00E176DB"/>
    <w:rsid w:val="00E74079"/>
    <w:rsid w:val="00E83706"/>
    <w:rsid w:val="00EA625F"/>
    <w:rsid w:val="00EA7CFF"/>
    <w:rsid w:val="00EC7FC0"/>
    <w:rsid w:val="00EE7F06"/>
    <w:rsid w:val="00F10D72"/>
    <w:rsid w:val="00F3325B"/>
    <w:rsid w:val="00F44C37"/>
    <w:rsid w:val="00F70B06"/>
    <w:rsid w:val="00F77DC7"/>
    <w:rsid w:val="00F81BC4"/>
    <w:rsid w:val="00FB4305"/>
    <w:rsid w:val="00FC53BF"/>
    <w:rsid w:val="00FD24A8"/>
    <w:rsid w:val="00FD700F"/>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66A8"/>
  <w15:docId w15:val="{DA4FA1F1-C1F5-4F17-89CA-D6640B5E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10A5"/>
    <w:pPr>
      <w:widowControl w:val="0"/>
      <w:adjustRightInd w:val="0"/>
    </w:pPr>
    <w:rPr>
      <w:rFonts w:ascii="Calibri" w:eastAsia="Times New Roman" w:hAnsi="Calibri" w:cs="Times New Roman"/>
    </w:rPr>
  </w:style>
  <w:style w:type="paragraph" w:styleId="Nadpis2">
    <w:name w:val="heading 2"/>
    <w:basedOn w:val="Normlny"/>
    <w:link w:val="Nadpis2Char"/>
    <w:uiPriority w:val="9"/>
    <w:qFormat/>
    <w:rsid w:val="002179E1"/>
    <w:pPr>
      <w:widowControl/>
      <w:adjustRightInd/>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Vraz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Normlnywebov">
    <w:name w:val="Normal (Web)"/>
    <w:basedOn w:val="Normlny"/>
    <w:uiPriority w:val="99"/>
    <w:unhideWhenUsed/>
    <w:rsid w:val="009B3DA2"/>
    <w:pPr>
      <w:widowControl/>
      <w:adjustRightInd/>
      <w:spacing w:before="100" w:beforeAutospacing="1" w:after="100" w:afterAutospacing="1" w:line="240" w:lineRule="auto"/>
    </w:pPr>
    <w:rPr>
      <w:rFonts w:ascii="Times New Roman" w:hAnsi="Times New Roman"/>
      <w:sz w:val="24"/>
      <w:szCs w:val="24"/>
      <w:lang w:eastAsia="sk-SK"/>
    </w:rPr>
  </w:style>
  <w:style w:type="character" w:customStyle="1" w:styleId="Nadpis2Char">
    <w:name w:val="Nadpis 2 Char"/>
    <w:basedOn w:val="Predvolenpsmoodseku"/>
    <w:link w:val="Nadpis2"/>
    <w:uiPriority w:val="9"/>
    <w:rsid w:val="002179E1"/>
    <w:rPr>
      <w:rFonts w:ascii="Times New Roman" w:eastAsia="Times New Roman" w:hAnsi="Times New Roman" w:cs="Times New Roman"/>
      <w:b/>
      <w:bCs/>
      <w:sz w:val="36"/>
      <w:szCs w:val="36"/>
      <w:lang w:eastAsia="sk-SK"/>
    </w:rPr>
  </w:style>
  <w:style w:type="paragraph" w:styleId="Hlavika">
    <w:name w:val="header"/>
    <w:basedOn w:val="Normlny"/>
    <w:link w:val="HlavikaChar"/>
    <w:uiPriority w:val="99"/>
    <w:unhideWhenUsed/>
    <w:rsid w:val="002179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79E1"/>
    <w:rPr>
      <w:rFonts w:ascii="Calibri" w:eastAsia="Times New Roman" w:hAnsi="Calibri" w:cs="Times New Roman"/>
    </w:rPr>
  </w:style>
  <w:style w:type="paragraph" w:styleId="Pta">
    <w:name w:val="footer"/>
    <w:basedOn w:val="Normlny"/>
    <w:link w:val="PtaChar"/>
    <w:uiPriority w:val="99"/>
    <w:unhideWhenUsed/>
    <w:rsid w:val="002179E1"/>
    <w:pPr>
      <w:tabs>
        <w:tab w:val="center" w:pos="4536"/>
        <w:tab w:val="right" w:pos="9072"/>
      </w:tabs>
      <w:spacing w:after="0" w:line="240" w:lineRule="auto"/>
    </w:pPr>
  </w:style>
  <w:style w:type="character" w:customStyle="1" w:styleId="PtaChar">
    <w:name w:val="Päta Char"/>
    <w:basedOn w:val="Predvolenpsmoodseku"/>
    <w:link w:val="Pta"/>
    <w:uiPriority w:val="99"/>
    <w:rsid w:val="002179E1"/>
    <w:rPr>
      <w:rFonts w:ascii="Calibri" w:eastAsia="Times New Roman" w:hAnsi="Calibri" w:cs="Times New Roman"/>
    </w:rPr>
  </w:style>
  <w:style w:type="table" w:customStyle="1" w:styleId="Mriekatabuky1">
    <w:name w:val="Mriežka tabuľky1"/>
    <w:basedOn w:val="Normlnatabuka"/>
    <w:next w:val="Mriekatabuky"/>
    <w:uiPriority w:val="99"/>
    <w:unhideWhenUsed/>
    <w:rsid w:val="00F70B06"/>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etlmriekazvraznenie31">
    <w:name w:val="Svetlá mriežka – zvýraznenie 31"/>
    <w:basedOn w:val="Normlny"/>
    <w:qFormat/>
    <w:rsid w:val="00F70B06"/>
    <w:pPr>
      <w:suppressAutoHyphens/>
      <w:adjustRightInd/>
      <w:spacing w:after="0" w:line="240" w:lineRule="auto"/>
      <w:ind w:left="720"/>
    </w:pPr>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C12069"/>
    <w:pPr>
      <w:widowControl/>
      <w:adjustRightInd/>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C12069"/>
    <w:rPr>
      <w:sz w:val="20"/>
      <w:szCs w:val="20"/>
    </w:rPr>
  </w:style>
  <w:style w:type="character" w:styleId="Odkaznapoznmkupodiarou">
    <w:name w:val="footnote reference"/>
    <w:basedOn w:val="Predvolenpsmoodseku"/>
    <w:uiPriority w:val="99"/>
    <w:semiHidden/>
    <w:unhideWhenUsed/>
    <w:rsid w:val="00C12069"/>
    <w:rPr>
      <w:vertAlign w:val="superscript"/>
    </w:rPr>
  </w:style>
  <w:style w:type="character" w:styleId="Hypertextovprepojenie">
    <w:name w:val="Hyperlink"/>
    <w:basedOn w:val="Predvolenpsmoodseku"/>
    <w:uiPriority w:val="99"/>
    <w:unhideWhenUsed/>
    <w:rsid w:val="00C12069"/>
    <w:rPr>
      <w:color w:val="0000FF" w:themeColor="hyperlink"/>
      <w:u w:val="single"/>
    </w:rPr>
  </w:style>
  <w:style w:type="paragraph" w:styleId="Odsekzoznamu">
    <w:name w:val="List Paragraph"/>
    <w:basedOn w:val="Normlny"/>
    <w:uiPriority w:val="34"/>
    <w:qFormat/>
    <w:rsid w:val="009F79C7"/>
    <w:pPr>
      <w:widowControl/>
      <w:adjustRightInd/>
      <w:spacing w:after="0" w:line="240" w:lineRule="auto"/>
      <w:ind w:left="720"/>
      <w:contextualSpacing/>
    </w:pPr>
    <w:rPr>
      <w:rFonts w:asciiTheme="minorHAnsi" w:eastAsiaTheme="minorHAnsi" w:hAnsiTheme="minorHAnsi" w:cstheme="minorBidi"/>
      <w:sz w:val="24"/>
      <w:szCs w:val="24"/>
    </w:rPr>
  </w:style>
  <w:style w:type="character" w:customStyle="1" w:styleId="awspan">
    <w:name w:val="awspan"/>
    <w:basedOn w:val="Predvolenpsmoodseku"/>
    <w:qFormat/>
    <w:rsid w:val="00B90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2517">
      <w:bodyDiv w:val="1"/>
      <w:marLeft w:val="0"/>
      <w:marRight w:val="0"/>
      <w:marTop w:val="0"/>
      <w:marBottom w:val="0"/>
      <w:divBdr>
        <w:top w:val="none" w:sz="0" w:space="0" w:color="auto"/>
        <w:left w:val="none" w:sz="0" w:space="0" w:color="auto"/>
        <w:bottom w:val="none" w:sz="0" w:space="0" w:color="auto"/>
        <w:right w:val="none" w:sz="0" w:space="0" w:color="auto"/>
      </w:divBdr>
    </w:div>
    <w:div w:id="34964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ulture.gov.sk/posobnost-ministerstva/cirkvi-a-nabozenske-spolocnosti/financovanie/spravy-cirkvi-a-nabozenskych-spolocnosti-o-hospodareni-s-prispevkom-statu-za-rok-202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Dôvodová správa - Všeobecná časť"/>
    <f:field ref="objsubject" par="" edit="true" text="Dôvodová správa - Všeobecná časť"/>
    <f:field ref="objcreatedby" par="" text="Administrator, System"/>
    <f:field ref="objcreatedat" par="" text="28.1.2019 8:37:43"/>
    <f:field ref="objchangedby" par="" text="Administrator, System"/>
    <f:field ref="objmodifiedat" par="" text="28.1.2019 8:37:44"/>
    <f:field ref="doc_FSCFOLIO_1_1001_FieldDocumentNumber" par="" text=""/>
    <f:field ref="doc_FSCFOLIO_1_1001_FieldSubject" par="" edit="true" text="Dôvodová správa - Všeobecná časť"/>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664CCC1-9DA8-4012-A6BE-21868ADBF24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1462</Words>
  <Characters>8334</Characters>
  <Application>Microsoft Office Word</Application>
  <DocSecurity>0</DocSecurity>
  <Lines>69</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LPT</dc:creator>
  <cp:lastModifiedBy>Microsoft Office User</cp:lastModifiedBy>
  <cp:revision>7</cp:revision>
  <cp:lastPrinted>2019-08-06T09:33:00Z</cp:lastPrinted>
  <dcterms:created xsi:type="dcterms:W3CDTF">2023-10-24T15:46:00Z</dcterms:created>
  <dcterms:modified xsi:type="dcterms:W3CDTF">2023-11-15T10:41:00Z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Príprava materiálu</vt:lpwstr>
  </property>
  <property fmtid="{D5CDD505-2E9C-101B-9397-08002B2CF9AE}" pid="6" name="FSC#SKEDITIONSLOVLEX@103.510:povodpredpis">
    <vt:lpwstr>Slovlex (eLeg)</vt:lpwstr>
  </property>
  <property fmtid="{D5CDD505-2E9C-101B-9397-08002B2CF9AE}" pid="7" name="FSC#SKEDITIONSLOVLEX@103.510:legoblast">
    <vt:lpwstr>Cirkev</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Karol Porubčin</vt:lpwstr>
  </property>
  <property fmtid="{D5CDD505-2E9C-101B-9397-08002B2CF9AE}" pid="11" name="FSC#SKEDITIONSLOVLEX@103.510:zodppredkladatel">
    <vt:lpwstr>Ľubica Laššáková</vt:lpwstr>
  </property>
  <property fmtid="{D5CDD505-2E9C-101B-9397-08002B2CF9AE}" pid="12" name="FSC#SKEDITIONSLOVLEX@103.510:dalsipredkladatel">
    <vt:lpwstr/>
  </property>
  <property fmtid="{D5CDD505-2E9C-101B-9397-08002B2CF9AE}" pid="13" name="FSC#SKEDITIONSLOVLEX@103.510:nazovpredpis">
    <vt:lpwstr> o finančnej podpore činnosti cirkví a náboženských spoločností</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kultúry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Programové vyhlásenie Vlády SR</vt:lpwstr>
  </property>
  <property fmtid="{D5CDD505-2E9C-101B-9397-08002B2CF9AE}" pid="22" name="FSC#SKEDITIONSLOVLEX@103.510:plnynazovpredpis">
    <vt:lpwstr> Zákon o finančnej podpore činnosti cirkví a náboženských spoločností</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MK-218/2019-230/1377</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LP/2019/67</vt:lpwstr>
  </property>
  <property fmtid="{D5CDD505-2E9C-101B-9397-08002B2CF9AE}" pid="36" name="FSC#SKEDITIONSLOVLEX@103.510:typsprievdok">
    <vt:lpwstr>Dôvodová správa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
  </property>
  <property fmtid="{D5CDD505-2E9C-101B-9397-08002B2CF9AE}" pid="136" name="FSC#SKEDITIONSLOVLEX@103.510:AttrStrListDocPropUznesenieNaVedomie">
    <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ministerka kultúry</vt:lpwstr>
  </property>
  <property fmtid="{D5CDD505-2E9C-101B-9397-08002B2CF9AE}" pid="141" name="FSC#SKEDITIONSLOVLEX@103.510:funkciaZodpPredAkuzativ">
    <vt:lpwstr>ministerky kultúry</vt:lpwstr>
  </property>
  <property fmtid="{D5CDD505-2E9C-101B-9397-08002B2CF9AE}" pid="142" name="FSC#SKEDITIONSLOVLEX@103.510:funkciaZodpPredDativ">
    <vt:lpwstr>ministerke kultúry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Ľubica Laššáková_x000d_
ministerka kultúry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&lt;p&gt;Vláda Slovenskej republiky deklarovala vo svojom programovom vyhlásení zámer vypracovať novú legislatívnu úpravu financovania cirkví a náboženských spoločností. Ministerstvo kultúry SR sa dlhodobo zaoberá témou zmeny financovania cirkví. Financovanie c</vt:lpwstr>
  </property>
  <property fmtid="{D5CDD505-2E9C-101B-9397-08002B2CF9AE}" pid="149" name="FSC#COOSYSTEM@1.1:Container">
    <vt:lpwstr>COO.2145.1000.3.3179015</vt:lpwstr>
  </property>
  <property fmtid="{D5CDD505-2E9C-101B-9397-08002B2CF9AE}" pid="150" name="FSC#FSCFOLIO@1.1001:docpropproject">
    <vt:lpwstr/>
  </property>
  <property fmtid="{D5CDD505-2E9C-101B-9397-08002B2CF9AE}" pid="151" name="FSC#SKEDITIONSLOVLEX@103.510:aktualnyrok">
    <vt:lpwstr>2019</vt:lpwstr>
  </property>
  <property fmtid="{D5CDD505-2E9C-101B-9397-08002B2CF9AE}" pid="152" name="FSC#SKEDITIONSLOVLEX@103.510:vytvorenedna">
    <vt:lpwstr>28. 1. 2019</vt:lpwstr>
  </property>
</Properties>
</file>