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E7E" w14:textId="77777777" w:rsidR="008D2E60" w:rsidRPr="008D2E60" w:rsidRDefault="008D2E60" w:rsidP="008D2E60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8D2E60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14:paraId="3F9C5118" w14:textId="77777777" w:rsidR="008D2E60" w:rsidRPr="008D2E60" w:rsidRDefault="008D2E60" w:rsidP="008D2E60">
      <w:pPr>
        <w:pBdr>
          <w:bottom w:val="single" w:sz="12" w:space="3" w:color="auto"/>
        </w:pBdr>
        <w:spacing w:after="0"/>
        <w:jc w:val="center"/>
        <w:rPr>
          <w:rFonts w:ascii="Times New Roman" w:hAnsi="Times New Roman"/>
          <w:spacing w:val="30"/>
          <w:sz w:val="24"/>
          <w:szCs w:val="24"/>
        </w:rPr>
      </w:pPr>
      <w:r w:rsidRPr="008D2E60">
        <w:rPr>
          <w:rFonts w:ascii="Times New Roman" w:hAnsi="Times New Roman"/>
          <w:spacing w:val="30"/>
          <w:sz w:val="24"/>
          <w:szCs w:val="24"/>
        </w:rPr>
        <w:t>IX. volebné obdobie</w:t>
      </w:r>
    </w:p>
    <w:p w14:paraId="6ADFDDD5" w14:textId="77777777" w:rsidR="008D2E60" w:rsidRPr="001409E4" w:rsidRDefault="008D2E60" w:rsidP="008D2E60">
      <w:pPr>
        <w:jc w:val="center"/>
        <w:rPr>
          <w:spacing w:val="30"/>
          <w:sz w:val="24"/>
          <w:szCs w:val="24"/>
          <w:highlight w:val="yellow"/>
        </w:rPr>
      </w:pPr>
    </w:p>
    <w:p w14:paraId="360523BE" w14:textId="77777777" w:rsidR="008D2E60" w:rsidRPr="001409E4" w:rsidRDefault="008D2E60" w:rsidP="008D2E60">
      <w:pPr>
        <w:jc w:val="center"/>
        <w:rPr>
          <w:b/>
          <w:spacing w:val="30"/>
          <w:sz w:val="24"/>
          <w:szCs w:val="24"/>
          <w:highlight w:val="yellow"/>
        </w:rPr>
      </w:pPr>
    </w:p>
    <w:p w14:paraId="0AF7BA8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Návrh </w:t>
      </w:r>
    </w:p>
    <w:p w14:paraId="5CBAA46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F41099A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smallCaps/>
          <w:color w:val="auto"/>
          <w:sz w:val="24"/>
          <w:szCs w:val="24"/>
        </w:rPr>
        <w:t>ZÁKON</w:t>
      </w:r>
    </w:p>
    <w:p w14:paraId="7D1A43F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3AD5D13" w14:textId="603DB342" w:rsidR="00FE071D" w:rsidRPr="007A0FA3" w:rsidRDefault="00F17A53" w:rsidP="00FE071D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z ... 202</w:t>
      </w:r>
      <w:r w:rsidR="008D2E60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="00FE071D" w:rsidRPr="007A0FA3">
        <w:rPr>
          <w:rFonts w:ascii="Times New Roman" w:eastAsia="Times New Roman" w:hAnsi="Times New Roman"/>
          <w:color w:val="auto"/>
          <w:sz w:val="24"/>
          <w:szCs w:val="24"/>
        </w:rPr>
        <w:t>,</w:t>
      </w:r>
    </w:p>
    <w:p w14:paraId="5CD88ABA" w14:textId="77777777" w:rsidR="002A1AE2" w:rsidRPr="007A0FA3" w:rsidRDefault="002A1AE2" w:rsidP="00FE071D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A4EDFE7" w14:textId="32CA9D5A" w:rsidR="002A1AE2" w:rsidRPr="007A0FA3" w:rsidRDefault="00C53A66" w:rsidP="002A1AE2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ktorým sa mení a dopĺňa zákon č. 370/2019 Z. z. </w:t>
      </w:r>
      <w:r w:rsidR="002A1AE2" w:rsidRPr="007A0FA3">
        <w:rPr>
          <w:rFonts w:ascii="Times New Roman" w:hAnsi="Times New Roman"/>
          <w:b/>
          <w:color w:val="auto"/>
          <w:sz w:val="24"/>
          <w:szCs w:val="24"/>
        </w:rPr>
        <w:t>o finančnej podpore činnosti cirkví a náboženských spoločností</w:t>
      </w:r>
    </w:p>
    <w:p w14:paraId="2E9328E8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E95188F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Národná rada Slovenskej republiky sa uzniesla na tomto zákone:</w:t>
      </w:r>
    </w:p>
    <w:p w14:paraId="18DBFC58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4A6C8001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</w:t>
      </w:r>
    </w:p>
    <w:p w14:paraId="3F777D81" w14:textId="77777777" w:rsidR="00A706BF" w:rsidRPr="007A0FA3" w:rsidRDefault="00A706BF" w:rsidP="00A706BF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Zákon č. 370/2019 Z. z. </w:t>
      </w:r>
      <w:r w:rsidRPr="007A0FA3">
        <w:rPr>
          <w:rFonts w:ascii="Times New Roman" w:hAnsi="Times New Roman"/>
          <w:color w:val="auto"/>
          <w:sz w:val="24"/>
          <w:szCs w:val="24"/>
        </w:rPr>
        <w:t>o finančnej podpore činnosti cirkví a náboženských spoločností</w:t>
      </w:r>
    </w:p>
    <w:p w14:paraId="6616A137" w14:textId="77777777" w:rsidR="002A1AE2" w:rsidRPr="007A0FA3" w:rsidRDefault="00A706BF" w:rsidP="00A706BF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sa mení a dopĺňa takto:</w:t>
      </w:r>
    </w:p>
    <w:p w14:paraId="0D33B5A4" w14:textId="77777777" w:rsidR="00CE65E0" w:rsidRPr="007A0FA3" w:rsidRDefault="00B0301B" w:rsidP="00CE65E0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V </w:t>
      </w:r>
      <w:r w:rsidR="00CF2E12" w:rsidRPr="007A0FA3">
        <w:rPr>
          <w:rFonts w:ascii="Times New Roman" w:eastAsia="Times New Roman" w:hAnsi="Times New Roman"/>
          <w:color w:val="auto"/>
          <w:sz w:val="24"/>
          <w:szCs w:val="24"/>
        </w:rPr>
        <w:t>§4 ods. 1 sa v prvej vete slová „</w:t>
      </w:r>
      <w:r w:rsidR="00CF2E12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základnej stupnice platových taríf zamestnancov pri výkone práce vo verejnom záujme podľa osobitného predpisu</w:t>
      </w:r>
      <w:r w:rsidR="00CF2E12" w:rsidRPr="007A0FA3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vertAlign w:val="superscript"/>
        </w:rPr>
        <w:t>6</w:t>
      </w:r>
      <w:r w:rsidR="00CF2E12" w:rsidRPr="007A0FA3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>)</w:t>
      </w:r>
      <w:r w:rsidR="00CF2E12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schválenej na rok, na ktorý sa príspevok štátu určuje</w:t>
      </w:r>
      <w:r w:rsidR="00CF2E12" w:rsidRPr="007A0FA3">
        <w:rPr>
          <w:rFonts w:ascii="Times New Roman" w:eastAsia="Times New Roman" w:hAnsi="Times New Roman"/>
          <w:color w:val="auto"/>
          <w:sz w:val="24"/>
          <w:szCs w:val="24"/>
        </w:rPr>
        <w:t>“ nahrádzajú slovami „</w:t>
      </w:r>
      <w:r w:rsidR="00CF2E12" w:rsidRPr="007A0FA3">
        <w:rPr>
          <w:rFonts w:ascii="Times New Roman" w:hAnsi="Times New Roman"/>
          <w:iCs/>
          <w:color w:val="auto"/>
          <w:sz w:val="24"/>
          <w:szCs w:val="24"/>
        </w:rPr>
        <w:t>priemernej mzdy v hospodárstve Slovenskej republiky zistenú štatistickým úradom za rok, ktorý dva roky predchádza roku, na ktorý sa príspevok štátu určuje“.</w:t>
      </w:r>
    </w:p>
    <w:p w14:paraId="13CC1552" w14:textId="77777777" w:rsidR="00CE65E0" w:rsidRPr="007A0FA3" w:rsidRDefault="00CE65E0" w:rsidP="00CE65E0">
      <w:pPr>
        <w:pStyle w:val="Odsekzoznamu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75A9BDF" w14:textId="77777777" w:rsidR="001D1834" w:rsidRPr="007A0FA3" w:rsidRDefault="001D1834" w:rsidP="00B0301B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§5 ods. 2 písmeno a) znie:</w:t>
      </w:r>
    </w:p>
    <w:p w14:paraId="0A1A6C84" w14:textId="77777777" w:rsidR="001D1834" w:rsidRPr="007A0FA3" w:rsidRDefault="001D1834" w:rsidP="001D1834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2C1C7C4" w14:textId="77777777" w:rsidR="001D1834" w:rsidRPr="007A0FA3" w:rsidRDefault="001D1834" w:rsidP="001D1834">
      <w:pPr>
        <w:pStyle w:val="Odsekzoznamu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„ a) </w:t>
      </w:r>
      <w:r w:rsidR="0086329C" w:rsidRPr="007A0FA3">
        <w:rPr>
          <w:rFonts w:ascii="Times New Roman" w:hAnsi="Times New Roman"/>
          <w:iCs/>
          <w:color w:val="auto"/>
          <w:sz w:val="24"/>
          <w:szCs w:val="24"/>
        </w:rPr>
        <w:t>suma</w:t>
      </w:r>
      <w:r w:rsidRPr="007A0FA3">
        <w:rPr>
          <w:rFonts w:ascii="Times New Roman" w:hAnsi="Times New Roman"/>
          <w:iCs/>
          <w:color w:val="auto"/>
          <w:sz w:val="24"/>
          <w:szCs w:val="24"/>
        </w:rPr>
        <w:t xml:space="preserve"> vo výške súčtu príspevkov štátu poskytnutých cirkvám za predchádzajúci rok sa rozdelí medzi jednotlivé cirkvi, ktorým bol poskytnutý príspevok štátu v predchádzajúcom roku, a to na základe pomeru poskytnutého príspevku štátu v predchádzajúcom roku,“.</w:t>
      </w:r>
    </w:p>
    <w:p w14:paraId="4F196C70" w14:textId="77777777" w:rsidR="001D1834" w:rsidRPr="007A0FA3" w:rsidRDefault="001D1834" w:rsidP="001D1834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D61F468" w14:textId="77777777" w:rsidR="0086329C" w:rsidRPr="007A0FA3" w:rsidRDefault="0084589F" w:rsidP="0086329C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V §5 ods. 2 sa dopĺňa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jú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písmen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á</w:t>
      </w:r>
      <w:r w:rsidR="0086329C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c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a</w:t>
      </w:r>
      <w:r w:rsidR="0086329C" w:rsidRPr="007A0FA3">
        <w:rPr>
          <w:rFonts w:ascii="Times New Roman" w:eastAsia="Times New Roman" w:hAnsi="Times New Roman"/>
          <w:color w:val="auto"/>
          <w:sz w:val="24"/>
          <w:szCs w:val="24"/>
        </w:rPr>
        <w:t> d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, ktoré zn</w:t>
      </w:r>
      <w:r w:rsidR="00CE65E0" w:rsidRPr="007A0FA3">
        <w:rPr>
          <w:rFonts w:ascii="Times New Roman" w:eastAsia="Times New Roman" w:hAnsi="Times New Roman"/>
          <w:color w:val="auto"/>
          <w:sz w:val="24"/>
          <w:szCs w:val="24"/>
        </w:rPr>
        <w:t>ejú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51EA0CF3" w14:textId="77777777" w:rsidR="00946072" w:rsidRPr="007A0FA3" w:rsidRDefault="0086329C" w:rsidP="0086329C">
      <w:pPr>
        <w:ind w:left="72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„ </w:t>
      </w:r>
      <w:r w:rsidR="0084589F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c) suma príspevku štátu sa zvýši pre jednotlivé cirkvi v porovnaní s predchádzajúcim rokom o mieru medziročného rastu minimálnej mzdy podľa osobitného predpisu </w:t>
      </w:r>
      <w:r w:rsidR="0084589F" w:rsidRPr="007A0FA3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>schválenej na rok, na ktorý sa príspevok štátu určuje, ak medziročný nárast príspevku pre jednotlivé cirkvi určený podľa písm. a) a b) nedosiahne túto výšku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,</w:t>
      </w:r>
    </w:p>
    <w:p w14:paraId="1AFFB7F2" w14:textId="77777777" w:rsidR="00D93EDF" w:rsidRPr="007A0FA3" w:rsidRDefault="00946072" w:rsidP="00101DCF">
      <w:pPr>
        <w:pStyle w:val="Odsekzoznamu"/>
        <w:ind w:left="708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d)</w:t>
      </w:r>
      <w:r w:rsidR="00AC7C9F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v</w:t>
      </w:r>
      <w:r w:rsidR="00AC7C9F" w:rsidRPr="007A0FA3">
        <w:rPr>
          <w:rFonts w:ascii="Times New Roman" w:hAnsi="Times New Roman"/>
          <w:iCs/>
          <w:color w:val="auto"/>
          <w:sz w:val="24"/>
          <w:szCs w:val="24"/>
        </w:rPr>
        <w:t> prípade medziročného poklesu príspevku štátu podľa § 4 sa príspevok štátu  medzi jednotlivé cirkvi rozdelí na základe pomeru poskytnutého príspevku štátu v roku, ktorý bezprostredne predchádza roku, na ktorý sa príspevok štátu poskytuje.“.</w:t>
      </w:r>
    </w:p>
    <w:p w14:paraId="5F408771" w14:textId="77777777" w:rsidR="00101DCF" w:rsidRPr="007A0FA3" w:rsidRDefault="00101DCF" w:rsidP="00101DCF">
      <w:pPr>
        <w:pStyle w:val="Odsekzoznamu"/>
        <w:ind w:left="708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4998F3A9" w14:textId="77777777" w:rsidR="00A706BF" w:rsidRPr="007A0FA3" w:rsidRDefault="00953510" w:rsidP="002A1AE2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V prílohe č. 1 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k zákonu č. 370/2019 Z. z. 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sa slová „</w:t>
      </w:r>
      <w:proofErr w:type="spellStart"/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proofErr w:type="spellEnd"/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 = 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 * 0,2 * (1 + CPI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 + 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 * 0,8 * (1 + </w:t>
      </w:r>
      <w:proofErr w:type="spellStart"/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V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proofErr w:type="spellEnd"/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)“</w:t>
      </w:r>
      <w:r w:rsidR="00130B35"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nahrádzajú slovami „</w:t>
      </w:r>
      <w:proofErr w:type="spellStart"/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</w:t>
      </w:r>
      <w:proofErr w:type="spellEnd"/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= 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t-1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* 0,2 * (1 + CPI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) + 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t-1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* 0,8 * (1 + M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)“ a slová „</w:t>
      </w:r>
      <w:proofErr w:type="spellStart"/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V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subscript"/>
        </w:rPr>
        <w:t>t</w:t>
      </w:r>
      <w:proofErr w:type="spellEnd"/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je miera zvýšenia základnej stupnice platových taríf zamestnancov pri výkone práce vo verejnom záujme schválenej na rok, na ktorý sa príspevok štátu určuje, vyjadrená v percentách“ sa nahrádzajú slovami „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lang w:eastAsia="sk-SK"/>
        </w:rPr>
        <w:t>M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lang w:eastAsia="sk-SK"/>
        </w:rPr>
        <w:t> je miera zvýšenia priemernej mzdy v hospodárstve Slovenskej republiky zistená štatistickým úradom za rok, ktorý dva roky predchádza roku, na ktorý sa príspevok štátu určuje, vyjadrená v percentách“.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0BC86CAB" w14:textId="77777777" w:rsidR="00FE071D" w:rsidRPr="007A0FA3" w:rsidRDefault="00FE071D" w:rsidP="00FE071D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2FDA088" w14:textId="77777777" w:rsidR="00FE071D" w:rsidRPr="007A0FA3" w:rsidRDefault="00FE071D" w:rsidP="00FE071D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7045506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II</w:t>
      </w:r>
    </w:p>
    <w:p w14:paraId="7C3EBC4A" w14:textId="0216426D" w:rsidR="00FE071D" w:rsidRPr="007A0FA3" w:rsidRDefault="002A1AE2" w:rsidP="002A1AE2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Tento zá</w:t>
      </w:r>
      <w:r w:rsidR="00937561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kon nadobúda účinnosť </w:t>
      </w:r>
      <w:r w:rsidR="008D2E60">
        <w:rPr>
          <w:rFonts w:ascii="Times New Roman" w:eastAsia="Times New Roman" w:hAnsi="Times New Roman"/>
          <w:color w:val="auto"/>
          <w:sz w:val="24"/>
          <w:szCs w:val="24"/>
        </w:rPr>
        <w:t>dňom vyhlásenia v Zbierke zákonov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0DCA5F7E" w14:textId="77777777" w:rsidR="0026648C" w:rsidRPr="007A0FA3" w:rsidRDefault="0026648C">
      <w:pPr>
        <w:rPr>
          <w:rFonts w:ascii="Times New Roman" w:hAnsi="Times New Roman"/>
          <w:color w:val="auto"/>
          <w:sz w:val="24"/>
          <w:szCs w:val="24"/>
        </w:rPr>
      </w:pPr>
    </w:p>
    <w:sectPr w:rsidR="0026648C" w:rsidRPr="007A0FA3" w:rsidSect="00CC37A7">
      <w:footerReference w:type="default" r:id="rId7"/>
      <w:pgSz w:w="11906" w:h="16838"/>
      <w:pgMar w:top="1417" w:right="1421" w:bottom="1417" w:left="1290" w:header="0" w:footer="42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2B44" w14:textId="77777777" w:rsidR="00D53282" w:rsidRDefault="00D53282">
      <w:pPr>
        <w:spacing w:after="0" w:line="240" w:lineRule="auto"/>
      </w:pPr>
      <w:r>
        <w:separator/>
      </w:r>
    </w:p>
  </w:endnote>
  <w:endnote w:type="continuationSeparator" w:id="0">
    <w:p w14:paraId="7A416CA5" w14:textId="77777777" w:rsidR="00D53282" w:rsidRDefault="00D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448369"/>
      <w:docPartObj>
        <w:docPartGallery w:val="Page Numbers (Bottom of Page)"/>
        <w:docPartUnique/>
      </w:docPartObj>
    </w:sdtPr>
    <w:sdtContent>
      <w:p w14:paraId="6C5E5565" w14:textId="4B692CFC" w:rsidR="0026648C" w:rsidRDefault="003D5E65">
        <w:pPr>
          <w:pStyle w:val="Pta"/>
          <w:jc w:val="center"/>
        </w:pPr>
        <w:r>
          <w:fldChar w:fldCharType="begin"/>
        </w:r>
        <w:r w:rsidR="00FE071D">
          <w:instrText>PAGE</w:instrText>
        </w:r>
        <w:r>
          <w:fldChar w:fldCharType="separate"/>
        </w:r>
        <w:r w:rsidR="007A0FA3">
          <w:rPr>
            <w:noProof/>
          </w:rPr>
          <w:t>2</w:t>
        </w:r>
        <w:r>
          <w:fldChar w:fldCharType="end"/>
        </w:r>
      </w:p>
      <w:p w14:paraId="79FEED0A" w14:textId="77777777" w:rsidR="0026648C" w:rsidRDefault="00000000">
        <w:pPr>
          <w:pStyle w:val="Pt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D15A" w14:textId="77777777" w:rsidR="00D53282" w:rsidRDefault="00D53282">
      <w:pPr>
        <w:spacing w:after="0" w:line="240" w:lineRule="auto"/>
      </w:pPr>
      <w:r>
        <w:separator/>
      </w:r>
    </w:p>
  </w:footnote>
  <w:footnote w:type="continuationSeparator" w:id="0">
    <w:p w14:paraId="04D18F65" w14:textId="77777777" w:rsidR="00D53282" w:rsidRDefault="00D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877"/>
    <w:multiLevelType w:val="multilevel"/>
    <w:tmpl w:val="272E79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D092A"/>
    <w:multiLevelType w:val="hybridMultilevel"/>
    <w:tmpl w:val="ADFC1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392"/>
    <w:multiLevelType w:val="multilevel"/>
    <w:tmpl w:val="47E0B5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1E65DC"/>
    <w:multiLevelType w:val="multilevel"/>
    <w:tmpl w:val="EFE6D1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B2919"/>
    <w:multiLevelType w:val="multilevel"/>
    <w:tmpl w:val="DC38E032"/>
    <w:lvl w:ilvl="0">
      <w:start w:val="1"/>
      <w:numFmt w:val="decimal"/>
      <w:lvlText w:val="(%1)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48F53403"/>
    <w:multiLevelType w:val="multilevel"/>
    <w:tmpl w:val="2632A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24D59"/>
    <w:multiLevelType w:val="multilevel"/>
    <w:tmpl w:val="23A49E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658"/>
    <w:multiLevelType w:val="multilevel"/>
    <w:tmpl w:val="B1E87F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82074"/>
    <w:multiLevelType w:val="multilevel"/>
    <w:tmpl w:val="9410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528E8"/>
    <w:multiLevelType w:val="multilevel"/>
    <w:tmpl w:val="F1805FAC"/>
    <w:lvl w:ilvl="0">
      <w:start w:val="1"/>
      <w:numFmt w:val="decimal"/>
      <w:lvlText w:val="(%1)"/>
      <w:lvlJc w:val="left"/>
      <w:pPr>
        <w:ind w:left="136" w:hanging="371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1">
      <w:start w:val="1"/>
      <w:numFmt w:val="lowerLetter"/>
      <w:lvlText w:val="%2)"/>
      <w:lvlJc w:val="left"/>
      <w:pPr>
        <w:ind w:left="1070" w:hanging="242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2">
      <w:start w:val="1"/>
      <w:numFmt w:val="bullet"/>
      <w:lvlText w:val="l"/>
      <w:lvlJc w:val="left"/>
      <w:pPr>
        <w:ind w:left="1080" w:hanging="242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145" w:hanging="242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ind w:left="3210" w:hanging="242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ind w:left="4275" w:hanging="242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340" w:hanging="242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ind w:left="6405" w:hanging="24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ind w:left="7470" w:hanging="242"/>
      </w:pPr>
      <w:rPr>
        <w:rFonts w:ascii="Wingdings" w:hAnsi="Wingdings" w:cs="Wingdings" w:hint="default"/>
      </w:rPr>
    </w:lvl>
  </w:abstractNum>
  <w:num w:numId="1" w16cid:durableId="668561401">
    <w:abstractNumId w:val="7"/>
  </w:num>
  <w:num w:numId="2" w16cid:durableId="1878929840">
    <w:abstractNumId w:val="0"/>
  </w:num>
  <w:num w:numId="3" w16cid:durableId="214395389">
    <w:abstractNumId w:val="5"/>
  </w:num>
  <w:num w:numId="4" w16cid:durableId="1445267113">
    <w:abstractNumId w:val="9"/>
  </w:num>
  <w:num w:numId="5" w16cid:durableId="965508295">
    <w:abstractNumId w:val="8"/>
  </w:num>
  <w:num w:numId="6" w16cid:durableId="862205947">
    <w:abstractNumId w:val="6"/>
  </w:num>
  <w:num w:numId="7" w16cid:durableId="1715229278">
    <w:abstractNumId w:val="4"/>
  </w:num>
  <w:num w:numId="8" w16cid:durableId="2079402526">
    <w:abstractNumId w:val="2"/>
  </w:num>
  <w:num w:numId="9" w16cid:durableId="652176344">
    <w:abstractNumId w:val="3"/>
  </w:num>
  <w:num w:numId="10" w16cid:durableId="126171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1D"/>
    <w:rsid w:val="00101DCF"/>
    <w:rsid w:val="00130B35"/>
    <w:rsid w:val="001632D0"/>
    <w:rsid w:val="00180DF9"/>
    <w:rsid w:val="00184E86"/>
    <w:rsid w:val="001D1834"/>
    <w:rsid w:val="001D5464"/>
    <w:rsid w:val="0026648C"/>
    <w:rsid w:val="002A1AE2"/>
    <w:rsid w:val="002B2785"/>
    <w:rsid w:val="003B45D8"/>
    <w:rsid w:val="003D5E65"/>
    <w:rsid w:val="00401A1A"/>
    <w:rsid w:val="004A0357"/>
    <w:rsid w:val="004B758D"/>
    <w:rsid w:val="0052354D"/>
    <w:rsid w:val="00535A8C"/>
    <w:rsid w:val="005F7D05"/>
    <w:rsid w:val="006445D3"/>
    <w:rsid w:val="006B7442"/>
    <w:rsid w:val="006E3506"/>
    <w:rsid w:val="007153B1"/>
    <w:rsid w:val="007242D9"/>
    <w:rsid w:val="00732ADD"/>
    <w:rsid w:val="007A0FA3"/>
    <w:rsid w:val="00806F37"/>
    <w:rsid w:val="0084589F"/>
    <w:rsid w:val="0086329C"/>
    <w:rsid w:val="008D2E60"/>
    <w:rsid w:val="00937561"/>
    <w:rsid w:val="00946072"/>
    <w:rsid w:val="00953510"/>
    <w:rsid w:val="009A4054"/>
    <w:rsid w:val="009D642E"/>
    <w:rsid w:val="00A35BE2"/>
    <w:rsid w:val="00A706BF"/>
    <w:rsid w:val="00AC7C9F"/>
    <w:rsid w:val="00B0301B"/>
    <w:rsid w:val="00B150B7"/>
    <w:rsid w:val="00B26D29"/>
    <w:rsid w:val="00C46129"/>
    <w:rsid w:val="00C50E85"/>
    <w:rsid w:val="00C53A66"/>
    <w:rsid w:val="00C807B4"/>
    <w:rsid w:val="00CC1667"/>
    <w:rsid w:val="00CC37A7"/>
    <w:rsid w:val="00CC656F"/>
    <w:rsid w:val="00CE65E0"/>
    <w:rsid w:val="00CF1DAE"/>
    <w:rsid w:val="00CF2E12"/>
    <w:rsid w:val="00D53282"/>
    <w:rsid w:val="00D758E4"/>
    <w:rsid w:val="00D93EDF"/>
    <w:rsid w:val="00E242C7"/>
    <w:rsid w:val="00E942DE"/>
    <w:rsid w:val="00E96B85"/>
    <w:rsid w:val="00ED3EB9"/>
    <w:rsid w:val="00EF5D67"/>
    <w:rsid w:val="00F17A53"/>
    <w:rsid w:val="00F318DD"/>
    <w:rsid w:val="00F574CA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268"/>
  <w15:docId w15:val="{9CF4E5DA-376D-4916-B0E3-CEC5CA1B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071D"/>
    <w:pPr>
      <w:spacing w:after="200" w:line="276" w:lineRule="auto"/>
    </w:pPr>
    <w:rPr>
      <w:rFonts w:cs="Times New Roman"/>
      <w:color w:val="00000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FE071D"/>
    <w:rPr>
      <w:rFonts w:cs="Times New Roman"/>
    </w:rPr>
  </w:style>
  <w:style w:type="paragraph" w:styleId="Odsekzoznamu">
    <w:name w:val="List Paragraph"/>
    <w:basedOn w:val="Normlny"/>
    <w:uiPriority w:val="99"/>
    <w:qFormat/>
    <w:rsid w:val="00FE071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E071D"/>
    <w:pPr>
      <w:tabs>
        <w:tab w:val="center" w:pos="4536"/>
        <w:tab w:val="right" w:pos="9072"/>
      </w:tabs>
      <w:spacing w:after="0" w:line="240" w:lineRule="auto"/>
    </w:pPr>
    <w:rPr>
      <w:color w:val="auto"/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FE071D"/>
    <w:rPr>
      <w:rFonts w:cs="Times New Roman"/>
      <w:color w:val="00000A"/>
      <w:sz w:val="22"/>
      <w:szCs w:val="22"/>
    </w:rPr>
  </w:style>
  <w:style w:type="character" w:styleId="Hypertextovprepojenie">
    <w:name w:val="Hyperlink"/>
    <w:basedOn w:val="Predvolenpsmoodseku"/>
    <w:uiPriority w:val="99"/>
    <w:semiHidden/>
    <w:unhideWhenUsed/>
    <w:rsid w:val="00F17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6</cp:revision>
  <dcterms:created xsi:type="dcterms:W3CDTF">2023-10-24T15:48:00Z</dcterms:created>
  <dcterms:modified xsi:type="dcterms:W3CDTF">2023-11-15T10:49:00Z</dcterms:modified>
</cp:coreProperties>
</file>